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F5B5A">
      <w:pPr>
        <w:pStyle w:val="3"/>
        <w:rPr>
          <w:rFonts w:hint="eastAsia"/>
          <w:i/>
          <w:iCs/>
        </w:rPr>
      </w:pPr>
      <w:r>
        <w:rPr>
          <w:rFonts w:hint="eastAsia"/>
          <w:i/>
          <w:iCs/>
        </w:rPr>
        <w:t>Supplementary Materials for</w:t>
      </w:r>
    </w:p>
    <w:p w14:paraId="665374C9">
      <w:pPr>
        <w:pStyle w:val="3"/>
        <w:rPr>
          <w:rFonts w:hint="eastAsia"/>
          <w:i/>
          <w:iCs/>
        </w:rPr>
      </w:pPr>
      <w:r>
        <w:rPr>
          <w:rFonts w:hint="eastAsia"/>
          <w:i/>
          <w:iCs/>
        </w:rPr>
        <w:t>"Rice evapotranspiration estimation and irrigation optimization based on coupling UAV multispectral and thermal infrared imagery with the FAO-56 model"</w:t>
      </w:r>
    </w:p>
    <w:p w14:paraId="21B3BE59">
      <w:pPr>
        <w:ind w:left="0" w:leftChars="0" w:firstLine="0" w:firstLineChars="0"/>
        <w:rPr>
          <w:rFonts w:hint="eastAsia"/>
          <w:sz w:val="28"/>
          <w:szCs w:val="28"/>
        </w:rPr>
      </w:pPr>
      <w:r>
        <w:rPr>
          <w:rFonts w:hint="eastAsia"/>
          <w:sz w:val="28"/>
          <w:szCs w:val="28"/>
        </w:rPr>
        <w:t>Supplementary Note S1: Ground-truth measurement procedures and greenhouse gas flux calculation</w:t>
      </w:r>
    </w:p>
    <w:p w14:paraId="3EDE6389">
      <w:pPr>
        <w:ind w:left="0" w:leftChars="0" w:firstLine="0" w:firstLineChars="0"/>
        <w:rPr>
          <w:rFonts w:hint="eastAsia"/>
          <w:sz w:val="28"/>
          <w:szCs w:val="28"/>
        </w:rPr>
      </w:pPr>
      <w:r>
        <w:rPr>
          <w:rFonts w:hint="eastAsia"/>
          <w:sz w:val="28"/>
          <w:szCs w:val="28"/>
        </w:rPr>
        <w:t>Measurement of Leaf Area Index (LAI) and Plant Height</w:t>
      </w:r>
    </w:p>
    <w:p w14:paraId="03D8AFD2">
      <w:pPr>
        <w:ind w:left="0" w:leftChars="0" w:firstLine="0" w:firstLineChars="0"/>
        <w:rPr>
          <w:rFonts w:hint="eastAsia"/>
        </w:rPr>
      </w:pPr>
      <w:r>
        <w:rPr>
          <w:rFonts w:hint="eastAsia"/>
        </w:rPr>
        <w:t>During each UAV flight campaign, the leaf area index (LAI) and plant height of rice were synchronously measured in the field. Plant height was measured manually with a measuring tape, with three replicate sampling points set in each plot to obtain the average value. The LAI was measured non-destructively using an LP-80 plant canopy analyzer (Decagon Devices, USA) under clear sky conditions, strictly following the manufacturer’s standard operation protocols.</w:t>
      </w:r>
    </w:p>
    <w:p w14:paraId="434B7BDC">
      <w:pPr>
        <w:ind w:left="0" w:leftChars="0" w:firstLine="0" w:firstLineChars="0"/>
        <w:rPr>
          <w:rFonts w:hint="eastAsia"/>
          <w:sz w:val="28"/>
          <w:szCs w:val="28"/>
        </w:rPr>
      </w:pPr>
      <w:r>
        <w:rPr>
          <w:rFonts w:hint="eastAsia"/>
          <w:sz w:val="28"/>
          <w:szCs w:val="28"/>
        </w:rPr>
        <w:t>Monitoring of Greenhouse Gas Fluxes</w:t>
      </w:r>
    </w:p>
    <w:p w14:paraId="793013C2">
      <w:pPr>
        <w:ind w:left="0" w:leftChars="0" w:firstLine="0" w:firstLineChars="0"/>
        <w:rPr>
          <w:rFonts w:hint="eastAsia"/>
        </w:rPr>
      </w:pPr>
      <w:r>
        <w:rPr>
          <w:rFonts w:hint="eastAsia"/>
        </w:rPr>
        <w:t>Greenhouse gas fluxes (</w:t>
      </w:r>
      <w:r>
        <w:rPr>
          <w:rFonts w:hint="eastAsia"/>
          <w:lang w:val="en-US" w:eastAsia="zh-CN"/>
        </w:rPr>
        <w:t>CO</w:t>
      </w:r>
      <w:r>
        <w:rPr>
          <w:rFonts w:hint="eastAsia"/>
          <w:vertAlign w:val="subscript"/>
          <w:lang w:val="en-US" w:eastAsia="zh-CN"/>
        </w:rPr>
        <w:t>2</w:t>
      </w:r>
      <w:r>
        <w:rPr>
          <w:rFonts w:hint="eastAsia"/>
        </w:rPr>
        <w:t xml:space="preserve">, </w:t>
      </w:r>
      <w:r>
        <w:rPr>
          <w:rFonts w:hint="eastAsia"/>
          <w:lang w:val="en-US" w:eastAsia="zh-CN"/>
        </w:rPr>
        <w:t>CH</w:t>
      </w:r>
      <w:r>
        <w:rPr>
          <w:rFonts w:hint="eastAsia"/>
          <w:vertAlign w:val="subscript"/>
          <w:lang w:val="en-US" w:eastAsia="zh-CN"/>
        </w:rPr>
        <w:t>4</w:t>
      </w:r>
      <w:r>
        <w:rPr>
          <w:rFonts w:hint="eastAsia"/>
        </w:rPr>
        <w:t xml:space="preserve">, and </w:t>
      </w:r>
      <w:r>
        <w:rPr>
          <w:rFonts w:hint="eastAsia"/>
          <w:lang w:val="en-US" w:eastAsia="zh-CN"/>
        </w:rPr>
        <w:t>N</w:t>
      </w:r>
      <w:r>
        <w:rPr>
          <w:rFonts w:hint="eastAsia"/>
          <w:vertAlign w:val="subscript"/>
          <w:lang w:val="en-US" w:eastAsia="zh-CN"/>
        </w:rPr>
        <w:t>2</w:t>
      </w:r>
      <w:r>
        <w:rPr>
          <w:rFonts w:hint="eastAsia"/>
          <w:lang w:val="en-US" w:eastAsia="zh-CN"/>
        </w:rPr>
        <w:t>O</w:t>
      </w:r>
      <w:r>
        <w:rPr>
          <w:rFonts w:hint="eastAsia"/>
        </w:rPr>
        <w:t>) were sampled between 8:00 and 11:00 using a portable static chamber method. The gas samples were collected at specific intervals and analyzed using a gas chromatograph. The emission fluxes were calculated based on the rate of change in gas concentration inside the chamber during the closure period. The general calculation formula is as follows:</w:t>
      </w:r>
    </w:p>
    <w:p w14:paraId="27310340">
      <w:pPr>
        <w:pStyle w:val="3"/>
        <w:rPr>
          <w:i/>
          <w:iCs/>
        </w:rPr>
      </w:pPr>
      <w:r>
        <w:rPr>
          <w:rFonts w:hint="eastAsia"/>
          <w:i/>
          <w:iCs/>
        </w:rPr>
        <w:t xml:space="preserve"> </w:t>
      </w:r>
      <w:r>
        <w:rPr>
          <w:rFonts w:hint="eastAsia"/>
          <w:i w:val="0"/>
          <w:iCs w:val="0"/>
        </w:rPr>
        <w:t>UAV-based data acquisition</w:t>
      </w:r>
    </w:p>
    <w:p w14:paraId="1E5672D0">
      <w:pPr>
        <w:spacing w:before="156" w:after="156"/>
        <w:ind w:firstLine="480" w:firstLineChars="200"/>
      </w:pPr>
      <w:r>
        <w:rPr>
          <w:rFonts w:hint="eastAsia"/>
        </w:rPr>
        <w:t>During the rice growing season, UAV flights were conducted between 11:00 and 14:00 local time to minimize the effects of changes in solar elevation angle and background temperature fluctuations on the acquisition of spectral and thermal infrared information. Two UAV platforms were used for the flights: a DJI Mavic 3 Multispectral (DJI, China) for acquiring RGB and multispectral imagery, and a DJI Matrice 30T (DJI, China) for acquiring thermal infrared imagery. The flight altitude was 30 m, with forward and side overlap rates set at 80% and 85%, respectively. Under these settings, the spatial resolution of the imagery was approximately 1.25 cm. The Mavic 3 Multispectral is equipped with a 5.5 mm focal length lens and includes five bands, namely blue, green, red, red-edge, and near-infrared, and can acquire multispectral images with a resolution of 1280×960 pixels. The Matrice 30T is equipped with a 13 mm thermal infrared lens, with a thermal image resolution of 640×412 pixels, a sampling frequency of 9 Hz, and an operating spectral range of 7.5-13.0</w:t>
      </w:r>
      <w:r>
        <w:rPr>
          <w:rFonts w:hint="eastAsia"/>
          <w:lang w:val="en-US" w:eastAsia="zh-CN"/>
        </w:rPr>
        <w:t xml:space="preserve"> </w:t>
      </w:r>
      <w:r>
        <w:rPr>
          <w:rFonts w:hint="eastAsia"/>
        </w:rPr>
        <w:t xml:space="preserve">μm. The flight dates and weather conditions for each UAV campaign are shown in Table </w:t>
      </w:r>
      <w:r>
        <w:rPr>
          <w:rFonts w:hint="eastAsia"/>
          <w:lang w:val="en-US" w:eastAsia="zh-CN"/>
        </w:rPr>
        <w:t>S1</w:t>
      </w:r>
      <w:r>
        <w:rPr>
          <w:rFonts w:hint="eastAsia"/>
        </w:rPr>
        <w:t>.</w:t>
      </w:r>
    </w:p>
    <w:p w14:paraId="11A0F157">
      <w:pPr>
        <w:spacing w:before="156" w:after="0" w:afterLines="0"/>
        <w:ind w:firstLine="0" w:firstLineChars="0"/>
        <w:jc w:val="left"/>
        <w:rPr>
          <w:rFonts w:hint="default" w:eastAsia="宋体"/>
          <w:b/>
          <w:bCs/>
          <w:highlight w:val="none"/>
          <w:lang w:val="en-US" w:eastAsia="zh-CN"/>
        </w:rPr>
      </w:pPr>
      <w:r>
        <w:rPr>
          <w:b/>
          <w:bCs/>
          <w:highlight w:val="none"/>
        </w:rPr>
        <w:t xml:space="preserve">Table </w:t>
      </w:r>
      <w:r>
        <w:rPr>
          <w:rFonts w:hint="eastAsia"/>
          <w:b/>
          <w:bCs/>
          <w:highlight w:val="none"/>
          <w:lang w:val="en-US" w:eastAsia="zh-CN"/>
        </w:rPr>
        <w:t>S1</w:t>
      </w:r>
    </w:p>
    <w:p w14:paraId="757F50C1">
      <w:pPr>
        <w:spacing w:before="156" w:after="0" w:afterLines="0"/>
        <w:ind w:firstLine="0" w:firstLineChars="0"/>
        <w:jc w:val="left"/>
      </w:pPr>
      <w:r>
        <w:rPr>
          <w:highlight w:val="none"/>
        </w:rPr>
        <w:t xml:space="preserve"> Da</w:t>
      </w:r>
      <w:r>
        <w:rPr>
          <w:rFonts w:hint="eastAsia"/>
          <w:highlight w:val="none"/>
        </w:rPr>
        <w:t>te</w:t>
      </w:r>
      <w:r>
        <w:rPr>
          <w:rFonts w:hint="eastAsia"/>
        </w:rPr>
        <w:t>s and weather conditions of each UAV flight</w:t>
      </w:r>
    </w:p>
    <w:tbl>
      <w:tblPr>
        <w:tblStyle w:val="6"/>
        <w:tblW w:w="50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3"/>
        <w:gridCol w:w="1848"/>
        <w:gridCol w:w="3287"/>
        <w:gridCol w:w="2460"/>
      </w:tblGrid>
      <w:tr w14:paraId="06C5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single" w:color="auto" w:sz="12" w:space="0"/>
              <w:left w:val="nil"/>
              <w:bottom w:val="single" w:color="auto" w:sz="6" w:space="0"/>
              <w:right w:val="nil"/>
            </w:tcBorders>
          </w:tcPr>
          <w:p w14:paraId="1E7BE28A">
            <w:pPr>
              <w:spacing w:before="62" w:beforeLines="20" w:after="62" w:afterLines="20" w:line="240" w:lineRule="auto"/>
              <w:ind w:firstLine="178"/>
              <w:jc w:val="left"/>
              <w:rPr>
                <w:sz w:val="21"/>
                <w:szCs w:val="21"/>
              </w:rPr>
            </w:pPr>
            <w:r>
              <w:rPr>
                <w:rFonts w:hint="eastAsia"/>
                <w:sz w:val="21"/>
                <w:szCs w:val="21"/>
              </w:rPr>
              <w:t>Date (DAS)</w:t>
            </w:r>
          </w:p>
        </w:tc>
        <w:tc>
          <w:tcPr>
            <w:tcW w:w="860" w:type="pct"/>
            <w:tcBorders>
              <w:top w:val="single" w:color="auto" w:sz="12" w:space="0"/>
              <w:left w:val="nil"/>
              <w:bottom w:val="single" w:color="auto" w:sz="6" w:space="0"/>
              <w:right w:val="nil"/>
            </w:tcBorders>
          </w:tcPr>
          <w:p w14:paraId="11AE9D8E">
            <w:pPr>
              <w:spacing w:before="62" w:beforeLines="20" w:after="62" w:afterLines="20" w:line="240" w:lineRule="auto"/>
              <w:ind w:firstLine="178"/>
              <w:jc w:val="left"/>
              <w:rPr>
                <w:sz w:val="21"/>
                <w:szCs w:val="21"/>
              </w:rPr>
            </w:pPr>
            <w:r>
              <w:rPr>
                <w:rFonts w:hint="eastAsia"/>
                <w:sz w:val="21"/>
                <w:szCs w:val="21"/>
              </w:rPr>
              <w:t>SMC</w:t>
            </w:r>
          </w:p>
        </w:tc>
        <w:tc>
          <w:tcPr>
            <w:tcW w:w="1530" w:type="pct"/>
            <w:tcBorders>
              <w:top w:val="single" w:color="auto" w:sz="12" w:space="0"/>
              <w:left w:val="nil"/>
              <w:bottom w:val="single" w:color="auto" w:sz="6" w:space="0"/>
              <w:right w:val="nil"/>
            </w:tcBorders>
          </w:tcPr>
          <w:p w14:paraId="72DF06C2">
            <w:pPr>
              <w:spacing w:before="62" w:beforeLines="20" w:after="62" w:afterLines="20" w:line="240" w:lineRule="auto"/>
              <w:ind w:firstLine="178"/>
              <w:jc w:val="left"/>
              <w:rPr>
                <w:sz w:val="21"/>
                <w:szCs w:val="21"/>
              </w:rPr>
            </w:pPr>
            <w:r>
              <w:rPr>
                <w:rFonts w:hint="eastAsia"/>
                <w:sz w:val="21"/>
                <w:szCs w:val="21"/>
              </w:rPr>
              <w:t>UAV(fights)</w:t>
            </w:r>
          </w:p>
        </w:tc>
        <w:tc>
          <w:tcPr>
            <w:tcW w:w="1145" w:type="pct"/>
            <w:tcBorders>
              <w:top w:val="single" w:color="auto" w:sz="12" w:space="0"/>
              <w:left w:val="nil"/>
              <w:bottom w:val="single" w:color="auto" w:sz="6" w:space="0"/>
              <w:right w:val="nil"/>
            </w:tcBorders>
          </w:tcPr>
          <w:p w14:paraId="711326D3">
            <w:pPr>
              <w:spacing w:before="62" w:beforeLines="20" w:after="62" w:afterLines="20" w:line="240" w:lineRule="auto"/>
              <w:ind w:firstLine="178"/>
              <w:jc w:val="left"/>
              <w:rPr>
                <w:sz w:val="21"/>
                <w:szCs w:val="21"/>
              </w:rPr>
            </w:pPr>
            <w:r>
              <w:rPr>
                <w:rFonts w:hint="eastAsia"/>
                <w:sz w:val="21"/>
                <w:szCs w:val="21"/>
              </w:rPr>
              <w:t>Weather</w:t>
            </w:r>
          </w:p>
        </w:tc>
      </w:tr>
      <w:tr w14:paraId="5621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single" w:color="auto" w:sz="6" w:space="0"/>
              <w:left w:val="nil"/>
              <w:bottom w:val="nil"/>
              <w:right w:val="nil"/>
            </w:tcBorders>
          </w:tcPr>
          <w:p w14:paraId="5FA5D707">
            <w:pPr>
              <w:spacing w:before="62" w:beforeLines="20" w:after="62" w:afterLines="20" w:line="240" w:lineRule="auto"/>
              <w:ind w:firstLine="178"/>
              <w:jc w:val="left"/>
              <w:rPr>
                <w:sz w:val="21"/>
                <w:szCs w:val="21"/>
              </w:rPr>
            </w:pPr>
            <w:r>
              <w:rPr>
                <w:rFonts w:hint="eastAsia"/>
                <w:sz w:val="21"/>
                <w:szCs w:val="21"/>
              </w:rPr>
              <w:t>23-May</w:t>
            </w:r>
          </w:p>
        </w:tc>
        <w:tc>
          <w:tcPr>
            <w:tcW w:w="860" w:type="pct"/>
            <w:tcBorders>
              <w:top w:val="single" w:color="auto" w:sz="6" w:space="0"/>
              <w:left w:val="nil"/>
              <w:bottom w:val="nil"/>
              <w:right w:val="nil"/>
            </w:tcBorders>
          </w:tcPr>
          <w:p w14:paraId="78370CB1">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single" w:color="auto" w:sz="6" w:space="0"/>
              <w:left w:val="nil"/>
              <w:bottom w:val="nil"/>
              <w:right w:val="nil"/>
            </w:tcBorders>
          </w:tcPr>
          <w:p w14:paraId="72EEEABE">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single" w:color="auto" w:sz="6" w:space="0"/>
              <w:left w:val="nil"/>
              <w:bottom w:val="nil"/>
              <w:right w:val="nil"/>
            </w:tcBorders>
          </w:tcPr>
          <w:p w14:paraId="52B07262">
            <w:pPr>
              <w:spacing w:before="62" w:beforeLines="20" w:after="62" w:afterLines="20" w:line="240" w:lineRule="auto"/>
              <w:ind w:firstLine="178"/>
              <w:jc w:val="left"/>
              <w:rPr>
                <w:sz w:val="21"/>
                <w:szCs w:val="21"/>
              </w:rPr>
            </w:pPr>
            <w:r>
              <w:rPr>
                <w:rFonts w:hint="eastAsia"/>
                <w:sz w:val="21"/>
                <w:szCs w:val="21"/>
              </w:rPr>
              <w:t>Sunny</w:t>
            </w:r>
          </w:p>
        </w:tc>
      </w:tr>
      <w:tr w14:paraId="6D25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4B33302F">
            <w:pPr>
              <w:numPr>
                <w:ilvl w:val="0"/>
                <w:numId w:val="1"/>
              </w:numPr>
              <w:spacing w:before="62" w:beforeLines="20" w:after="62" w:afterLines="20" w:line="240" w:lineRule="auto"/>
              <w:ind w:firstLine="178"/>
              <w:jc w:val="left"/>
              <w:rPr>
                <w:sz w:val="21"/>
                <w:szCs w:val="21"/>
              </w:rPr>
            </w:pPr>
            <w:r>
              <w:rPr>
                <w:rFonts w:hint="eastAsia"/>
                <w:sz w:val="21"/>
                <w:szCs w:val="21"/>
              </w:rPr>
              <w:t>June</w:t>
            </w:r>
          </w:p>
        </w:tc>
        <w:tc>
          <w:tcPr>
            <w:tcW w:w="860" w:type="pct"/>
            <w:tcBorders>
              <w:top w:val="nil"/>
              <w:left w:val="nil"/>
              <w:bottom w:val="nil"/>
              <w:right w:val="nil"/>
            </w:tcBorders>
          </w:tcPr>
          <w:p w14:paraId="05CC65B3">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0D6649B7">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2826A21C">
            <w:pPr>
              <w:spacing w:before="62" w:beforeLines="20" w:after="62" w:afterLines="20" w:line="240" w:lineRule="auto"/>
              <w:ind w:firstLine="178"/>
              <w:jc w:val="left"/>
              <w:rPr>
                <w:sz w:val="21"/>
                <w:szCs w:val="21"/>
              </w:rPr>
            </w:pPr>
            <w:r>
              <w:rPr>
                <w:rFonts w:hint="eastAsia"/>
                <w:sz w:val="21"/>
                <w:szCs w:val="21"/>
              </w:rPr>
              <w:t>Sunny</w:t>
            </w:r>
          </w:p>
        </w:tc>
      </w:tr>
      <w:tr w14:paraId="2B20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614C3A64">
            <w:pPr>
              <w:spacing w:before="62" w:beforeLines="20" w:after="62" w:afterLines="20" w:line="240" w:lineRule="auto"/>
              <w:ind w:firstLine="178"/>
              <w:jc w:val="left"/>
              <w:rPr>
                <w:sz w:val="21"/>
                <w:szCs w:val="21"/>
              </w:rPr>
            </w:pPr>
            <w:r>
              <w:rPr>
                <w:rFonts w:hint="eastAsia"/>
                <w:sz w:val="21"/>
                <w:szCs w:val="21"/>
              </w:rPr>
              <w:t>14-June</w:t>
            </w:r>
          </w:p>
        </w:tc>
        <w:tc>
          <w:tcPr>
            <w:tcW w:w="860" w:type="pct"/>
            <w:tcBorders>
              <w:top w:val="nil"/>
              <w:left w:val="nil"/>
              <w:bottom w:val="nil"/>
              <w:right w:val="nil"/>
            </w:tcBorders>
          </w:tcPr>
          <w:p w14:paraId="4468F4C1">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09827592">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6CE51344">
            <w:pPr>
              <w:spacing w:before="62" w:beforeLines="20" w:after="62" w:afterLines="20" w:line="240" w:lineRule="auto"/>
              <w:ind w:firstLine="178"/>
              <w:jc w:val="left"/>
              <w:rPr>
                <w:sz w:val="21"/>
                <w:szCs w:val="21"/>
              </w:rPr>
            </w:pPr>
            <w:r>
              <w:rPr>
                <w:rFonts w:hint="eastAsia"/>
                <w:sz w:val="21"/>
                <w:szCs w:val="21"/>
              </w:rPr>
              <w:t>Sunny</w:t>
            </w:r>
          </w:p>
        </w:tc>
      </w:tr>
      <w:tr w14:paraId="60D5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2BD07CCC">
            <w:pPr>
              <w:spacing w:before="62" w:beforeLines="20" w:after="62" w:afterLines="20" w:line="240" w:lineRule="auto"/>
              <w:ind w:firstLine="178"/>
              <w:jc w:val="left"/>
              <w:rPr>
                <w:sz w:val="21"/>
                <w:szCs w:val="21"/>
              </w:rPr>
            </w:pPr>
            <w:r>
              <w:rPr>
                <w:rFonts w:hint="eastAsia"/>
                <w:sz w:val="21"/>
                <w:szCs w:val="21"/>
              </w:rPr>
              <w:t>22-June</w:t>
            </w:r>
          </w:p>
        </w:tc>
        <w:tc>
          <w:tcPr>
            <w:tcW w:w="860" w:type="pct"/>
            <w:tcBorders>
              <w:top w:val="nil"/>
              <w:left w:val="nil"/>
              <w:bottom w:val="nil"/>
              <w:right w:val="nil"/>
            </w:tcBorders>
          </w:tcPr>
          <w:p w14:paraId="78506118">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3EA9BE65">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10F9F918">
            <w:pPr>
              <w:spacing w:before="62" w:beforeLines="20" w:after="62" w:afterLines="20" w:line="240" w:lineRule="auto"/>
              <w:ind w:firstLine="178"/>
              <w:jc w:val="left"/>
              <w:rPr>
                <w:sz w:val="21"/>
                <w:szCs w:val="21"/>
              </w:rPr>
            </w:pPr>
            <w:r>
              <w:rPr>
                <w:rFonts w:hint="eastAsia"/>
                <w:sz w:val="21"/>
                <w:szCs w:val="21"/>
              </w:rPr>
              <w:t>Cloudy</w:t>
            </w:r>
          </w:p>
        </w:tc>
      </w:tr>
      <w:tr w14:paraId="162F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02CED370">
            <w:pPr>
              <w:spacing w:before="62" w:beforeLines="20" w:after="62" w:afterLines="20" w:line="240" w:lineRule="auto"/>
              <w:ind w:firstLine="178"/>
              <w:jc w:val="left"/>
              <w:rPr>
                <w:sz w:val="21"/>
                <w:szCs w:val="21"/>
              </w:rPr>
            </w:pPr>
            <w:r>
              <w:rPr>
                <w:rFonts w:hint="eastAsia"/>
                <w:sz w:val="21"/>
                <w:szCs w:val="21"/>
              </w:rPr>
              <w:t>4-July</w:t>
            </w:r>
          </w:p>
        </w:tc>
        <w:tc>
          <w:tcPr>
            <w:tcW w:w="860" w:type="pct"/>
            <w:tcBorders>
              <w:top w:val="nil"/>
              <w:left w:val="nil"/>
              <w:bottom w:val="nil"/>
              <w:right w:val="nil"/>
            </w:tcBorders>
          </w:tcPr>
          <w:p w14:paraId="53920EB5">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254B173D">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4CC755B4">
            <w:pPr>
              <w:spacing w:before="62" w:beforeLines="20" w:after="62" w:afterLines="20" w:line="240" w:lineRule="auto"/>
              <w:ind w:firstLine="178"/>
              <w:jc w:val="left"/>
              <w:rPr>
                <w:sz w:val="21"/>
                <w:szCs w:val="21"/>
              </w:rPr>
            </w:pPr>
            <w:r>
              <w:rPr>
                <w:rFonts w:hint="eastAsia"/>
                <w:sz w:val="21"/>
                <w:szCs w:val="21"/>
              </w:rPr>
              <w:t>Sunny</w:t>
            </w:r>
          </w:p>
        </w:tc>
      </w:tr>
      <w:tr w14:paraId="3909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3DF43AAF">
            <w:pPr>
              <w:spacing w:before="62" w:beforeLines="20" w:after="62" w:afterLines="20" w:line="240" w:lineRule="auto"/>
              <w:ind w:firstLine="178"/>
              <w:jc w:val="left"/>
              <w:rPr>
                <w:sz w:val="21"/>
                <w:szCs w:val="21"/>
              </w:rPr>
            </w:pPr>
            <w:r>
              <w:rPr>
                <w:rFonts w:hint="eastAsia"/>
                <w:sz w:val="21"/>
                <w:szCs w:val="21"/>
              </w:rPr>
              <w:t>11-July</w:t>
            </w:r>
          </w:p>
        </w:tc>
        <w:tc>
          <w:tcPr>
            <w:tcW w:w="860" w:type="pct"/>
            <w:tcBorders>
              <w:top w:val="nil"/>
              <w:left w:val="nil"/>
              <w:bottom w:val="nil"/>
              <w:right w:val="nil"/>
            </w:tcBorders>
          </w:tcPr>
          <w:p w14:paraId="5D7C2FAD">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003DF377">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63B1DA1F">
            <w:pPr>
              <w:spacing w:before="62" w:beforeLines="20" w:after="62" w:afterLines="20" w:line="240" w:lineRule="auto"/>
              <w:ind w:firstLine="178"/>
              <w:jc w:val="left"/>
              <w:rPr>
                <w:sz w:val="21"/>
                <w:szCs w:val="21"/>
              </w:rPr>
            </w:pPr>
            <w:r>
              <w:rPr>
                <w:rFonts w:hint="eastAsia"/>
                <w:sz w:val="21"/>
                <w:szCs w:val="21"/>
              </w:rPr>
              <w:t>Cloudy</w:t>
            </w:r>
          </w:p>
        </w:tc>
      </w:tr>
      <w:tr w14:paraId="52E2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440FD02D">
            <w:pPr>
              <w:spacing w:before="62" w:beforeLines="20" w:after="62" w:afterLines="20" w:line="240" w:lineRule="auto"/>
              <w:ind w:firstLine="178"/>
              <w:jc w:val="left"/>
              <w:rPr>
                <w:sz w:val="21"/>
                <w:szCs w:val="21"/>
              </w:rPr>
            </w:pPr>
            <w:r>
              <w:rPr>
                <w:rFonts w:hint="eastAsia"/>
                <w:sz w:val="21"/>
                <w:szCs w:val="21"/>
              </w:rPr>
              <w:t>23-July</w:t>
            </w:r>
          </w:p>
        </w:tc>
        <w:tc>
          <w:tcPr>
            <w:tcW w:w="860" w:type="pct"/>
            <w:tcBorders>
              <w:top w:val="nil"/>
              <w:left w:val="nil"/>
              <w:bottom w:val="nil"/>
              <w:right w:val="nil"/>
            </w:tcBorders>
          </w:tcPr>
          <w:p w14:paraId="2DB2257E">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26550FC4">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284AA680">
            <w:pPr>
              <w:spacing w:before="62" w:beforeLines="20" w:after="62" w:afterLines="20" w:line="240" w:lineRule="auto"/>
              <w:ind w:firstLine="178"/>
              <w:jc w:val="left"/>
              <w:rPr>
                <w:sz w:val="21"/>
                <w:szCs w:val="21"/>
              </w:rPr>
            </w:pPr>
            <w:r>
              <w:rPr>
                <w:rFonts w:hint="eastAsia"/>
                <w:sz w:val="21"/>
                <w:szCs w:val="21"/>
              </w:rPr>
              <w:t>Sunny</w:t>
            </w:r>
          </w:p>
        </w:tc>
      </w:tr>
      <w:tr w14:paraId="589E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4C54249A">
            <w:pPr>
              <w:spacing w:before="62" w:beforeLines="20" w:after="62" w:afterLines="20" w:line="240" w:lineRule="auto"/>
              <w:ind w:firstLine="178"/>
              <w:jc w:val="left"/>
              <w:rPr>
                <w:sz w:val="21"/>
                <w:szCs w:val="21"/>
              </w:rPr>
            </w:pPr>
            <w:r>
              <w:rPr>
                <w:rFonts w:hint="eastAsia"/>
                <w:sz w:val="21"/>
                <w:szCs w:val="21"/>
              </w:rPr>
              <w:t>2-August</w:t>
            </w:r>
          </w:p>
        </w:tc>
        <w:tc>
          <w:tcPr>
            <w:tcW w:w="860" w:type="pct"/>
            <w:tcBorders>
              <w:top w:val="nil"/>
              <w:left w:val="nil"/>
              <w:bottom w:val="nil"/>
              <w:right w:val="nil"/>
            </w:tcBorders>
          </w:tcPr>
          <w:p w14:paraId="530D00CF">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34E4EF60">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4DBFF81C">
            <w:pPr>
              <w:spacing w:before="62" w:beforeLines="20" w:after="62" w:afterLines="20" w:line="240" w:lineRule="auto"/>
              <w:ind w:firstLine="178"/>
              <w:jc w:val="left"/>
              <w:rPr>
                <w:sz w:val="21"/>
                <w:szCs w:val="21"/>
              </w:rPr>
            </w:pPr>
            <w:r>
              <w:rPr>
                <w:rFonts w:hint="eastAsia"/>
                <w:sz w:val="21"/>
                <w:szCs w:val="21"/>
              </w:rPr>
              <w:t>Sunny</w:t>
            </w:r>
          </w:p>
        </w:tc>
      </w:tr>
      <w:tr w14:paraId="5BE3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nil"/>
              <w:right w:val="nil"/>
            </w:tcBorders>
          </w:tcPr>
          <w:p w14:paraId="491FB300">
            <w:pPr>
              <w:spacing w:before="62" w:beforeLines="20" w:after="62" w:afterLines="20" w:line="240" w:lineRule="auto"/>
              <w:ind w:firstLine="178"/>
              <w:jc w:val="left"/>
              <w:rPr>
                <w:sz w:val="21"/>
                <w:szCs w:val="21"/>
              </w:rPr>
            </w:pPr>
            <w:r>
              <w:rPr>
                <w:rFonts w:hint="eastAsia"/>
                <w:sz w:val="21"/>
                <w:szCs w:val="21"/>
              </w:rPr>
              <w:t>13-August</w:t>
            </w:r>
          </w:p>
        </w:tc>
        <w:tc>
          <w:tcPr>
            <w:tcW w:w="860" w:type="pct"/>
            <w:tcBorders>
              <w:top w:val="nil"/>
              <w:left w:val="nil"/>
              <w:bottom w:val="nil"/>
              <w:right w:val="nil"/>
            </w:tcBorders>
          </w:tcPr>
          <w:p w14:paraId="6022D24D">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nil"/>
              <w:right w:val="nil"/>
            </w:tcBorders>
          </w:tcPr>
          <w:p w14:paraId="32EAC2DE">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nil"/>
              <w:right w:val="nil"/>
            </w:tcBorders>
          </w:tcPr>
          <w:p w14:paraId="734291E4">
            <w:pPr>
              <w:spacing w:before="62" w:beforeLines="20" w:after="62" w:afterLines="20" w:line="240" w:lineRule="auto"/>
              <w:ind w:firstLine="178"/>
              <w:jc w:val="left"/>
              <w:rPr>
                <w:sz w:val="21"/>
                <w:szCs w:val="21"/>
              </w:rPr>
            </w:pPr>
            <w:r>
              <w:rPr>
                <w:rFonts w:hint="eastAsia"/>
                <w:sz w:val="21"/>
                <w:szCs w:val="21"/>
              </w:rPr>
              <w:t>Sunny</w:t>
            </w:r>
          </w:p>
        </w:tc>
      </w:tr>
      <w:tr w14:paraId="1C4A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3" w:type="pct"/>
            <w:tcBorders>
              <w:top w:val="nil"/>
              <w:left w:val="nil"/>
              <w:bottom w:val="single" w:color="auto" w:sz="12" w:space="0"/>
              <w:right w:val="nil"/>
            </w:tcBorders>
          </w:tcPr>
          <w:p w14:paraId="4DC129CA">
            <w:pPr>
              <w:spacing w:before="62" w:beforeLines="20" w:after="62" w:afterLines="20" w:line="240" w:lineRule="auto"/>
              <w:ind w:firstLine="178"/>
              <w:jc w:val="left"/>
              <w:rPr>
                <w:sz w:val="21"/>
                <w:szCs w:val="21"/>
              </w:rPr>
            </w:pPr>
            <w:r>
              <w:rPr>
                <w:rFonts w:hint="eastAsia"/>
                <w:sz w:val="21"/>
                <w:szCs w:val="21"/>
              </w:rPr>
              <w:t>23-August</w:t>
            </w:r>
          </w:p>
        </w:tc>
        <w:tc>
          <w:tcPr>
            <w:tcW w:w="860" w:type="pct"/>
            <w:tcBorders>
              <w:top w:val="nil"/>
              <w:left w:val="nil"/>
              <w:bottom w:val="single" w:color="auto" w:sz="12" w:space="0"/>
              <w:right w:val="nil"/>
            </w:tcBorders>
          </w:tcPr>
          <w:p w14:paraId="066D0BF1">
            <w:pPr>
              <w:spacing w:before="62" w:beforeLines="20" w:after="62" w:afterLines="20" w:line="240" w:lineRule="auto"/>
              <w:ind w:firstLine="178"/>
              <w:jc w:val="left"/>
              <w:rPr>
                <w:sz w:val="21"/>
                <w:szCs w:val="21"/>
              </w:rPr>
            </w:pPr>
            <w:r>
              <w:rPr>
                <w:rFonts w:hint="eastAsia"/>
                <w:sz w:val="21"/>
                <w:szCs w:val="21"/>
              </w:rPr>
              <w:t>√</w:t>
            </w:r>
          </w:p>
        </w:tc>
        <w:tc>
          <w:tcPr>
            <w:tcW w:w="1530" w:type="pct"/>
            <w:tcBorders>
              <w:top w:val="nil"/>
              <w:left w:val="nil"/>
              <w:bottom w:val="single" w:color="auto" w:sz="12" w:space="0"/>
              <w:right w:val="nil"/>
            </w:tcBorders>
          </w:tcPr>
          <w:p w14:paraId="206FE310">
            <w:pPr>
              <w:spacing w:before="62" w:beforeLines="20" w:after="62" w:afterLines="20" w:line="240" w:lineRule="auto"/>
              <w:ind w:firstLine="178"/>
              <w:jc w:val="left"/>
              <w:rPr>
                <w:sz w:val="21"/>
                <w:szCs w:val="21"/>
              </w:rPr>
            </w:pPr>
            <w:r>
              <w:rPr>
                <w:rFonts w:hint="eastAsia"/>
                <w:sz w:val="21"/>
                <w:szCs w:val="21"/>
              </w:rPr>
              <w:t>√</w:t>
            </w:r>
          </w:p>
        </w:tc>
        <w:tc>
          <w:tcPr>
            <w:tcW w:w="1145" w:type="pct"/>
            <w:tcBorders>
              <w:top w:val="nil"/>
              <w:left w:val="nil"/>
              <w:bottom w:val="single" w:color="auto" w:sz="12" w:space="0"/>
              <w:right w:val="nil"/>
            </w:tcBorders>
          </w:tcPr>
          <w:p w14:paraId="7F668D5D">
            <w:pPr>
              <w:spacing w:before="62" w:beforeLines="20" w:after="62" w:afterLines="20" w:line="240" w:lineRule="auto"/>
              <w:ind w:firstLine="178"/>
              <w:jc w:val="left"/>
              <w:rPr>
                <w:sz w:val="21"/>
                <w:szCs w:val="21"/>
              </w:rPr>
            </w:pPr>
            <w:r>
              <w:rPr>
                <w:rFonts w:hint="eastAsia"/>
                <w:sz w:val="21"/>
                <w:szCs w:val="21"/>
              </w:rPr>
              <w:t>Sunny</w:t>
            </w:r>
          </w:p>
        </w:tc>
      </w:tr>
    </w:tbl>
    <w:p w14:paraId="625E5750">
      <w:pPr>
        <w:spacing w:before="0" w:beforeLines="0" w:after="156"/>
        <w:ind w:firstLine="0" w:firstLineChars="0"/>
      </w:pPr>
      <w:r>
        <w:rPr>
          <w:rFonts w:hint="eastAsia"/>
        </w:rPr>
        <w:t>Note:√indicates that the corresponding work was carried out on that day.</w:t>
      </w:r>
    </w:p>
    <w:p w14:paraId="71237B9C">
      <w:pPr>
        <w:pStyle w:val="3"/>
        <w:rPr>
          <w:i/>
          <w:iCs/>
        </w:rPr>
      </w:pPr>
      <w:r>
        <w:rPr>
          <w:rFonts w:hint="eastAsia"/>
          <w:i/>
          <w:iCs/>
        </w:rPr>
        <w:t xml:space="preserve"> </w:t>
      </w:r>
      <w:r>
        <w:rPr>
          <w:rFonts w:hint="eastAsia"/>
          <w:i w:val="0"/>
          <w:iCs w:val="0"/>
        </w:rPr>
        <w:t>Ground-synchronous observations</w:t>
      </w:r>
    </w:p>
    <w:p w14:paraId="794A005C">
      <w:pPr>
        <w:spacing w:before="0" w:beforeLines="0" w:after="0" w:afterLines="0"/>
        <w:ind w:firstLine="480" w:firstLineChars="200"/>
      </w:pPr>
      <w:r>
        <w:rPr>
          <w:rFonts w:hint="eastAsia"/>
        </w:rPr>
        <w:t>On each UAV flight day, ground observations were carried out simultaneously, including field water level, soil volumetric water content, greenhouse gas fluxes, plant height, and leaf area index (LAI). Field water level was continuously monitored using a water level meter (model to be specified). Soil volumetric water content was measured using a Dongfang Zhigan soil moisture sensor, while the traditional oven-drying gravimetric method was used to determine volumetric water content in the 0-20 mm soil layer, with three measurements taken in each plot. In situ monitoring was conducted using a soil moisture sensor (ET-40/60), which measures soil volumetric water content based on the frequency domain reflectometry (FDR) principle at a depth of 20 mm to reflect soil moisture conditions in the root zone. Greenhouse gas fluxes were sampled between 8:00 and 11:00 using a portable gas collection device to obtain information on greenhouse gas emissions from the paddy field; the specific calculation formula was based on a published reference (to be added). Plant height was measured manually with a measuring tape, with three replicate sampling points set in each plot. LAI was measured using an LP-80 plant canopy analyzer at locations corresponding to the UAV observations. Soil moisture and LAI were measured synchronously on each UAV flight day, while greenhouse gas fluxes were measured every 7 days during the rice growing season.</w:t>
      </w:r>
    </w:p>
    <w:p w14:paraId="63E7DCF4">
      <w:pPr>
        <w:pStyle w:val="2"/>
        <w:numPr>
          <w:ilvl w:val="0"/>
          <w:numId w:val="0"/>
        </w:numPr>
        <w:ind w:leftChars="0"/>
        <w:rPr>
          <w:rFonts w:hint="eastAsia"/>
          <w:i w:val="0"/>
          <w:iCs w:val="0"/>
        </w:rPr>
      </w:pPr>
      <w:r>
        <w:rPr>
          <w:rFonts w:hint="eastAsia"/>
          <w:i w:val="0"/>
          <w:iCs w:val="0"/>
        </w:rPr>
        <w:t>Supplementary Note S2:Image processing and ETc estimation framework</w:t>
      </w:r>
    </w:p>
    <w:p w14:paraId="26FCD0D2">
      <w:pPr>
        <w:pStyle w:val="2"/>
        <w:numPr>
          <w:ilvl w:val="0"/>
          <w:numId w:val="0"/>
        </w:numPr>
        <w:ind w:leftChars="0"/>
        <w:rPr>
          <w:rFonts w:hint="eastAsia"/>
          <w:i w:val="0"/>
          <w:iCs w:val="0"/>
        </w:rPr>
      </w:pPr>
      <w:r>
        <w:rPr>
          <w:rFonts w:hint="eastAsia"/>
          <w:i w:val="0"/>
          <w:iCs w:val="0"/>
        </w:rPr>
        <w:t>Image preprocessing</w:t>
      </w:r>
    </w:p>
    <w:p w14:paraId="7066A914">
      <w:pPr>
        <w:spacing w:before="156" w:after="156"/>
        <w:ind w:firstLine="480" w:firstLineChars="200"/>
      </w:pPr>
      <w:r>
        <w:rPr>
          <w:rFonts w:hint="eastAsia"/>
        </w:rPr>
        <w:t>The RGB, multispectral, and thermal infrared images acquired by the UAV were first processed in Pix4Dmapper for image mosaicking and geometric correction. During the flight, multispectral images were radiometrically calibrated using black-and-white reference reflectance panels, and the original digital numbers were converted into surface reflectance values. Thermal infrared images were radiometrically calibrated and temperature retrieval was performed in combination with environmental parameters to obtain land surface temperature distribution information.</w:t>
      </w:r>
    </w:p>
    <w:p w14:paraId="2D715E07">
      <w:pPr>
        <w:pStyle w:val="3"/>
        <w:rPr>
          <w:i w:val="0"/>
          <w:iCs w:val="0"/>
        </w:rPr>
      </w:pPr>
      <w:r>
        <w:rPr>
          <w:rFonts w:hint="eastAsia"/>
          <w:i w:val="0"/>
          <w:iCs w:val="0"/>
        </w:rPr>
        <w:t>Extraction of canopy spectral information</w:t>
      </w:r>
    </w:p>
    <w:p w14:paraId="7130EC76">
      <w:pPr>
        <w:spacing w:before="156" w:after="156"/>
        <w:ind w:firstLine="480" w:firstLineChars="200"/>
        <w:rPr>
          <w:rFonts w:hAnsi="Times New Roman"/>
        </w:rPr>
      </w:pPr>
      <w:r>
        <w:rPr>
          <w:rFonts w:hAnsi="Times New Roman"/>
        </w:rPr>
        <w:t xml:space="preserve">Based on the mosaicked multispectral imagery, information from the red, green, blue, red-edge, and near-infrared bands was extracted, and vegetation indices (VIs) were further calculated to characterize rice canopy growth status. In this study, NDVI, SAVI, and EVI were selected as candidate indicators for representing the basal crop coefficient (Kcb), and their calculation formulas are presented in Table </w:t>
      </w:r>
      <w:r>
        <w:rPr>
          <w:rFonts w:hint="eastAsia" w:hAnsi="Times New Roman"/>
          <w:lang w:val="en-US" w:eastAsia="zh-CN"/>
        </w:rPr>
        <w:t>S2</w:t>
      </w:r>
      <w:r>
        <w:rPr>
          <w:rFonts w:hAnsi="Times New Roman"/>
        </w:rPr>
        <w:t>.</w:t>
      </w:r>
    </w:p>
    <w:p w14:paraId="4B4A1AFA">
      <w:pPr>
        <w:spacing w:before="156" w:after="0" w:afterLines="0"/>
        <w:ind w:firstLine="0" w:firstLineChars="0"/>
        <w:jc w:val="left"/>
        <w:rPr>
          <w:rFonts w:hAnsi="Times New Roman"/>
          <w:b/>
          <w:bCs/>
        </w:rPr>
      </w:pPr>
      <w:r>
        <w:rPr>
          <w:rFonts w:hAnsi="Times New Roman"/>
          <w:b/>
          <w:bCs/>
        </w:rPr>
        <w:t xml:space="preserve">Table </w:t>
      </w:r>
      <w:r>
        <w:rPr>
          <w:rFonts w:hint="eastAsia" w:hAnsi="Times New Roman"/>
          <w:b/>
          <w:bCs/>
          <w:lang w:val="en-US" w:eastAsia="zh-CN"/>
        </w:rPr>
        <w:t>S2</w:t>
      </w:r>
      <w:r>
        <w:rPr>
          <w:rFonts w:hAnsi="Times New Roman"/>
          <w:b/>
          <w:bCs/>
        </w:rPr>
        <w:t xml:space="preserve"> </w:t>
      </w:r>
    </w:p>
    <w:p w14:paraId="7CEC545D">
      <w:pPr>
        <w:spacing w:before="156" w:after="0" w:afterLines="0"/>
        <w:ind w:firstLine="0" w:firstLineChars="0"/>
        <w:jc w:val="left"/>
        <w:rPr>
          <w:rFonts w:hAnsi="Times New Roman"/>
        </w:rPr>
      </w:pPr>
      <w:r>
        <w:rPr>
          <w:rFonts w:hAnsi="Times New Roman"/>
        </w:rPr>
        <w:t>Formulas for calculating vegetation indices</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3240"/>
        <w:gridCol w:w="3656"/>
        <w:gridCol w:w="2351"/>
      </w:tblGrid>
      <w:tr w14:paraId="4753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dxa"/>
            <w:tcBorders>
              <w:top w:val="single" w:color="auto" w:sz="12" w:space="0"/>
              <w:left w:val="nil"/>
              <w:bottom w:val="single" w:color="auto" w:sz="6" w:space="0"/>
              <w:right w:val="nil"/>
            </w:tcBorders>
            <w:vAlign w:val="center"/>
          </w:tcPr>
          <w:p w14:paraId="2D979336">
            <w:pPr>
              <w:spacing w:before="62" w:beforeLines="20" w:after="62" w:afterLines="20"/>
              <w:ind w:firstLine="0" w:firstLineChars="0"/>
              <w:jc w:val="left"/>
              <w:rPr>
                <w:rFonts w:hAnsi="Times New Roman"/>
                <w:sz w:val="21"/>
                <w:szCs w:val="21"/>
              </w:rPr>
            </w:pPr>
            <w:r>
              <w:rPr>
                <w:rFonts w:hint="eastAsia" w:hAnsi="Times New Roman"/>
                <w:sz w:val="21"/>
                <w:szCs w:val="21"/>
              </w:rPr>
              <w:t>Sensor</w:t>
            </w:r>
          </w:p>
        </w:tc>
        <w:tc>
          <w:tcPr>
            <w:tcW w:w="3240" w:type="dxa"/>
            <w:tcBorders>
              <w:top w:val="single" w:color="auto" w:sz="12" w:space="0"/>
              <w:left w:val="nil"/>
              <w:bottom w:val="single" w:color="auto" w:sz="6" w:space="0"/>
              <w:right w:val="nil"/>
            </w:tcBorders>
            <w:vAlign w:val="center"/>
          </w:tcPr>
          <w:p w14:paraId="2AF75563">
            <w:pPr>
              <w:spacing w:before="62" w:beforeLines="20" w:after="62" w:afterLines="20"/>
              <w:ind w:firstLine="0" w:firstLineChars="0"/>
              <w:jc w:val="left"/>
              <w:rPr>
                <w:rFonts w:hAnsi="Times New Roman"/>
                <w:sz w:val="21"/>
                <w:szCs w:val="21"/>
              </w:rPr>
            </w:pPr>
            <w:r>
              <w:rPr>
                <w:rFonts w:hint="eastAsia" w:hAnsi="Times New Roman"/>
                <w:sz w:val="21"/>
                <w:szCs w:val="21"/>
              </w:rPr>
              <w:t>Features</w:t>
            </w:r>
          </w:p>
        </w:tc>
        <w:tc>
          <w:tcPr>
            <w:tcW w:w="3656" w:type="dxa"/>
            <w:tcBorders>
              <w:top w:val="single" w:color="auto" w:sz="12" w:space="0"/>
              <w:left w:val="nil"/>
              <w:bottom w:val="single" w:color="auto" w:sz="6" w:space="0"/>
              <w:right w:val="nil"/>
            </w:tcBorders>
            <w:vAlign w:val="center"/>
          </w:tcPr>
          <w:p w14:paraId="6D93777A">
            <w:pPr>
              <w:spacing w:before="62" w:beforeLines="20" w:after="62" w:afterLines="20"/>
              <w:ind w:firstLine="0" w:firstLineChars="0"/>
              <w:jc w:val="left"/>
              <w:rPr>
                <w:rFonts w:hAnsi="Times New Roman"/>
                <w:sz w:val="21"/>
                <w:szCs w:val="21"/>
              </w:rPr>
            </w:pPr>
            <w:r>
              <w:rPr>
                <w:rFonts w:hint="eastAsia" w:hAnsi="Times New Roman"/>
                <w:sz w:val="21"/>
                <w:szCs w:val="21"/>
              </w:rPr>
              <w:t>Formulation</w:t>
            </w:r>
          </w:p>
        </w:tc>
        <w:tc>
          <w:tcPr>
            <w:tcW w:w="2351" w:type="dxa"/>
            <w:tcBorders>
              <w:top w:val="single" w:color="auto" w:sz="12" w:space="0"/>
              <w:left w:val="nil"/>
              <w:bottom w:val="single" w:color="auto" w:sz="6" w:space="0"/>
              <w:right w:val="nil"/>
            </w:tcBorders>
            <w:vAlign w:val="center"/>
          </w:tcPr>
          <w:p w14:paraId="4D5B6C38">
            <w:pPr>
              <w:spacing w:before="62" w:beforeLines="20" w:after="62" w:afterLines="20"/>
              <w:ind w:firstLine="0" w:firstLineChars="0"/>
              <w:jc w:val="left"/>
              <w:rPr>
                <w:rFonts w:hAnsi="Times New Roman"/>
                <w:sz w:val="21"/>
                <w:szCs w:val="21"/>
              </w:rPr>
            </w:pPr>
            <w:r>
              <w:rPr>
                <w:rFonts w:hint="eastAsia" w:hAnsi="Times New Roman"/>
                <w:sz w:val="21"/>
                <w:szCs w:val="21"/>
              </w:rPr>
              <w:t>Reference</w:t>
            </w:r>
          </w:p>
        </w:tc>
      </w:tr>
      <w:tr w14:paraId="2B08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dxa"/>
            <w:tcBorders>
              <w:top w:val="single" w:color="auto" w:sz="6" w:space="0"/>
              <w:left w:val="nil"/>
              <w:bottom w:val="nil"/>
              <w:right w:val="nil"/>
            </w:tcBorders>
            <w:vAlign w:val="center"/>
          </w:tcPr>
          <w:p w14:paraId="6A381B16">
            <w:pPr>
              <w:spacing w:before="62" w:beforeLines="20" w:after="62" w:afterLines="20"/>
              <w:ind w:firstLine="0" w:firstLineChars="0"/>
              <w:jc w:val="left"/>
              <w:rPr>
                <w:rFonts w:hAnsi="Times New Roman"/>
                <w:sz w:val="21"/>
                <w:szCs w:val="21"/>
              </w:rPr>
            </w:pPr>
            <w:r>
              <w:rPr>
                <w:rFonts w:hint="eastAsia" w:hAnsi="Times New Roman"/>
                <w:sz w:val="21"/>
                <w:szCs w:val="21"/>
              </w:rPr>
              <w:t>RGB</w:t>
            </w:r>
          </w:p>
        </w:tc>
        <w:tc>
          <w:tcPr>
            <w:tcW w:w="3240" w:type="dxa"/>
            <w:tcBorders>
              <w:top w:val="single" w:color="auto" w:sz="6" w:space="0"/>
              <w:left w:val="nil"/>
              <w:bottom w:val="nil"/>
              <w:right w:val="nil"/>
            </w:tcBorders>
            <w:vAlign w:val="center"/>
          </w:tcPr>
          <w:p w14:paraId="05740E29">
            <w:pPr>
              <w:spacing w:before="62" w:beforeLines="20" w:after="62" w:afterLines="20"/>
              <w:ind w:firstLine="0" w:firstLineChars="0"/>
              <w:jc w:val="left"/>
              <w:rPr>
                <w:rFonts w:hAnsi="Times New Roman"/>
                <w:sz w:val="21"/>
                <w:szCs w:val="21"/>
              </w:rPr>
            </w:pPr>
            <w:r>
              <w:rPr>
                <w:rFonts w:hAnsi="Times New Roman"/>
                <w:sz w:val="21"/>
                <w:szCs w:val="21"/>
                <w:lang w:bidi="ar"/>
              </w:rPr>
              <w:t>Red-green ratio index</w:t>
            </w:r>
          </w:p>
        </w:tc>
        <w:tc>
          <w:tcPr>
            <w:tcW w:w="3656" w:type="dxa"/>
            <w:tcBorders>
              <w:top w:val="single" w:color="auto" w:sz="6" w:space="0"/>
              <w:left w:val="nil"/>
              <w:bottom w:val="nil"/>
              <w:right w:val="nil"/>
            </w:tcBorders>
            <w:vAlign w:val="center"/>
          </w:tcPr>
          <w:p w14:paraId="504FF557">
            <w:pPr>
              <w:spacing w:before="62" w:beforeLines="20" w:after="62" w:afterLines="20"/>
              <w:ind w:firstLine="0" w:firstLineChars="0"/>
              <w:jc w:val="left"/>
              <w:rPr>
                <w:rFonts w:hAnsi="Times New Roman"/>
                <w:sz w:val="21"/>
                <w:szCs w:val="21"/>
              </w:rPr>
            </w:pPr>
            <w:r>
              <w:rPr>
                <w:rFonts w:hAnsi="Times New Roman"/>
                <w:position w:val="-32"/>
                <w:sz w:val="21"/>
                <w:szCs w:val="21"/>
              </w:rPr>
              <w:object>
                <v:shape id="_x0000_i1025" o:spt="75" type="#_x0000_t75" style="height:35pt;width:72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p>
        </w:tc>
        <w:tc>
          <w:tcPr>
            <w:tcW w:w="2351" w:type="dxa"/>
            <w:tcBorders>
              <w:top w:val="single" w:color="auto" w:sz="6" w:space="0"/>
              <w:left w:val="nil"/>
              <w:bottom w:val="nil"/>
              <w:right w:val="nil"/>
            </w:tcBorders>
            <w:vAlign w:val="center"/>
          </w:tcPr>
          <w:p w14:paraId="2683D828">
            <w:pPr>
              <w:spacing w:before="62" w:beforeLines="20" w:after="62" w:afterLines="20"/>
              <w:ind w:firstLine="0" w:firstLineChars="0"/>
              <w:jc w:val="left"/>
              <w:rPr>
                <w:rFonts w:hAnsi="Times New Roman"/>
                <w:sz w:val="21"/>
                <w:szCs w:val="21"/>
              </w:rPr>
            </w:pPr>
            <w:r>
              <w:rPr>
                <w:rFonts w:hAnsi="Times New Roman"/>
                <w:sz w:val="21"/>
                <w:szCs w:val="21"/>
                <w:lang w:bidi="ar"/>
              </w:rPr>
              <w:t>(</w:t>
            </w:r>
            <w:r>
              <w:rPr>
                <w:rFonts w:hAnsi="Times New Roman"/>
                <w:color w:val="00B0F0"/>
                <w:sz w:val="21"/>
                <w:szCs w:val="21"/>
                <w:lang w:bidi="ar"/>
              </w:rPr>
              <w:t>Verrelst et al., 2008</w:t>
            </w:r>
            <w:r>
              <w:rPr>
                <w:rFonts w:hAnsi="Times New Roman"/>
                <w:sz w:val="21"/>
                <w:szCs w:val="21"/>
                <w:lang w:bidi="ar"/>
              </w:rPr>
              <w:t>)</w:t>
            </w:r>
          </w:p>
        </w:tc>
      </w:tr>
      <w:tr w14:paraId="463F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dxa"/>
            <w:tcBorders>
              <w:top w:val="nil"/>
              <w:left w:val="nil"/>
              <w:bottom w:val="nil"/>
              <w:right w:val="nil"/>
            </w:tcBorders>
            <w:vAlign w:val="center"/>
          </w:tcPr>
          <w:p w14:paraId="78FD3E4F">
            <w:pPr>
              <w:spacing w:before="62" w:beforeLines="20" w:after="62" w:afterLines="20"/>
              <w:ind w:firstLine="0" w:firstLineChars="0"/>
              <w:jc w:val="left"/>
              <w:rPr>
                <w:rFonts w:hAnsi="Times New Roman"/>
                <w:sz w:val="21"/>
                <w:szCs w:val="21"/>
              </w:rPr>
            </w:pPr>
            <w:r>
              <w:rPr>
                <w:rFonts w:hint="eastAsia" w:hAnsi="Times New Roman"/>
                <w:sz w:val="21"/>
                <w:szCs w:val="21"/>
              </w:rPr>
              <w:t>Red-edge</w:t>
            </w:r>
          </w:p>
        </w:tc>
        <w:tc>
          <w:tcPr>
            <w:tcW w:w="3240" w:type="dxa"/>
            <w:tcBorders>
              <w:top w:val="nil"/>
              <w:left w:val="nil"/>
              <w:bottom w:val="nil"/>
              <w:right w:val="nil"/>
            </w:tcBorders>
            <w:vAlign w:val="center"/>
          </w:tcPr>
          <w:p w14:paraId="264C6093">
            <w:pPr>
              <w:spacing w:before="62" w:beforeLines="20" w:after="62" w:afterLines="20"/>
              <w:ind w:firstLine="0" w:firstLineChars="0"/>
              <w:jc w:val="left"/>
              <w:rPr>
                <w:rFonts w:hAnsi="Times New Roman"/>
                <w:sz w:val="21"/>
                <w:szCs w:val="21"/>
              </w:rPr>
            </w:pPr>
            <w:r>
              <w:rPr>
                <w:rFonts w:hAnsi="Times New Roman"/>
                <w:sz w:val="21"/>
                <w:szCs w:val="21"/>
                <w:lang w:bidi="ar"/>
              </w:rPr>
              <w:t>Normalized difference vegetation index</w:t>
            </w:r>
          </w:p>
        </w:tc>
        <w:tc>
          <w:tcPr>
            <w:tcW w:w="3656" w:type="dxa"/>
            <w:tcBorders>
              <w:top w:val="nil"/>
              <w:left w:val="nil"/>
              <w:bottom w:val="nil"/>
              <w:right w:val="nil"/>
            </w:tcBorders>
            <w:vAlign w:val="center"/>
          </w:tcPr>
          <w:p w14:paraId="5B21B540">
            <w:pPr>
              <w:spacing w:before="62" w:beforeLines="20" w:after="62" w:afterLines="20"/>
              <w:ind w:firstLine="0" w:firstLineChars="0"/>
              <w:jc w:val="left"/>
              <w:rPr>
                <w:rFonts w:hAnsi="Times New Roman"/>
                <w:sz w:val="21"/>
                <w:szCs w:val="21"/>
              </w:rPr>
            </w:pPr>
            <w:r>
              <w:rPr>
                <w:rFonts w:hAnsi="Times New Roman"/>
                <w:position w:val="-30"/>
                <w:sz w:val="21"/>
                <w:szCs w:val="21"/>
              </w:rPr>
              <w:object>
                <v:shape id="_x0000_i1026" o:spt="75" type="#_x0000_t75" style="height:34pt;width:94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hint="eastAsia" w:hAnsi="Times New Roman"/>
                <w:sz w:val="21"/>
                <w:szCs w:val="21"/>
              </w:rPr>
              <w:t xml:space="preserve"> </w:t>
            </w:r>
          </w:p>
        </w:tc>
        <w:tc>
          <w:tcPr>
            <w:tcW w:w="2351" w:type="dxa"/>
            <w:tcBorders>
              <w:top w:val="nil"/>
              <w:left w:val="nil"/>
              <w:bottom w:val="nil"/>
              <w:right w:val="nil"/>
            </w:tcBorders>
            <w:vAlign w:val="center"/>
          </w:tcPr>
          <w:p w14:paraId="37334DE3">
            <w:pPr>
              <w:spacing w:before="62" w:beforeLines="20" w:after="62" w:afterLines="20"/>
              <w:ind w:firstLine="0" w:firstLineChars="0"/>
              <w:jc w:val="left"/>
              <w:rPr>
                <w:rFonts w:hAnsi="Times New Roman"/>
                <w:sz w:val="21"/>
                <w:szCs w:val="21"/>
              </w:rPr>
            </w:pPr>
            <w:r>
              <w:rPr>
                <w:rFonts w:hAnsi="Times New Roman"/>
                <w:sz w:val="21"/>
                <w:szCs w:val="21"/>
                <w:lang w:bidi="ar"/>
              </w:rPr>
              <w:t>(</w:t>
            </w:r>
            <w:r>
              <w:rPr>
                <w:rFonts w:hAnsi="Times New Roman"/>
                <w:color w:val="00B0F0"/>
                <w:sz w:val="21"/>
                <w:szCs w:val="21"/>
                <w:lang w:bidi="ar"/>
              </w:rPr>
              <w:t>Rouse et al., 1974</w:t>
            </w:r>
            <w:r>
              <w:rPr>
                <w:rFonts w:hAnsi="Times New Roman"/>
                <w:sz w:val="21"/>
                <w:szCs w:val="21"/>
                <w:lang w:bidi="ar"/>
              </w:rPr>
              <w:t>)</w:t>
            </w:r>
          </w:p>
        </w:tc>
      </w:tr>
      <w:tr w14:paraId="618B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dxa"/>
            <w:tcBorders>
              <w:top w:val="nil"/>
              <w:left w:val="nil"/>
              <w:bottom w:val="nil"/>
              <w:right w:val="nil"/>
            </w:tcBorders>
            <w:vAlign w:val="center"/>
          </w:tcPr>
          <w:p w14:paraId="1B36515F">
            <w:pPr>
              <w:spacing w:before="62" w:beforeLines="20" w:after="62" w:afterLines="20"/>
              <w:ind w:firstLine="0" w:firstLineChars="0"/>
              <w:jc w:val="left"/>
              <w:rPr>
                <w:rFonts w:hAnsi="Times New Roman"/>
                <w:sz w:val="21"/>
                <w:szCs w:val="21"/>
              </w:rPr>
            </w:pPr>
            <w:r>
              <w:rPr>
                <w:rFonts w:hint="eastAsia" w:hAnsi="Times New Roman"/>
                <w:sz w:val="21"/>
                <w:szCs w:val="21"/>
              </w:rPr>
              <w:t>Red-edge</w:t>
            </w:r>
          </w:p>
        </w:tc>
        <w:tc>
          <w:tcPr>
            <w:tcW w:w="3240" w:type="dxa"/>
            <w:tcBorders>
              <w:top w:val="nil"/>
              <w:left w:val="nil"/>
              <w:bottom w:val="nil"/>
              <w:right w:val="nil"/>
            </w:tcBorders>
            <w:vAlign w:val="center"/>
          </w:tcPr>
          <w:p w14:paraId="0DDC6947">
            <w:pPr>
              <w:spacing w:before="62" w:beforeLines="20" w:after="62" w:afterLines="20"/>
              <w:ind w:firstLine="0" w:firstLineChars="0"/>
              <w:jc w:val="left"/>
              <w:rPr>
                <w:rFonts w:hAnsi="Times New Roman"/>
                <w:sz w:val="21"/>
                <w:szCs w:val="21"/>
              </w:rPr>
            </w:pPr>
            <w:r>
              <w:rPr>
                <w:rFonts w:hAnsi="Times New Roman"/>
                <w:sz w:val="21"/>
                <w:szCs w:val="21"/>
                <w:lang w:bidi="ar"/>
              </w:rPr>
              <w:t>Soil</w:t>
            </w:r>
            <w:r>
              <w:rPr>
                <w:rFonts w:hint="eastAsia" w:hAnsi="Times New Roman"/>
                <w:sz w:val="21"/>
                <w:szCs w:val="21"/>
                <w:lang w:bidi="ar"/>
              </w:rPr>
              <w:t xml:space="preserve"> adjusted </w:t>
            </w:r>
            <w:r>
              <w:rPr>
                <w:rFonts w:hAnsi="Times New Roman"/>
                <w:sz w:val="21"/>
                <w:szCs w:val="21"/>
                <w:lang w:bidi="ar"/>
              </w:rPr>
              <w:t>vegetation index</w:t>
            </w:r>
          </w:p>
        </w:tc>
        <w:tc>
          <w:tcPr>
            <w:tcW w:w="3656" w:type="dxa"/>
            <w:tcBorders>
              <w:top w:val="nil"/>
              <w:left w:val="nil"/>
              <w:bottom w:val="nil"/>
              <w:right w:val="nil"/>
            </w:tcBorders>
            <w:vAlign w:val="center"/>
          </w:tcPr>
          <w:p w14:paraId="5BBF925F">
            <w:pPr>
              <w:spacing w:before="62" w:beforeLines="20" w:after="62" w:afterLines="20"/>
              <w:ind w:firstLine="0" w:firstLineChars="0"/>
              <w:jc w:val="left"/>
              <w:rPr>
                <w:rFonts w:hAnsi="Times New Roman"/>
                <w:sz w:val="21"/>
                <w:szCs w:val="21"/>
              </w:rPr>
            </w:pPr>
            <w:r>
              <w:rPr>
                <w:rFonts w:hAnsi="Times New Roman"/>
                <w:position w:val="-30"/>
                <w:sz w:val="21"/>
                <w:szCs w:val="21"/>
              </w:rPr>
              <w:object>
                <v:shape id="_x0000_i1027" o:spt="75" type="#_x0000_t75" style="height:34pt;width:159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p>
        </w:tc>
        <w:tc>
          <w:tcPr>
            <w:tcW w:w="2351" w:type="dxa"/>
            <w:tcBorders>
              <w:top w:val="nil"/>
              <w:left w:val="nil"/>
              <w:bottom w:val="nil"/>
              <w:right w:val="nil"/>
            </w:tcBorders>
            <w:vAlign w:val="center"/>
          </w:tcPr>
          <w:p w14:paraId="5F5F2E96">
            <w:pPr>
              <w:spacing w:before="62" w:beforeLines="20" w:after="62" w:afterLines="20"/>
              <w:ind w:firstLine="0" w:firstLineChars="0"/>
              <w:jc w:val="left"/>
              <w:rPr>
                <w:rFonts w:hAnsi="Times New Roman"/>
                <w:sz w:val="21"/>
                <w:szCs w:val="21"/>
              </w:rPr>
            </w:pPr>
            <w:r>
              <w:rPr>
                <w:rFonts w:hAnsi="Times New Roman"/>
                <w:sz w:val="21"/>
                <w:szCs w:val="21"/>
                <w:lang w:bidi="ar"/>
              </w:rPr>
              <w:t>(</w:t>
            </w:r>
            <w:r>
              <w:rPr>
                <w:rFonts w:hAnsi="Times New Roman"/>
                <w:color w:val="00B0F0"/>
                <w:sz w:val="21"/>
                <w:szCs w:val="21"/>
                <w:lang w:bidi="ar"/>
              </w:rPr>
              <w:t>Huete, 1988</w:t>
            </w:r>
            <w:r>
              <w:rPr>
                <w:rFonts w:hAnsi="Times New Roman"/>
                <w:sz w:val="21"/>
                <w:szCs w:val="21"/>
                <w:lang w:bidi="ar"/>
              </w:rPr>
              <w:t>)</w:t>
            </w:r>
          </w:p>
        </w:tc>
      </w:tr>
      <w:tr w14:paraId="268E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dxa"/>
            <w:tcBorders>
              <w:top w:val="nil"/>
              <w:left w:val="nil"/>
              <w:bottom w:val="nil"/>
              <w:right w:val="nil"/>
            </w:tcBorders>
            <w:vAlign w:val="center"/>
          </w:tcPr>
          <w:p w14:paraId="2FCFFCC4">
            <w:pPr>
              <w:spacing w:before="62" w:beforeLines="20" w:after="62" w:afterLines="20"/>
              <w:ind w:firstLine="0" w:firstLineChars="0"/>
              <w:jc w:val="left"/>
              <w:rPr>
                <w:rFonts w:hAnsi="Times New Roman"/>
                <w:sz w:val="21"/>
                <w:szCs w:val="21"/>
              </w:rPr>
            </w:pPr>
            <w:r>
              <w:rPr>
                <w:rFonts w:hint="eastAsia" w:hAnsi="Times New Roman"/>
                <w:sz w:val="21"/>
                <w:szCs w:val="21"/>
              </w:rPr>
              <w:t>Red-edge</w:t>
            </w:r>
          </w:p>
        </w:tc>
        <w:tc>
          <w:tcPr>
            <w:tcW w:w="3240" w:type="dxa"/>
            <w:tcBorders>
              <w:top w:val="nil"/>
              <w:left w:val="nil"/>
              <w:bottom w:val="nil"/>
              <w:right w:val="nil"/>
            </w:tcBorders>
            <w:vAlign w:val="center"/>
          </w:tcPr>
          <w:p w14:paraId="5920B3E2">
            <w:pPr>
              <w:spacing w:before="62" w:beforeLines="20" w:after="62" w:afterLines="20"/>
              <w:ind w:firstLine="0" w:firstLineChars="0"/>
              <w:jc w:val="left"/>
              <w:rPr>
                <w:rFonts w:hAnsi="Times New Roman"/>
                <w:sz w:val="21"/>
                <w:szCs w:val="21"/>
              </w:rPr>
            </w:pPr>
            <w:r>
              <w:rPr>
                <w:rFonts w:hAnsi="Times New Roman"/>
                <w:sz w:val="21"/>
                <w:szCs w:val="21"/>
                <w:lang w:bidi="ar"/>
              </w:rPr>
              <w:t>Enhanced vegetation index</w:t>
            </w:r>
          </w:p>
        </w:tc>
        <w:tc>
          <w:tcPr>
            <w:tcW w:w="3656" w:type="dxa"/>
            <w:tcBorders>
              <w:top w:val="nil"/>
              <w:left w:val="nil"/>
              <w:bottom w:val="nil"/>
              <w:right w:val="nil"/>
            </w:tcBorders>
            <w:vAlign w:val="center"/>
          </w:tcPr>
          <w:p w14:paraId="56A1C648">
            <w:pPr>
              <w:spacing w:before="62" w:beforeLines="20" w:after="62" w:afterLines="20"/>
              <w:ind w:firstLine="0" w:firstLineChars="0"/>
              <w:jc w:val="left"/>
              <w:rPr>
                <w:rFonts w:hAnsi="Times New Roman"/>
                <w:sz w:val="21"/>
                <w:szCs w:val="21"/>
              </w:rPr>
            </w:pPr>
            <w:r>
              <w:rPr>
                <w:rFonts w:hAnsi="Times New Roman"/>
                <w:position w:val="-30"/>
                <w:sz w:val="21"/>
                <w:szCs w:val="21"/>
              </w:rPr>
              <w:object>
                <v:shape id="_x0000_i1028" o:spt="75" type="#_x0000_t75" style="height:34pt;width:172pt;" o:ole="t" filled="f" o:preferrelative="t" stroked="f" coordsize="21600,21600">
                  <v:path/>
                  <v:fill on="f" focussize="0,0"/>
                  <v:stroke on="f" joinstyle="miter"/>
                  <v:imagedata r:id="rId13" o:title=""/>
                  <o:lock v:ext="edit" aspectratio="t"/>
                  <w10:wrap type="none"/>
                  <w10:anchorlock/>
                </v:shape>
                <o:OLEObject Type="Embed" ProgID="Equation.DSMT4" ShapeID="_x0000_i1028" DrawAspect="Content" ObjectID="_1468075728" r:id="rId12">
                  <o:LockedField>false</o:LockedField>
                </o:OLEObject>
              </w:object>
            </w:r>
            <w:r>
              <w:rPr>
                <w:rFonts w:hint="eastAsia" w:hAnsi="Times New Roman"/>
                <w:sz w:val="21"/>
                <w:szCs w:val="21"/>
              </w:rPr>
              <w:t xml:space="preserve"> </w:t>
            </w:r>
          </w:p>
        </w:tc>
        <w:tc>
          <w:tcPr>
            <w:tcW w:w="2351" w:type="dxa"/>
            <w:tcBorders>
              <w:top w:val="nil"/>
              <w:left w:val="nil"/>
              <w:bottom w:val="nil"/>
              <w:right w:val="nil"/>
            </w:tcBorders>
            <w:vAlign w:val="center"/>
          </w:tcPr>
          <w:p w14:paraId="1740A88D">
            <w:pPr>
              <w:spacing w:before="62" w:beforeLines="20" w:after="62" w:afterLines="20"/>
              <w:ind w:firstLine="0" w:firstLineChars="0"/>
              <w:jc w:val="left"/>
              <w:rPr>
                <w:rFonts w:hAnsi="Times New Roman"/>
                <w:sz w:val="21"/>
                <w:szCs w:val="21"/>
              </w:rPr>
            </w:pPr>
            <w:r>
              <w:rPr>
                <w:rFonts w:hAnsi="Times New Roman"/>
                <w:sz w:val="21"/>
                <w:szCs w:val="21"/>
                <w:lang w:bidi="ar"/>
              </w:rPr>
              <w:t>(</w:t>
            </w:r>
            <w:r>
              <w:rPr>
                <w:rFonts w:hAnsi="Times New Roman"/>
                <w:color w:val="00B0F0"/>
                <w:sz w:val="21"/>
                <w:szCs w:val="21"/>
                <w:lang w:bidi="ar"/>
              </w:rPr>
              <w:t>Huete et al., 2002; Wang et al., 2003</w:t>
            </w:r>
            <w:r>
              <w:rPr>
                <w:rFonts w:hAnsi="Times New Roman"/>
                <w:sz w:val="21"/>
                <w:szCs w:val="21"/>
                <w:lang w:bidi="ar"/>
              </w:rPr>
              <w:t>)</w:t>
            </w:r>
          </w:p>
        </w:tc>
      </w:tr>
      <w:tr w14:paraId="2CA1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dxa"/>
            <w:tcBorders>
              <w:top w:val="nil"/>
              <w:left w:val="nil"/>
              <w:bottom w:val="single" w:color="auto" w:sz="12" w:space="0"/>
              <w:right w:val="nil"/>
            </w:tcBorders>
            <w:vAlign w:val="center"/>
          </w:tcPr>
          <w:p w14:paraId="545BF22D">
            <w:pPr>
              <w:spacing w:before="62" w:beforeLines="20" w:after="62" w:afterLines="20"/>
              <w:ind w:firstLine="0" w:firstLineChars="0"/>
              <w:jc w:val="left"/>
              <w:rPr>
                <w:rFonts w:hAnsi="Times New Roman"/>
                <w:sz w:val="21"/>
                <w:szCs w:val="21"/>
              </w:rPr>
            </w:pPr>
            <w:r>
              <w:rPr>
                <w:rFonts w:hint="eastAsia" w:hAnsi="Times New Roman"/>
                <w:sz w:val="21"/>
                <w:szCs w:val="21"/>
              </w:rPr>
              <w:t>FLIR Vue Pro</w:t>
            </w:r>
          </w:p>
        </w:tc>
        <w:tc>
          <w:tcPr>
            <w:tcW w:w="3240" w:type="dxa"/>
            <w:tcBorders>
              <w:top w:val="nil"/>
              <w:left w:val="nil"/>
              <w:bottom w:val="single" w:color="auto" w:sz="12" w:space="0"/>
              <w:right w:val="nil"/>
            </w:tcBorders>
            <w:vAlign w:val="center"/>
          </w:tcPr>
          <w:p w14:paraId="66669A9C">
            <w:pPr>
              <w:spacing w:before="62" w:beforeLines="20" w:after="62" w:afterLines="20"/>
              <w:ind w:firstLine="0" w:firstLineChars="0"/>
              <w:jc w:val="left"/>
              <w:rPr>
                <w:rFonts w:hAnsi="Times New Roman"/>
                <w:sz w:val="21"/>
                <w:szCs w:val="21"/>
              </w:rPr>
            </w:pPr>
            <w:r>
              <w:rPr>
                <w:rFonts w:hAnsi="Times New Roman"/>
                <w:sz w:val="21"/>
                <w:szCs w:val="21"/>
                <w:lang w:bidi="ar"/>
              </w:rPr>
              <w:t>Crop water stress index</w:t>
            </w:r>
          </w:p>
        </w:tc>
        <w:tc>
          <w:tcPr>
            <w:tcW w:w="3656" w:type="dxa"/>
            <w:tcBorders>
              <w:top w:val="nil"/>
              <w:left w:val="nil"/>
              <w:bottom w:val="single" w:color="auto" w:sz="12" w:space="0"/>
              <w:right w:val="nil"/>
            </w:tcBorders>
            <w:vAlign w:val="center"/>
          </w:tcPr>
          <w:p w14:paraId="094652F4">
            <w:pPr>
              <w:spacing w:before="62" w:beforeLines="20" w:after="62" w:afterLines="20"/>
              <w:ind w:firstLine="0" w:firstLineChars="0"/>
              <w:jc w:val="left"/>
              <w:rPr>
                <w:rFonts w:hAnsi="Times New Roman"/>
                <w:sz w:val="21"/>
                <w:szCs w:val="21"/>
              </w:rPr>
            </w:pPr>
            <w:r>
              <w:rPr>
                <w:rFonts w:hAnsi="Times New Roman"/>
                <w:position w:val="-30"/>
                <w:sz w:val="21"/>
                <w:szCs w:val="21"/>
              </w:rPr>
              <w:object>
                <v:shape id="_x0000_i1029" o:spt="75" type="#_x0000_t75" style="height:34pt;width:100pt;" o:ole="t" filled="f" o:preferrelative="t" stroked="f" coordsize="21600,21600">
                  <v:path/>
                  <v:fill on="f" focussize="0,0"/>
                  <v:stroke on="f" joinstyle="miter"/>
                  <v:imagedata r:id="rId15" o:title=""/>
                  <o:lock v:ext="edit" aspectratio="t"/>
                  <w10:wrap type="none"/>
                  <w10:anchorlock/>
                </v:shape>
                <o:OLEObject Type="Embed" ProgID="Equation.DSMT4" ShapeID="_x0000_i1029" DrawAspect="Content" ObjectID="_1468075729" r:id="rId14">
                  <o:LockedField>false</o:LockedField>
                </o:OLEObject>
              </w:object>
            </w:r>
            <w:r>
              <w:rPr>
                <w:rFonts w:hint="eastAsia" w:hAnsi="Times New Roman"/>
                <w:sz w:val="21"/>
                <w:szCs w:val="21"/>
              </w:rPr>
              <w:t xml:space="preserve"> </w:t>
            </w:r>
          </w:p>
        </w:tc>
        <w:tc>
          <w:tcPr>
            <w:tcW w:w="2351" w:type="dxa"/>
            <w:tcBorders>
              <w:top w:val="nil"/>
              <w:left w:val="nil"/>
              <w:bottom w:val="single" w:color="auto" w:sz="12" w:space="0"/>
              <w:right w:val="nil"/>
            </w:tcBorders>
            <w:vAlign w:val="center"/>
          </w:tcPr>
          <w:p w14:paraId="69E90CEA">
            <w:pPr>
              <w:spacing w:before="62" w:beforeLines="20" w:after="62" w:afterLines="20"/>
              <w:ind w:firstLine="0" w:firstLineChars="0"/>
              <w:jc w:val="left"/>
              <w:rPr>
                <w:rFonts w:hAnsi="Times New Roman"/>
                <w:sz w:val="21"/>
                <w:szCs w:val="21"/>
              </w:rPr>
            </w:pPr>
            <w:r>
              <w:rPr>
                <w:rFonts w:hAnsi="Times New Roman"/>
                <w:sz w:val="21"/>
                <w:szCs w:val="21"/>
                <w:lang w:bidi="ar"/>
              </w:rPr>
              <w:t>(</w:t>
            </w:r>
            <w:r>
              <w:rPr>
                <w:rFonts w:hAnsi="Times New Roman"/>
                <w:color w:val="00B0F0"/>
                <w:sz w:val="21"/>
                <w:szCs w:val="21"/>
                <w:lang w:bidi="ar"/>
              </w:rPr>
              <w:t>Jackson et al., 1981</w:t>
            </w:r>
            <w:r>
              <w:rPr>
                <w:rFonts w:hAnsi="Times New Roman"/>
                <w:sz w:val="21"/>
                <w:szCs w:val="21"/>
                <w:lang w:bidi="ar"/>
              </w:rPr>
              <w:t>)</w:t>
            </w:r>
          </w:p>
        </w:tc>
      </w:tr>
    </w:tbl>
    <w:p w14:paraId="47382A2E">
      <w:pPr>
        <w:spacing w:before="156" w:after="156"/>
        <w:ind w:firstLine="0" w:firstLineChars="0"/>
        <w:rPr>
          <w:rFonts w:hAnsi="Times New Roman"/>
          <w:position w:val="-12"/>
        </w:rPr>
      </w:pPr>
      <w:r>
        <w:rPr>
          <w:rFonts w:hint="eastAsia"/>
        </w:rPr>
        <w:t>Note:</w:t>
      </w:r>
      <w:r>
        <w:rPr>
          <w:rFonts w:hAnsi="Times New Roman"/>
          <w:position w:val="-12"/>
        </w:rPr>
        <w:object>
          <v:shape id="_x0000_i1030" o:spt="75" type="#_x0000_t75" style="height:18pt;width:21pt;" o:ole="t" filled="f" o:preferrelative="t" stroked="f" coordsize="21600,21600">
            <v:path/>
            <v:fill on="f" focussize="0,0"/>
            <v:stroke on="f" joinstyle="miter"/>
            <v:imagedata r:id="rId17" o:title=""/>
            <o:lock v:ext="edit" aspectratio="f"/>
            <w10:wrap type="none"/>
            <w10:anchorlock/>
          </v:shape>
          <o:OLEObject Type="Embed" ProgID="Equation.DSMT4" ShapeID="_x0000_i1030" DrawAspect="Content" ObjectID="_1468075730" r:id="rId16">
            <o:LockedField>false</o:LockedField>
          </o:OLEObject>
        </w:object>
      </w:r>
      <w:r>
        <w:rPr>
          <w:rFonts w:hint="eastAsia" w:hAnsi="Times New Roman"/>
          <w:position w:val="-12"/>
        </w:rPr>
        <w:t>、</w:t>
      </w:r>
      <w:r>
        <w:rPr>
          <w:rFonts w:hAnsi="Times New Roman"/>
          <w:position w:val="-14"/>
        </w:rPr>
        <w:object>
          <v:shape id="_x0000_i1031" o:spt="75" type="#_x0000_t75" style="height:19pt;width:27pt;" o:ole="t" filled="f" o:preferrelative="t" stroked="f" coordsize="21600,21600">
            <v:path/>
            <v:fill on="f" focussize="0,0"/>
            <v:stroke on="f" joinstyle="miter"/>
            <v:imagedata r:id="rId19" o:title=""/>
            <o:lock v:ext="edit" aspectratio="f"/>
            <w10:wrap type="none"/>
            <w10:anchorlock/>
          </v:shape>
          <o:OLEObject Type="Embed" ProgID="Equation.DSMT4" ShapeID="_x0000_i1031" DrawAspect="Content" ObjectID="_1468075731" r:id="rId18">
            <o:LockedField>false</o:LockedField>
          </o:OLEObject>
        </w:object>
      </w:r>
      <w:r>
        <w:rPr>
          <w:rFonts w:hint="eastAsia" w:hAnsi="Times New Roman"/>
          <w:position w:val="-14"/>
        </w:rPr>
        <w:t>、</w:t>
      </w:r>
      <w:r>
        <w:rPr>
          <w:rFonts w:hAnsi="Times New Roman"/>
          <w:position w:val="-12"/>
        </w:rPr>
        <w:object>
          <v:shape id="_x0000_i1032" o:spt="75" type="#_x0000_t75" style="height:18pt;width:23pt;" o:ole="t" filled="f" o:preferrelative="t" stroked="f" coordsize="21600,21600">
            <v:path/>
            <v:fill on="f" focussize="0,0"/>
            <v:stroke on="f" joinstyle="miter"/>
            <v:imagedata r:id="rId21" o:title=""/>
            <o:lock v:ext="edit" aspectratio="f"/>
            <w10:wrap type="none"/>
            <w10:anchorlock/>
          </v:shape>
          <o:OLEObject Type="Embed" ProgID="Equation.DSMT4" ShapeID="_x0000_i1032" DrawAspect="Content" ObjectID="_1468075732" r:id="rId20">
            <o:LockedField>false</o:LockedField>
          </o:OLEObject>
        </w:object>
      </w:r>
      <w:r>
        <w:rPr>
          <w:rFonts w:hint="eastAsia" w:hAnsi="Times New Roman"/>
          <w:position w:val="-12"/>
        </w:rPr>
        <w:t>、</w:t>
      </w:r>
      <w:r>
        <w:rPr>
          <w:rFonts w:hAnsi="Times New Roman"/>
          <w:position w:val="-12"/>
        </w:rPr>
        <w:object>
          <v:shape id="_x0000_i1033" o:spt="75" type="#_x0000_t75" style="height:18pt;width:20pt;" o:ole="t" filled="f" o:preferrelative="t" stroked="f" coordsize="21600,21600">
            <v:path/>
            <v:fill on="f" focussize="0,0"/>
            <v:stroke on="f" joinstyle="miter"/>
            <v:imagedata r:id="rId23" o:title=""/>
            <o:lock v:ext="edit" aspectratio="f"/>
            <w10:wrap type="none"/>
            <w10:anchorlock/>
          </v:shape>
          <o:OLEObject Type="Embed" ProgID="Equation.DSMT4" ShapeID="_x0000_i1033" DrawAspect="Content" ObjectID="_1468075733" r:id="rId22">
            <o:LockedField>false</o:LockedField>
          </o:OLEObject>
        </w:object>
      </w:r>
      <w:r>
        <w:rPr>
          <w:rFonts w:hint="eastAsia" w:hAnsi="Times New Roman"/>
          <w:position w:val="-12"/>
        </w:rPr>
        <w:t xml:space="preserve"> </w:t>
      </w:r>
      <w:r>
        <w:rPr>
          <w:rFonts w:hAnsi="Times New Roman"/>
          <w:position w:val="-12"/>
        </w:rPr>
        <w:t>represent the reflectance of the red, green, blue, and near-infrared bands, respectively</w:t>
      </w:r>
      <w:r>
        <w:rPr>
          <w:rFonts w:hint="eastAsia" w:hAnsi="Times New Roman"/>
          <w:position w:val="-12"/>
        </w:rPr>
        <w:t>；</w:t>
      </w:r>
      <w:r>
        <w:rPr>
          <w:rFonts w:hint="eastAsia" w:hAnsi="Times New Roman"/>
          <w:i/>
          <w:iCs/>
          <w:position w:val="-12"/>
        </w:rPr>
        <w:t>dT</w:t>
      </w:r>
      <w:r>
        <w:rPr>
          <w:rFonts w:hint="eastAsia" w:hAnsi="Times New Roman"/>
          <w:i/>
          <w:iCs/>
          <w:position w:val="-12"/>
          <w:vertAlign w:val="subscript"/>
        </w:rPr>
        <w:t>m</w:t>
      </w:r>
      <w:r>
        <w:rPr>
          <w:rFonts w:hint="eastAsia" w:hAnsi="Times New Roman"/>
          <w:position w:val="-12"/>
        </w:rPr>
        <w:t>、</w:t>
      </w:r>
      <w:r>
        <w:rPr>
          <w:rFonts w:hint="eastAsia" w:hAnsi="Times New Roman"/>
          <w:i/>
          <w:iCs/>
          <w:position w:val="-12"/>
        </w:rPr>
        <w:t>dT</w:t>
      </w:r>
      <w:r>
        <w:rPr>
          <w:rFonts w:hint="eastAsia" w:hAnsi="Times New Roman"/>
          <w:i/>
          <w:iCs/>
          <w:position w:val="-12"/>
          <w:vertAlign w:val="subscript"/>
        </w:rPr>
        <w:t>LL</w:t>
      </w:r>
      <w:r>
        <w:rPr>
          <w:rFonts w:hint="eastAsia" w:hAnsi="Times New Roman"/>
          <w:position w:val="-12"/>
        </w:rPr>
        <w:t>、</w:t>
      </w:r>
      <w:r>
        <w:rPr>
          <w:rFonts w:hint="eastAsia" w:hAnsi="Times New Roman"/>
          <w:i/>
          <w:iCs/>
          <w:position w:val="-12"/>
        </w:rPr>
        <w:t>dT</w:t>
      </w:r>
      <w:r>
        <w:rPr>
          <w:rFonts w:hint="eastAsia" w:hAnsi="Times New Roman"/>
          <w:i/>
          <w:iCs/>
          <w:position w:val="-12"/>
          <w:vertAlign w:val="subscript"/>
        </w:rPr>
        <w:t xml:space="preserve">UL </w:t>
      </w:r>
      <w:r>
        <w:rPr>
          <w:rFonts w:hAnsi="Times New Roman"/>
          <w:position w:val="-12"/>
        </w:rPr>
        <w:t>represent the measured canopy–air temperature difference, the lower limit, and the upper limit, respectively.</w:t>
      </w:r>
    </w:p>
    <w:p w14:paraId="50B6EEF1">
      <w:pPr>
        <w:pStyle w:val="3"/>
        <w:rPr>
          <w:i w:val="0"/>
          <w:iCs w:val="0"/>
        </w:rPr>
      </w:pPr>
      <w:r>
        <w:rPr>
          <w:rFonts w:hint="eastAsia"/>
          <w:i w:val="0"/>
          <w:iCs w:val="0"/>
        </w:rPr>
        <w:t>Extraction of fractional vegetation cover and canopy temperature</w:t>
      </w:r>
    </w:p>
    <w:p w14:paraId="14F9714A">
      <w:pPr>
        <w:spacing w:before="156" w:after="156"/>
        <w:ind w:firstLine="480" w:firstLineChars="200"/>
        <w:rPr>
          <w:rFonts w:hAnsi="Times New Roman"/>
          <w:position w:val="-12"/>
        </w:rPr>
      </w:pPr>
      <w:r>
        <w:rPr>
          <w:rFonts w:hint="eastAsia" w:hAnsi="Times New Roman"/>
          <w:position w:val="-12"/>
        </w:rPr>
        <w:t>Fractional vegetation cover (fc) was extracted from RGB images using the RGRI-OTSU method (</w:t>
      </w:r>
      <w:r>
        <w:rPr>
          <w:rFonts w:hint="eastAsia" w:hAnsi="Times New Roman"/>
          <w:color w:val="00B0F0"/>
          <w:position w:val="-12"/>
        </w:rPr>
        <w:t>Zhang et al., 2019)</w:t>
      </w:r>
      <w:r>
        <w:rPr>
          <w:rFonts w:hint="eastAsia" w:hAnsi="Times New Roman"/>
          <w:position w:val="-12"/>
        </w:rPr>
        <w:t>. First, the red-green ratio index (RGRI) was calculated, and then the OTSU threshold segmentation method was used to classify vegetation and non-vegetation pixels in the images, thereby obtaining vegetation cover. Meanwhile, rice canopy temperature information was extracted from the thermal infrared images, and the temperatures retrieved from UAV thermal infrared imagery were calibrated using synchronous measurements of black-and-white reference panels and different ground objects obtained with a handheld infrared thermometer.</w:t>
      </w:r>
    </w:p>
    <w:p w14:paraId="407BE046">
      <w:pPr>
        <w:pStyle w:val="3"/>
        <w:rPr>
          <w:i w:val="0"/>
          <w:iCs w:val="0"/>
        </w:rPr>
      </w:pPr>
      <w:r>
        <w:rPr>
          <w:rFonts w:hint="eastAsia"/>
          <w:i/>
          <w:iCs/>
        </w:rPr>
        <w:t xml:space="preserve"> </w:t>
      </w:r>
      <w:r>
        <w:rPr>
          <w:rFonts w:hint="eastAsia"/>
          <w:i w:val="0"/>
          <w:iCs w:val="0"/>
        </w:rPr>
        <w:t>CWSI calculation</w:t>
      </w:r>
    </w:p>
    <w:p w14:paraId="6B57C6B4">
      <w:pPr>
        <w:spacing w:before="156" w:after="156"/>
        <w:ind w:firstLine="480" w:firstLineChars="200"/>
      </w:pPr>
      <w:r>
        <w:rPr>
          <w:rFonts w:hint="eastAsia"/>
        </w:rPr>
        <w:t>The Crop Water Stress Index (</w:t>
      </w:r>
      <w:r>
        <w:rPr>
          <w:i/>
          <w:iCs/>
        </w:rPr>
        <w:t>CWSI</w:t>
      </w:r>
      <w:r>
        <w:rPr>
          <w:rFonts w:hint="eastAsia"/>
        </w:rPr>
        <w:t>) was used to characterize the deviation of canopy temperature from the condition under adequate water supply and served as the basis for subsequent estimation of the crop water stress coefficient (</w:t>
      </w:r>
      <w:r>
        <w:rPr>
          <w:rFonts w:hint="eastAsia"/>
          <w:i/>
          <w:iCs/>
        </w:rPr>
        <w:t>K</w:t>
      </w:r>
      <w:r>
        <w:rPr>
          <w:rFonts w:hint="eastAsia"/>
          <w:i/>
          <w:iCs/>
          <w:vertAlign w:val="subscript"/>
        </w:rPr>
        <w:t>s</w:t>
      </w:r>
      <w:r>
        <w:rPr>
          <w:rFonts w:hint="eastAsia"/>
        </w:rPr>
        <w:t xml:space="preserve">). The calculation of </w:t>
      </w:r>
      <w:r>
        <w:rPr>
          <w:rFonts w:hint="eastAsia"/>
          <w:i/>
          <w:iCs/>
        </w:rPr>
        <w:t>CWSI</w:t>
      </w:r>
      <w:r>
        <w:rPr>
          <w:rFonts w:hint="eastAsia"/>
        </w:rPr>
        <w:t xml:space="preserve"> involves the actual canopy-air temperature difference (</w:t>
      </w:r>
      <w:r>
        <w:rPr>
          <w:rFonts w:hint="eastAsia"/>
          <w:i/>
          <w:iCs/>
        </w:rPr>
        <w:t>dT</w:t>
      </w:r>
      <w:r>
        <w:rPr>
          <w:rFonts w:hint="eastAsia"/>
          <w:i/>
          <w:iCs/>
          <w:vertAlign w:val="subscript"/>
        </w:rPr>
        <w:t>m</w:t>
      </w:r>
      <w:r>
        <w:rPr>
          <w:rFonts w:hint="eastAsia"/>
        </w:rPr>
        <w:t>), the lower limit (</w:t>
      </w:r>
      <w:r>
        <w:rPr>
          <w:rFonts w:hint="eastAsia"/>
          <w:i/>
          <w:iCs/>
        </w:rPr>
        <w:t>dT</w:t>
      </w:r>
      <w:r>
        <w:rPr>
          <w:rFonts w:hint="eastAsia"/>
          <w:i/>
          <w:iCs/>
          <w:vertAlign w:val="subscript"/>
        </w:rPr>
        <w:t>LL</w:t>
      </w:r>
      <w:r>
        <w:rPr>
          <w:rFonts w:hint="eastAsia"/>
        </w:rPr>
        <w:t>), and the upper limit (</w:t>
      </w:r>
      <w:r>
        <w:rPr>
          <w:rFonts w:hint="eastAsia"/>
          <w:i/>
          <w:iCs/>
        </w:rPr>
        <w:t>dT</w:t>
      </w:r>
      <w:r>
        <w:rPr>
          <w:rFonts w:hint="eastAsia"/>
          <w:i/>
          <w:iCs/>
          <w:vertAlign w:val="subscript"/>
        </w:rPr>
        <w:t>UL</w:t>
      </w:r>
      <w:r>
        <w:rPr>
          <w:rFonts w:hint="eastAsia"/>
        </w:rPr>
        <w:t xml:space="preserve">). Among these, </w:t>
      </w:r>
      <w:r>
        <w:rPr>
          <w:rFonts w:hint="eastAsia"/>
          <w:i/>
          <w:iCs/>
        </w:rPr>
        <w:t>dT</w:t>
      </w:r>
      <w:r>
        <w:rPr>
          <w:rFonts w:hint="eastAsia"/>
          <w:i/>
          <w:iCs/>
          <w:vertAlign w:val="subscript"/>
        </w:rPr>
        <w:t>LL</w:t>
      </w:r>
      <w:r>
        <w:rPr>
          <w:rFonts w:hint="eastAsia"/>
        </w:rPr>
        <w:t xml:space="preserve"> was established based on field measurements obtained in 2025, and its relationship with vapor pressure deficit (</w:t>
      </w:r>
      <w:r>
        <w:rPr>
          <w:rFonts w:hint="eastAsia"/>
          <w:i/>
          <w:iCs/>
        </w:rPr>
        <w:t>VPD</w:t>
      </w:r>
      <w:r>
        <w:rPr>
          <w:rFonts w:hint="eastAsia"/>
        </w:rPr>
        <w:t xml:space="preserve">) is shown in Eq. (1); </w:t>
      </w:r>
      <w:r>
        <w:rPr>
          <w:rFonts w:hint="eastAsia"/>
          <w:i/>
          <w:iCs/>
        </w:rPr>
        <w:t>VPD</w:t>
      </w:r>
      <w:r>
        <w:rPr>
          <w:rFonts w:hint="eastAsia"/>
        </w:rPr>
        <w:t xml:space="preserve"> was calculated from air temperature and relative humidity, as shown in Eq. (2).</w:t>
      </w:r>
    </w:p>
    <w:p w14:paraId="216EC919">
      <w:pPr>
        <w:pStyle w:val="8"/>
        <w:tabs>
          <w:tab w:val="left" w:pos="480"/>
          <w:tab w:val="clear" w:pos="5240"/>
        </w:tabs>
        <w:spacing w:before="468" w:after="468"/>
        <w:ind w:firstLine="0" w:firstLineChars="0"/>
        <w:jc w:val="left"/>
      </w:pPr>
      <w:r>
        <w:rPr>
          <w:position w:val="-14"/>
        </w:rPr>
        <w:object>
          <v:shape id="_x0000_i1034" o:spt="75" type="#_x0000_t75" style="height:19pt;width:96pt;" o:ole="t" filled="f" o:preferrelative="t" stroked="f" coordsize="21600,21600">
            <v:path/>
            <v:fill on="f" focussize="0,0"/>
            <v:stroke on="f" joinstyle="miter"/>
            <v:imagedata r:id="rId25" o:title=""/>
            <o:lock v:ext="edit" aspectratio="t"/>
            <w10:wrap type="none"/>
            <w10:anchorlock/>
          </v:shape>
          <o:OLEObject Type="Embed" ProgID="Equation.DSMT4" ShapeID="_x0000_i1034" DrawAspect="Content" ObjectID="_1468075734" r:id="rId24">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1</w:instrText>
      </w:r>
      <w:r>
        <w:fldChar w:fldCharType="end"/>
      </w:r>
      <w:r>
        <w:instrText xml:space="preserve">)</w:instrText>
      </w:r>
      <w:r>
        <w:fldChar w:fldCharType="separate"/>
      </w:r>
      <w:r>
        <w:fldChar w:fldCharType="end"/>
      </w:r>
    </w:p>
    <w:p w14:paraId="32259887">
      <w:pPr>
        <w:spacing w:before="156" w:after="156"/>
        <w:ind w:firstLine="0" w:firstLineChars="0"/>
        <w:rPr>
          <w:rFonts w:hAnsi="Times New Roman"/>
        </w:rPr>
      </w:pPr>
      <w:r>
        <w:rPr>
          <w:rFonts w:hAnsi="Times New Roman"/>
        </w:rPr>
        <w:t>where (</w:t>
      </w:r>
      <w:r>
        <w:rPr>
          <w:rFonts w:hAnsi="Times New Roman"/>
          <w:i/>
          <w:iCs/>
        </w:rPr>
        <w:t>dT</w:t>
      </w:r>
      <w:r>
        <w:rPr>
          <w:rFonts w:hAnsi="Times New Roman"/>
          <w:i/>
          <w:iCs/>
          <w:vertAlign w:val="subscript"/>
        </w:rPr>
        <w:t>LL,t</w:t>
      </w:r>
      <w:r>
        <w:rPr>
          <w:rFonts w:hAnsi="Times New Roman"/>
        </w:rPr>
        <w:t>) is the lower limit of the canopy–air temperature difference on day (</w:t>
      </w:r>
      <w:r>
        <w:rPr>
          <w:rFonts w:hAnsi="Times New Roman"/>
          <w:i/>
          <w:iCs/>
        </w:rPr>
        <w:t>t</w:t>
      </w:r>
      <w:r>
        <w:rPr>
          <w:rFonts w:hAnsi="Times New Roman"/>
        </w:rPr>
        <w:t>),℃; (</w:t>
      </w:r>
      <w:r>
        <w:rPr>
          <w:rFonts w:hAnsi="Times New Roman"/>
          <w:i/>
          <w:iCs/>
        </w:rPr>
        <w:t>VPD</w:t>
      </w:r>
      <w:r>
        <w:rPr>
          <w:rFonts w:hAnsi="Times New Roman"/>
          <w:i/>
          <w:iCs/>
          <w:vertAlign w:val="subscript"/>
        </w:rPr>
        <w:t>t</w:t>
      </w:r>
      <w:r>
        <w:rPr>
          <w:rFonts w:hAnsi="Times New Roman"/>
        </w:rPr>
        <w:t>) is the vapor pressure deficit on day (</w:t>
      </w:r>
      <w:r>
        <w:rPr>
          <w:rFonts w:hAnsi="Times New Roman"/>
          <w:i/>
          <w:iCs/>
        </w:rPr>
        <w:t>t</w:t>
      </w:r>
      <w:r>
        <w:rPr>
          <w:rFonts w:hAnsi="Times New Roman"/>
        </w:rPr>
        <w:t>), kpa; and (</w:t>
      </w:r>
      <w:r>
        <w:rPr>
          <w:rFonts w:hAnsi="Times New Roman"/>
          <w:i/>
          <w:iCs/>
        </w:rPr>
        <w:t>a</w:t>
      </w:r>
      <w:r>
        <w:rPr>
          <w:rFonts w:hAnsi="Times New Roman"/>
          <w:i/>
          <w:iCs/>
          <w:vertAlign w:val="subscript"/>
        </w:rPr>
        <w:t>0</w:t>
      </w:r>
      <w:r>
        <w:rPr>
          <w:rFonts w:hAnsi="Times New Roman"/>
        </w:rPr>
        <w:t>) and (</w:t>
      </w:r>
      <w:r>
        <w:rPr>
          <w:rFonts w:hAnsi="Times New Roman"/>
          <w:i/>
          <w:iCs/>
        </w:rPr>
        <w:t>a</w:t>
      </w:r>
      <w:r>
        <w:rPr>
          <w:rFonts w:hAnsi="Times New Roman"/>
          <w:i/>
          <w:iCs/>
          <w:vertAlign w:val="subscript"/>
        </w:rPr>
        <w:t>1</w:t>
      </w:r>
      <w:r>
        <w:rPr>
          <w:rFonts w:hAnsi="Times New Roman"/>
        </w:rPr>
        <w:t>) are the regression coefficients fitted from the measured data collected in 2025.</w:t>
      </w:r>
    </w:p>
    <w:p w14:paraId="663AFF0A">
      <w:pPr>
        <w:spacing w:before="156" w:after="156"/>
        <w:ind w:firstLine="444" w:firstLineChars="185"/>
        <w:rPr>
          <w:rFonts w:hAnsi="Times New Roman"/>
        </w:rPr>
      </w:pPr>
      <w:r>
        <w:rPr>
          <w:rFonts w:hAnsi="Times New Roman"/>
        </w:rPr>
        <w:t xml:space="preserve">Here, </w:t>
      </w:r>
      <w:r>
        <w:rPr>
          <w:rFonts w:hAnsi="Times New Roman"/>
          <w:i/>
          <w:iCs/>
        </w:rPr>
        <w:t>VPD</w:t>
      </w:r>
      <w:r>
        <w:rPr>
          <w:rFonts w:hAnsi="Times New Roman"/>
        </w:rPr>
        <w:t xml:space="preserve"> represents vapor pressure deficit. </w:t>
      </w:r>
      <w:r>
        <w:rPr>
          <w:rFonts w:hAnsi="Times New Roman"/>
          <w:i/>
          <w:iCs/>
        </w:rPr>
        <w:t>VPD</w:t>
      </w:r>
      <w:r>
        <w:rPr>
          <w:rFonts w:hAnsi="Times New Roman"/>
        </w:rPr>
        <w:t xml:space="preserve"> (kpa) is related to air temperature and relative humidity, and can be calculated using Eq. (2).</w:t>
      </w:r>
    </w:p>
    <w:p w14:paraId="0057229D">
      <w:pPr>
        <w:pStyle w:val="8"/>
        <w:tabs>
          <w:tab w:val="right" w:pos="0"/>
          <w:tab w:val="clear" w:pos="5240"/>
        </w:tabs>
        <w:spacing w:before="468" w:after="468"/>
        <w:ind w:firstLine="0" w:firstLineChars="0"/>
      </w:pPr>
      <w:r>
        <w:rPr>
          <w:position w:val="-34"/>
        </w:rPr>
        <w:object>
          <v:shape id="_x0000_i1035" o:spt="75" type="#_x0000_t75" style="height:40pt;width:210pt;" o:ole="t" filled="f" o:preferrelative="t" stroked="f" coordsize="21600,21600">
            <v:path/>
            <v:fill on="f" focussize="0,0"/>
            <v:stroke on="f" joinstyle="miter"/>
            <v:imagedata r:id="rId27" o:title=""/>
            <o:lock v:ext="edit" aspectratio="t"/>
            <w10:wrap type="none"/>
            <w10:anchorlock/>
          </v:shape>
          <o:OLEObject Type="Embed" ProgID="Equation.DSMT4" ShapeID="_x0000_i1035" DrawAspect="Content" ObjectID="_1468075735" r:id="rId26">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2</w:instrText>
      </w:r>
      <w:r>
        <w:fldChar w:fldCharType="end"/>
      </w:r>
      <w:r>
        <w:instrText xml:space="preserve">)</w:instrText>
      </w:r>
      <w:r>
        <w:fldChar w:fldCharType="separate"/>
      </w:r>
      <w:r>
        <w:fldChar w:fldCharType="end"/>
      </w:r>
    </w:p>
    <w:p w14:paraId="29D79DCE">
      <w:pPr>
        <w:spacing w:before="156" w:after="156"/>
        <w:ind w:firstLine="0" w:firstLineChars="0"/>
        <w:rPr>
          <w:rFonts w:hAnsi="Times New Roman"/>
        </w:rPr>
      </w:pPr>
      <w:r>
        <w:rPr>
          <w:rFonts w:hAnsi="Times New Roman"/>
        </w:rPr>
        <w:t>where (</w:t>
      </w:r>
      <w:r>
        <w:rPr>
          <w:rFonts w:hAnsi="Times New Roman"/>
          <w:i/>
          <w:iCs/>
        </w:rPr>
        <w:t>T</w:t>
      </w:r>
      <w:r>
        <w:rPr>
          <w:rFonts w:hint="eastAsia" w:hAnsi="Times New Roman"/>
          <w:i/>
          <w:iCs/>
          <w:vertAlign w:val="subscript"/>
        </w:rPr>
        <w:t>a,t</w:t>
      </w:r>
      <w:r>
        <w:rPr>
          <w:rFonts w:hAnsi="Times New Roman"/>
        </w:rPr>
        <w:t>) is the air temperature on day (</w:t>
      </w:r>
      <w:r>
        <w:rPr>
          <w:rFonts w:hAnsi="Times New Roman"/>
          <w:i/>
          <w:iCs/>
        </w:rPr>
        <w:t>t</w:t>
      </w:r>
      <w:r>
        <w:rPr>
          <w:rFonts w:hAnsi="Times New Roman"/>
        </w:rPr>
        <w:t>) (°C), and (</w:t>
      </w:r>
      <w:r>
        <w:rPr>
          <w:rFonts w:hAnsi="Times New Roman"/>
          <w:i/>
          <w:iCs/>
        </w:rPr>
        <w:t>RH</w:t>
      </w:r>
      <w:r>
        <w:rPr>
          <w:rFonts w:hAnsi="Times New Roman"/>
          <w:i/>
          <w:iCs/>
          <w:vertAlign w:val="subscript"/>
        </w:rPr>
        <w:t>t</w:t>
      </w:r>
      <w:r>
        <w:rPr>
          <w:rFonts w:hAnsi="Times New Roman"/>
        </w:rPr>
        <w:t>) is the relative humidity on day (</w:t>
      </w:r>
      <w:r>
        <w:rPr>
          <w:rFonts w:hAnsi="Times New Roman"/>
          <w:i/>
          <w:iCs/>
        </w:rPr>
        <w:t>t</w:t>
      </w:r>
      <w:r>
        <w:rPr>
          <w:rFonts w:hAnsi="Times New Roman"/>
        </w:rPr>
        <w:t>) (%).</w:t>
      </w:r>
    </w:p>
    <w:p w14:paraId="1F95378F">
      <w:pPr>
        <w:pStyle w:val="2"/>
        <w:numPr>
          <w:ilvl w:val="0"/>
          <w:numId w:val="0"/>
        </w:numPr>
        <w:ind w:leftChars="0"/>
        <w:rPr>
          <w:i w:val="0"/>
          <w:iCs w:val="0"/>
        </w:rPr>
      </w:pPr>
      <w:r>
        <w:rPr>
          <w:rFonts w:hint="eastAsia"/>
          <w:i w:val="0"/>
          <w:iCs w:val="0"/>
        </w:rPr>
        <w:t>Calculation of evapotranspiration and crop coefficients</w:t>
      </w:r>
    </w:p>
    <w:p w14:paraId="0AACFF6A">
      <w:pPr>
        <w:spacing w:before="156" w:after="156"/>
        <w:ind w:firstLine="480" w:firstLineChars="200"/>
      </w:pPr>
      <w:r>
        <w:rPr>
          <w:rFonts w:hint="eastAsia"/>
        </w:rPr>
        <w:t>To obtain field-scale information on actual crop water consumption and to develop an ETc estimation model based on UAV multisource imagery, this study sequentially calculated actual evapotranspiration (</w:t>
      </w:r>
      <w:r>
        <w:rPr>
          <w:rFonts w:hAnsi="Times New Roman"/>
          <w:i/>
          <w:iCs/>
        </w:rPr>
        <w:t>ET</w:t>
      </w:r>
      <w:r>
        <w:rPr>
          <w:rFonts w:hAnsi="Times New Roman"/>
          <w:i/>
          <w:iCs/>
          <w:vertAlign w:val="subscript"/>
        </w:rPr>
        <w:t>a,t</w:t>
      </w:r>
      <w:r>
        <w:rPr>
          <w:rFonts w:hint="eastAsia"/>
        </w:rPr>
        <w:t>), the basal crop coefficient (</w:t>
      </w:r>
      <w:r>
        <w:rPr>
          <w:rFonts w:hAnsi="Times New Roman"/>
          <w:i/>
          <w:iCs/>
        </w:rPr>
        <w:t>K</w:t>
      </w:r>
      <w:r>
        <w:rPr>
          <w:rFonts w:hAnsi="Times New Roman"/>
          <w:i/>
          <w:iCs/>
          <w:vertAlign w:val="subscript"/>
        </w:rPr>
        <w:t>cb, t</w:t>
      </w:r>
      <w:r>
        <w:rPr>
          <w:rFonts w:hint="eastAsia"/>
        </w:rPr>
        <w:t>), the water stress coefficient (</w:t>
      </w:r>
      <w:r>
        <w:rPr>
          <w:rFonts w:hint="eastAsia" w:hAnsi="Times New Roman"/>
          <w:i/>
          <w:iCs/>
        </w:rPr>
        <w:t>K</w:t>
      </w:r>
      <w:r>
        <w:rPr>
          <w:rFonts w:hint="eastAsia" w:hAnsi="Times New Roman"/>
          <w:i/>
          <w:iCs/>
          <w:vertAlign w:val="subscript"/>
        </w:rPr>
        <w:t>s</w:t>
      </w:r>
      <w:r>
        <w:rPr>
          <w:rFonts w:hint="eastAsia"/>
        </w:rPr>
        <w:t>), and the soil evaporation coefficient (</w:t>
      </w:r>
      <w:r>
        <w:rPr>
          <w:rFonts w:hint="eastAsia" w:hAnsi="Times New Roman"/>
          <w:i/>
          <w:iCs/>
        </w:rPr>
        <w:t>K</w:t>
      </w:r>
      <w:r>
        <w:rPr>
          <w:rFonts w:hint="eastAsia" w:hAnsi="Times New Roman"/>
          <w:i/>
          <w:iCs/>
          <w:vertAlign w:val="subscript"/>
        </w:rPr>
        <w:t>e</w:t>
      </w:r>
      <w:r>
        <w:rPr>
          <w:rFonts w:hint="eastAsia"/>
        </w:rPr>
        <w:t>), and then estimated daily rice crop evapotranspiration (</w:t>
      </w:r>
      <w:r>
        <w:rPr>
          <w:rFonts w:hAnsi="Times New Roman"/>
          <w:i/>
          <w:iCs/>
          <w:szCs w:val="24"/>
        </w:rPr>
        <w:t>ET</w:t>
      </w:r>
      <w:r>
        <w:rPr>
          <w:rFonts w:hAnsi="Times New Roman"/>
          <w:i/>
          <w:iCs/>
          <w:szCs w:val="24"/>
          <w:vertAlign w:val="subscript"/>
        </w:rPr>
        <w:t>c</w:t>
      </w:r>
      <w:r>
        <w:rPr>
          <w:rFonts w:hint="eastAsia" w:hAnsi="Times New Roman"/>
          <w:i/>
          <w:iCs/>
          <w:szCs w:val="24"/>
          <w:vertAlign w:val="subscript"/>
        </w:rPr>
        <w:t>,t</w:t>
      </w:r>
      <w:r>
        <w:rPr>
          <w:rFonts w:hint="eastAsia"/>
        </w:rPr>
        <w:t>) within the FAO-56 dual crop coefficient framework. In this process, canopy temperature information was mainly used to characterize water stress status, whereas multispectral information was primarily used to characterize canopy structure and its dynamic variation; together, these two types of information provided the input parameters for ETc estimation.</w:t>
      </w:r>
    </w:p>
    <w:p w14:paraId="29CF359D">
      <w:pPr>
        <w:spacing w:before="156" w:after="156"/>
        <w:ind w:firstLine="444" w:firstLineChars="185"/>
        <w:rPr>
          <w:rFonts w:hAnsi="Times New Roman"/>
        </w:rPr>
      </w:pPr>
      <w:r>
        <w:rPr>
          <w:rFonts w:hint="eastAsia"/>
        </w:rPr>
        <w:t>To obtain a reference value of daily actual evapotranspiration at the field scale, daily ETa,t was estimated using the soil water balance equation:</w:t>
      </w:r>
    </w:p>
    <w:p w14:paraId="0D48930B">
      <w:pPr>
        <w:pStyle w:val="8"/>
        <w:tabs>
          <w:tab w:val="right" w:pos="0"/>
          <w:tab w:val="clear" w:pos="5240"/>
        </w:tabs>
        <w:spacing w:before="468" w:after="468"/>
        <w:ind w:firstLine="0" w:firstLineChars="0"/>
        <w:jc w:val="both"/>
      </w:pPr>
      <w:r>
        <w:rPr>
          <w:position w:val="-14"/>
        </w:rPr>
        <w:object>
          <v:shape id="_x0000_i1036" o:spt="75" type="#_x0000_t75" style="height:19pt;width:167pt;" o:ole="t" filled="f" o:preferrelative="t" stroked="f" coordsize="21600,21600">
            <v:path/>
            <v:fill on="f" focussize="0,0"/>
            <v:stroke on="f" joinstyle="miter"/>
            <v:imagedata r:id="rId29" o:title=""/>
            <o:lock v:ext="edit" aspectratio="t"/>
            <w10:wrap type="none"/>
            <w10:anchorlock/>
          </v:shape>
          <o:OLEObject Type="Embed" ProgID="Equation.DSMT4" ShapeID="_x0000_i1036" DrawAspect="Content" ObjectID="_1468075736" r:id="rId28">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3</w:instrText>
      </w:r>
      <w:r>
        <w:fldChar w:fldCharType="end"/>
      </w:r>
      <w:r>
        <w:instrText xml:space="preserve">)</w:instrText>
      </w:r>
      <w:r>
        <w:fldChar w:fldCharType="separate"/>
      </w:r>
      <w:r>
        <w:fldChar w:fldCharType="end"/>
      </w:r>
    </w:p>
    <w:p w14:paraId="3F081F66">
      <w:pPr>
        <w:spacing w:before="156" w:after="156"/>
        <w:ind w:firstLine="0" w:firstLineChars="0"/>
        <w:rPr>
          <w:rFonts w:hAnsi="Times New Roman"/>
          <w:i/>
          <w:iCs/>
        </w:rPr>
      </w:pPr>
      <w:r>
        <w:rPr>
          <w:rFonts w:hAnsi="Times New Roman"/>
        </w:rPr>
        <w:t xml:space="preserve">where </w:t>
      </w:r>
      <w:r>
        <w:rPr>
          <w:rFonts w:hAnsi="Times New Roman"/>
          <w:i/>
          <w:iCs/>
        </w:rPr>
        <w:t>ET</w:t>
      </w:r>
      <w:r>
        <w:rPr>
          <w:rFonts w:hAnsi="Times New Roman"/>
          <w:i/>
          <w:iCs/>
          <w:vertAlign w:val="subscript"/>
        </w:rPr>
        <w:t>a,t</w:t>
      </w:r>
      <w:r>
        <w:rPr>
          <w:rFonts w:hAnsi="Times New Roman"/>
        </w:rPr>
        <w:t xml:space="preserve"> is the actual evapotranspiration on day </w:t>
      </w:r>
      <w:r>
        <w:rPr>
          <w:rFonts w:hAnsi="Times New Roman"/>
          <w:i/>
          <w:iCs/>
          <w:szCs w:val="24"/>
        </w:rPr>
        <w:t>t</w:t>
      </w:r>
      <w:r>
        <w:rPr>
          <w:rFonts w:hAnsi="Times New Roman"/>
        </w:rPr>
        <w:t xml:space="preserve">, mm; </w:t>
      </w:r>
      <w:r>
        <w:rPr>
          <w:rFonts w:hAnsi="Times New Roman"/>
          <w:i/>
          <w:iCs/>
          <w:szCs w:val="24"/>
        </w:rPr>
        <w:t>P</w:t>
      </w:r>
      <w:r>
        <w:rPr>
          <w:rFonts w:hAnsi="Times New Roman"/>
          <w:i/>
          <w:iCs/>
          <w:szCs w:val="24"/>
          <w:vertAlign w:val="subscript"/>
        </w:rPr>
        <w:t>t</w:t>
      </w:r>
      <w:r>
        <w:rPr>
          <w:rFonts w:hAnsi="Times New Roman"/>
        </w:rPr>
        <w:t xml:space="preserve"> is the precipitation on day </w:t>
      </w:r>
      <w:r>
        <w:rPr>
          <w:rFonts w:hAnsi="Times New Roman"/>
          <w:i/>
          <w:iCs/>
          <w:szCs w:val="24"/>
        </w:rPr>
        <w:t>t</w:t>
      </w:r>
      <w:r>
        <w:rPr>
          <w:rFonts w:hAnsi="Times New Roman"/>
        </w:rPr>
        <w:t xml:space="preserve">, mm; </w:t>
      </w:r>
      <w:r>
        <w:rPr>
          <w:rFonts w:hAnsi="Times New Roman"/>
          <w:i/>
          <w:iCs/>
          <w:szCs w:val="24"/>
        </w:rPr>
        <w:t>I</w:t>
      </w:r>
      <w:r>
        <w:rPr>
          <w:rFonts w:hAnsi="Times New Roman"/>
          <w:i/>
          <w:iCs/>
          <w:szCs w:val="24"/>
          <w:vertAlign w:val="subscript"/>
        </w:rPr>
        <w:t>t</w:t>
      </w:r>
      <w:r>
        <w:rPr>
          <w:rFonts w:hAnsi="Times New Roman"/>
        </w:rPr>
        <w:t xml:space="preserve"> is the irrigation amount on day </w:t>
      </w:r>
      <w:r>
        <w:rPr>
          <w:rFonts w:hAnsi="Times New Roman"/>
          <w:i/>
          <w:iCs/>
          <w:szCs w:val="24"/>
        </w:rPr>
        <w:t>t</w:t>
      </w:r>
      <w:r>
        <w:rPr>
          <w:rFonts w:hAnsi="Times New Roman"/>
        </w:rPr>
        <w:t xml:space="preserve">, mm; </w:t>
      </w:r>
      <w:r>
        <w:rPr>
          <w:rFonts w:hAnsi="Times New Roman"/>
          <w:i/>
          <w:iCs/>
          <w:szCs w:val="24"/>
        </w:rPr>
        <w:t>S</w:t>
      </w:r>
      <w:r>
        <w:rPr>
          <w:rFonts w:hAnsi="Times New Roman"/>
          <w:i/>
          <w:iCs/>
          <w:szCs w:val="24"/>
          <w:vertAlign w:val="subscript"/>
        </w:rPr>
        <w:t>t−1</w:t>
      </w:r>
      <w:r>
        <w:rPr>
          <w:rFonts w:hAnsi="Times New Roman"/>
        </w:rPr>
        <w:t xml:space="preserve"> and </w:t>
      </w:r>
      <w:r>
        <w:rPr>
          <w:rFonts w:hAnsi="Times New Roman"/>
          <w:i/>
          <w:iCs/>
          <w:szCs w:val="24"/>
        </w:rPr>
        <w:t>S</w:t>
      </w:r>
      <w:r>
        <w:rPr>
          <w:rFonts w:hAnsi="Times New Roman"/>
          <w:i/>
          <w:iCs/>
          <w:szCs w:val="24"/>
          <w:vertAlign w:val="subscript"/>
        </w:rPr>
        <w:t>t</w:t>
      </w:r>
      <w:r>
        <w:rPr>
          <w:rFonts w:hAnsi="Times New Roman"/>
        </w:rPr>
        <w:t xml:space="preserve"> are the available soil water storage in the root zone on day </w:t>
      </w:r>
      <w:r>
        <w:rPr>
          <w:rFonts w:hAnsi="Times New Roman"/>
          <w:i/>
          <w:iCs/>
          <w:szCs w:val="24"/>
        </w:rPr>
        <w:t>t−1</w:t>
      </w:r>
      <w:r>
        <w:rPr>
          <w:rFonts w:hAnsi="Times New Roman"/>
        </w:rPr>
        <w:t xml:space="preserve"> and day </w:t>
      </w:r>
      <w:r>
        <w:rPr>
          <w:rFonts w:hAnsi="Times New Roman"/>
          <w:i/>
          <w:iCs/>
          <w:szCs w:val="24"/>
        </w:rPr>
        <w:t>t</w:t>
      </w:r>
      <w:r>
        <w:rPr>
          <w:rFonts w:hAnsi="Times New Roman"/>
        </w:rPr>
        <w:t xml:space="preserve">, respectively, mm; </w:t>
      </w:r>
      <w:r>
        <w:rPr>
          <w:rFonts w:hAnsi="Times New Roman"/>
          <w:i/>
          <w:iCs/>
          <w:szCs w:val="24"/>
        </w:rPr>
        <w:t>D</w:t>
      </w:r>
      <w:r>
        <w:rPr>
          <w:rFonts w:hAnsi="Times New Roman"/>
          <w:i/>
          <w:iCs/>
          <w:szCs w:val="24"/>
          <w:vertAlign w:val="subscript"/>
        </w:rPr>
        <w:t>p,t</w:t>
      </w:r>
      <w:r>
        <w:rPr>
          <w:rFonts w:hAnsi="Times New Roman"/>
        </w:rPr>
        <w:t xml:space="preserve"> is the deep percolation on day </w:t>
      </w:r>
      <w:r>
        <w:rPr>
          <w:rFonts w:hAnsi="Times New Roman"/>
          <w:i/>
          <w:iCs/>
          <w:szCs w:val="24"/>
        </w:rPr>
        <w:t>t</w:t>
      </w:r>
      <w:r>
        <w:rPr>
          <w:rFonts w:hAnsi="Times New Roman"/>
        </w:rPr>
        <w:t xml:space="preserve">, mm; and </w:t>
      </w:r>
      <w:r>
        <w:rPr>
          <w:rFonts w:hAnsi="Times New Roman"/>
          <w:i/>
          <w:iCs/>
          <w:szCs w:val="24"/>
        </w:rPr>
        <w:t>D</w:t>
      </w:r>
      <w:r>
        <w:rPr>
          <w:rFonts w:hAnsi="Times New Roman"/>
          <w:i/>
          <w:iCs/>
          <w:szCs w:val="24"/>
          <w:vertAlign w:val="subscript"/>
        </w:rPr>
        <w:t>t</w:t>
      </w:r>
      <w:r>
        <w:rPr>
          <w:rFonts w:hAnsi="Times New Roman"/>
        </w:rPr>
        <w:t xml:space="preserve"> is the drainage on day </w:t>
      </w:r>
      <w:r>
        <w:rPr>
          <w:rFonts w:hAnsi="Times New Roman"/>
          <w:i/>
          <w:iCs/>
          <w:szCs w:val="24"/>
        </w:rPr>
        <w:t>t</w:t>
      </w:r>
      <w:r>
        <w:rPr>
          <w:rFonts w:hAnsi="Times New Roman"/>
        </w:rPr>
        <w:t>, mm.</w:t>
      </w:r>
    </w:p>
    <w:p w14:paraId="35A95CD4">
      <w:pPr>
        <w:spacing w:before="156" w:after="156"/>
        <w:ind w:firstLine="0" w:firstLineChars="0"/>
        <w:rPr>
          <w:rFonts w:hAnsi="Times New Roman"/>
        </w:rPr>
      </w:pPr>
      <w:r>
        <w:rPr>
          <w:rFonts w:hAnsi="Times New Roman"/>
          <w:i/>
          <w:iCs/>
        </w:rPr>
        <w:t>D</w:t>
      </w:r>
      <w:r>
        <w:rPr>
          <w:rFonts w:hint="eastAsia" w:hAnsi="Times New Roman"/>
          <w:i/>
          <w:iCs/>
          <w:vertAlign w:val="subscript"/>
        </w:rPr>
        <w:t>p,t</w:t>
      </w:r>
      <w:r>
        <w:rPr>
          <w:rFonts w:hAnsi="Times New Roman"/>
          <w:i/>
          <w:iCs/>
        </w:rPr>
        <w:t xml:space="preserve"> was calculated using the FAO-56 method.</w:t>
      </w:r>
      <w:r>
        <w:rPr>
          <w:rFonts w:hint="eastAsia" w:hAnsi="Times New Roman"/>
        </w:rPr>
        <w:t>：</w:t>
      </w:r>
    </w:p>
    <w:p w14:paraId="3D5B0383">
      <w:pPr>
        <w:pStyle w:val="8"/>
        <w:tabs>
          <w:tab w:val="left" w:pos="480"/>
          <w:tab w:val="clear" w:pos="5240"/>
        </w:tabs>
        <w:spacing w:before="468" w:after="468"/>
        <w:ind w:firstLine="0" w:firstLineChars="0"/>
      </w:pPr>
      <w:r>
        <w:rPr>
          <w:position w:val="-16"/>
        </w:rPr>
        <w:object>
          <v:shape id="_x0000_i1037" o:spt="75" type="#_x0000_t75" style="height:22pt;width:199pt;" o:ole="t" filled="f" o:preferrelative="t" stroked="f" coordsize="21600,21600">
            <v:path/>
            <v:fill on="f" focussize="0,0"/>
            <v:stroke on="f" joinstyle="miter"/>
            <v:imagedata r:id="rId31" o:title=""/>
            <o:lock v:ext="edit" aspectratio="t"/>
            <w10:wrap type="none"/>
            <w10:anchorlock/>
          </v:shape>
          <o:OLEObject Type="Embed" ProgID="Equation.DSMT4" ShapeID="_x0000_i1037" DrawAspect="Content" ObjectID="_1468075737" r:id="rId30">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4</w:instrText>
      </w:r>
      <w:r>
        <w:fldChar w:fldCharType="end"/>
      </w:r>
      <w:r>
        <w:instrText xml:space="preserve">)</w:instrText>
      </w:r>
      <w:r>
        <w:fldChar w:fldCharType="separate"/>
      </w:r>
      <w:r>
        <w:fldChar w:fldCharType="end"/>
      </w:r>
    </w:p>
    <w:p w14:paraId="67A291E7">
      <w:pPr>
        <w:spacing w:before="156" w:after="156"/>
        <w:ind w:firstLine="0" w:firstLineChars="0"/>
        <w:rPr>
          <w:rFonts w:hAnsi="Times New Roman"/>
        </w:rPr>
      </w:pPr>
      <w:r>
        <w:rPr>
          <w:rFonts w:hAnsi="Times New Roman"/>
        </w:rPr>
        <w:t>where (</w:t>
      </w:r>
      <w:r>
        <w:rPr>
          <w:rFonts w:hAnsi="Times New Roman"/>
          <w:i/>
          <w:iCs/>
        </w:rPr>
        <w:t>D</w:t>
      </w:r>
      <w:r>
        <w:rPr>
          <w:rFonts w:hint="eastAsia" w:hAnsi="Times New Roman"/>
          <w:i/>
          <w:iCs/>
          <w:vertAlign w:val="subscript"/>
        </w:rPr>
        <w:t>p,t</w:t>
      </w:r>
      <w:r>
        <w:rPr>
          <w:rFonts w:hAnsi="Times New Roman"/>
        </w:rPr>
        <w:t>) is the percolation on day (</w:t>
      </w:r>
      <w:r>
        <w:rPr>
          <w:rFonts w:hAnsi="Times New Roman"/>
          <w:i/>
          <w:iCs/>
        </w:rPr>
        <w:t>t</w:t>
      </w:r>
      <w:r>
        <w:rPr>
          <w:rFonts w:hAnsi="Times New Roman"/>
        </w:rPr>
        <w:t>), mm.</w:t>
      </w:r>
    </w:p>
    <w:p w14:paraId="1CB9D602">
      <w:pPr>
        <w:spacing w:before="156" w:after="156"/>
        <w:ind w:firstLine="444" w:firstLineChars="185"/>
        <w:rPr>
          <w:rFonts w:hAnsi="Times New Roman"/>
        </w:rPr>
      </w:pPr>
      <w:r>
        <w:rPr>
          <w:rFonts w:hAnsi="Times New Roman"/>
        </w:rPr>
        <w:t>The basal crop coefficient (</w:t>
      </w:r>
      <w:r>
        <w:rPr>
          <w:rFonts w:hAnsi="Times New Roman"/>
          <w:i/>
          <w:iCs/>
        </w:rPr>
        <w:t>K</w:t>
      </w:r>
      <w:r>
        <w:rPr>
          <w:rFonts w:hAnsi="Times New Roman"/>
          <w:i/>
          <w:iCs/>
          <w:vertAlign w:val="subscript"/>
        </w:rPr>
        <w:t>cb</w:t>
      </w:r>
      <w:r>
        <w:rPr>
          <w:rFonts w:hAnsi="Times New Roman"/>
        </w:rPr>
        <w:t>) and the crop water stress coefficient (</w:t>
      </w:r>
      <w:r>
        <w:rPr>
          <w:rFonts w:hAnsi="Times New Roman"/>
          <w:i/>
          <w:iCs/>
        </w:rPr>
        <w:t>K</w:t>
      </w:r>
      <w:r>
        <w:rPr>
          <w:rFonts w:hAnsi="Times New Roman"/>
          <w:i/>
          <w:iCs/>
          <w:vertAlign w:val="subscript"/>
        </w:rPr>
        <w:t>s</w:t>
      </w:r>
      <w:r>
        <w:rPr>
          <w:rFonts w:hAnsi="Times New Roman"/>
        </w:rPr>
        <w:t>) were calculated using the FAO-56 procedure. Under standard climatic conditions (</w:t>
      </w:r>
      <w:r>
        <w:rPr>
          <w:rFonts w:hAnsi="Times New Roman"/>
          <w:i/>
          <w:iCs/>
        </w:rPr>
        <w:t>RH</w:t>
      </w:r>
      <w:r>
        <w:rPr>
          <w:rFonts w:hAnsi="Times New Roman"/>
          <w:i/>
          <w:iCs/>
          <w:vertAlign w:val="subscript"/>
        </w:rPr>
        <w:t>min</w:t>
      </w:r>
      <w:r>
        <w:rPr>
          <w:rFonts w:hAnsi="Times New Roman"/>
        </w:rPr>
        <w:t>= 45%，</w:t>
      </w:r>
      <w:r>
        <w:rPr>
          <w:rFonts w:hAnsi="Times New Roman"/>
          <w:i/>
          <w:iCs/>
        </w:rPr>
        <w:t>u</w:t>
      </w:r>
      <w:r>
        <w:rPr>
          <w:rFonts w:hint="eastAsia" w:hAnsi="Times New Roman"/>
          <w:i/>
          <w:iCs/>
          <w:vertAlign w:val="superscript"/>
        </w:rPr>
        <w:t>2</w:t>
      </w:r>
      <w:r>
        <w:rPr>
          <w:rFonts w:hAnsi="Times New Roman"/>
        </w:rPr>
        <w:t>= 2m/s), the values of the basal crop coefficient for rice at three key growth stages were determined according to the FAO-56 recommended values, namely 0.6 for the initial stage, 1.05 for the mid-season stage, and 0.9 for the late-season stage. Considering the influence of dynamic canopy growth on Kcb under actual field conditions, the standardized Kcb was further adjusted using the measured leaf area index (</w:t>
      </w:r>
      <w:r>
        <w:rPr>
          <w:rFonts w:hAnsi="Times New Roman"/>
          <w:i/>
          <w:iCs/>
        </w:rPr>
        <w:t>LAI</w:t>
      </w:r>
      <w:r>
        <w:rPr>
          <w:rFonts w:hAnsi="Times New Roman"/>
        </w:rPr>
        <w:t>) and plant height (</w:t>
      </w:r>
      <w:r>
        <w:rPr>
          <w:rFonts w:hAnsi="Times New Roman"/>
          <w:i/>
          <w:iCs/>
        </w:rPr>
        <w:t>h</w:t>
      </w:r>
      <w:r>
        <w:rPr>
          <w:rFonts w:hAnsi="Times New Roman"/>
        </w:rPr>
        <w:t>), thereby obtaining the daily basal crop coefficient. The adjusted Kcb values were calculated using Eqs. (5) and (6).：</w:t>
      </w:r>
    </w:p>
    <w:p w14:paraId="2053D655">
      <w:pPr>
        <w:pStyle w:val="8"/>
        <w:tabs>
          <w:tab w:val="left" w:pos="480"/>
          <w:tab w:val="clear" w:pos="5240"/>
        </w:tabs>
        <w:spacing w:before="468" w:after="468"/>
        <w:ind w:firstLine="0" w:firstLineChars="0"/>
      </w:pPr>
      <w:r>
        <w:rPr>
          <w:position w:val="-28"/>
        </w:rPr>
        <w:object>
          <v:shape id="_x0000_i1038" o:spt="75" type="#_x0000_t75" style="height:37pt;width:291pt;" o:ole="t" filled="f" o:preferrelative="t" stroked="f" coordsize="21600,21600">
            <v:path/>
            <v:fill on="f" focussize="0,0"/>
            <v:stroke on="f" joinstyle="miter"/>
            <v:imagedata r:id="rId33" o:title=""/>
            <o:lock v:ext="edit" aspectratio="t"/>
            <w10:wrap type="none"/>
            <w10:anchorlock/>
          </v:shape>
          <o:OLEObject Type="Embed" ProgID="Equation.DSMT4" ShapeID="_x0000_i1038" DrawAspect="Content" ObjectID="_1468075738" r:id="rId32">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5</w:instrText>
      </w:r>
      <w:r>
        <w:fldChar w:fldCharType="end"/>
      </w:r>
      <w:r>
        <w:instrText xml:space="preserve">)</w:instrText>
      </w:r>
      <w:r>
        <w:fldChar w:fldCharType="separate"/>
      </w:r>
      <w:r>
        <w:fldChar w:fldCharType="end"/>
      </w:r>
    </w:p>
    <w:p w14:paraId="4B5238EB">
      <w:pPr>
        <w:pStyle w:val="8"/>
        <w:tabs>
          <w:tab w:val="left" w:pos="480"/>
          <w:tab w:val="clear" w:pos="5240"/>
        </w:tabs>
        <w:spacing w:before="468" w:after="468"/>
        <w:ind w:firstLine="0" w:firstLineChars="0"/>
      </w:pPr>
      <w:r>
        <w:rPr>
          <w:position w:val="-16"/>
        </w:rPr>
        <w:object>
          <v:shape id="_x0000_i1039" o:spt="75" type="#_x0000_t75" style="height:22pt;width:233pt;" o:ole="t" filled="f" o:preferrelative="t" stroked="f" coordsize="21600,21600">
            <v:path/>
            <v:fill on="f" focussize="0,0"/>
            <v:stroke on="f" joinstyle="miter"/>
            <v:imagedata r:id="rId35" o:title=""/>
            <o:lock v:ext="edit" aspectratio="t"/>
            <w10:wrap type="none"/>
            <w10:anchorlock/>
          </v:shape>
          <o:OLEObject Type="Embed" ProgID="Equation.DSMT4" ShapeID="_x0000_i1039" DrawAspect="Content" ObjectID="_1468075739" r:id="rId34">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6</w:instrText>
      </w:r>
      <w:r>
        <w:fldChar w:fldCharType="end"/>
      </w:r>
      <w:r>
        <w:instrText xml:space="preserve">)</w:instrText>
      </w:r>
      <w:r>
        <w:fldChar w:fldCharType="separate"/>
      </w:r>
      <w:r>
        <w:fldChar w:fldCharType="end"/>
      </w:r>
    </w:p>
    <w:p w14:paraId="2C5E787F">
      <w:pPr>
        <w:spacing w:before="156" w:after="156"/>
        <w:ind w:firstLine="0" w:firstLineChars="0"/>
        <w:rPr>
          <w:rFonts w:hAnsi="Times New Roman"/>
        </w:rPr>
      </w:pPr>
      <w:r>
        <w:rPr>
          <w:rFonts w:hAnsi="Times New Roman"/>
        </w:rPr>
        <w:t>Where (</w:t>
      </w:r>
      <w:r>
        <w:rPr>
          <w:rFonts w:hAnsi="Times New Roman"/>
          <w:position w:val="-14"/>
        </w:rPr>
        <w:object>
          <v:shape id="_x0000_i1040" o:spt="75" type="#_x0000_t75" style="height:20pt;width:24pt;" o:ole="t" filled="f" o:preferrelative="t" stroked="f" coordsize="21600,21600">
            <v:path/>
            <v:fill on="f" focussize="0,0"/>
            <v:stroke on="f" joinstyle="miter"/>
            <v:imagedata r:id="rId37" o:title=""/>
            <o:lock v:ext="edit" aspectratio="f"/>
            <w10:wrap type="none"/>
            <w10:anchorlock/>
          </v:shape>
          <o:OLEObject Type="Embed" ProgID="Equation.DSMT4" ShapeID="_x0000_i1040" DrawAspect="Content" ObjectID="_1468075740" r:id="rId36">
            <o:LockedField>false</o:LockedField>
          </o:OLEObject>
        </w:object>
      </w:r>
      <w:r>
        <w:rPr>
          <w:rFonts w:hAnsi="Times New Roman"/>
        </w:rPr>
        <w:t>) is the basal crop coefficient on day (t) corrected by meteorological factors; (</w:t>
      </w:r>
      <w:r>
        <w:rPr>
          <w:rFonts w:hAnsi="Times New Roman"/>
          <w:position w:val="-14"/>
        </w:rPr>
        <w:object>
          <v:shape id="_x0000_i1041" o:spt="75" type="#_x0000_t75" style="height:19pt;width:35pt;" o:ole="t" filled="f" o:preferrelative="t" stroked="f" coordsize="21600,21600">
            <v:path/>
            <v:fill on="f" focussize="0,0"/>
            <v:stroke on="f" joinstyle="miter"/>
            <v:imagedata r:id="rId39" o:title=""/>
            <o:lock v:ext="edit" aspectratio="f"/>
            <w10:wrap type="none"/>
            <w10:anchorlock/>
          </v:shape>
          <o:OLEObject Type="Embed" ProgID="Equation.DSMT4" ShapeID="_x0000_i1041" DrawAspect="Content" ObjectID="_1468075741" r:id="rId38">
            <o:LockedField>false</o:LockedField>
          </o:OLEObject>
        </w:object>
      </w:r>
      <w:r>
        <w:rPr>
          <w:rFonts w:hAnsi="Times New Roman"/>
        </w:rPr>
        <w:t>) is the basal crop coefficient under the standard climatic conditions described above; (</w:t>
      </w:r>
      <w:r>
        <w:rPr>
          <w:rFonts w:hAnsi="Times New Roman"/>
          <w:i/>
          <w:iCs/>
        </w:rPr>
        <w:t>h</w:t>
      </w:r>
      <w:r>
        <w:rPr>
          <w:rFonts w:hAnsi="Times New Roman"/>
          <w:i/>
          <w:iCs/>
          <w:vertAlign w:val="subscript"/>
        </w:rPr>
        <w:t>t</w:t>
      </w:r>
      <w:r>
        <w:rPr>
          <w:rFonts w:hAnsi="Times New Roman"/>
        </w:rPr>
        <w:t>) is the mean plant height (m); (</w:t>
      </w:r>
      <w:r>
        <w:rPr>
          <w:rFonts w:hint="eastAsia" w:hAnsi="Times New Roman"/>
          <w:i/>
          <w:iCs/>
        </w:rPr>
        <w:t>u</w:t>
      </w:r>
      <w:r>
        <w:rPr>
          <w:rFonts w:hAnsi="Times New Roman"/>
          <w:i/>
          <w:iCs/>
          <w:vertAlign w:val="subscript"/>
        </w:rPr>
        <w:t>2</w:t>
      </w:r>
      <w:r>
        <w:rPr>
          <w:rFonts w:hint="eastAsia" w:hAnsi="Times New Roman"/>
          <w:i/>
          <w:iCs/>
          <w:vertAlign w:val="subscript"/>
        </w:rPr>
        <w:t>,</w:t>
      </w:r>
      <w:r>
        <w:rPr>
          <w:rFonts w:hAnsi="Times New Roman"/>
          <w:i/>
          <w:iCs/>
          <w:vertAlign w:val="subscript"/>
        </w:rPr>
        <w:t>t</w:t>
      </w:r>
      <w:r>
        <w:rPr>
          <w:rFonts w:hAnsi="Times New Roman"/>
        </w:rPr>
        <w:t>) is the daily mean wind speed at 2 m above the crop canopy (m/s); (</w:t>
      </w:r>
      <w:r>
        <w:rPr>
          <w:rFonts w:hAnsi="Times New Roman"/>
          <w:i/>
          <w:iCs/>
        </w:rPr>
        <w:t>RH</w:t>
      </w:r>
      <w:r>
        <w:rPr>
          <w:rFonts w:hAnsi="Times New Roman"/>
          <w:i/>
          <w:iCs/>
          <w:vertAlign w:val="subscript"/>
        </w:rPr>
        <w:t>min</w:t>
      </w:r>
      <w:r>
        <w:rPr>
          <w:rFonts w:hint="eastAsia" w:hAnsi="Times New Roman"/>
          <w:i/>
          <w:iCs/>
          <w:vertAlign w:val="subscript"/>
        </w:rPr>
        <w:t>,t</w:t>
      </w:r>
      <w:r>
        <w:rPr>
          <w:rFonts w:hAnsi="Times New Roman"/>
        </w:rPr>
        <w:t>) is the minimum relative humidity (%); (</w:t>
      </w:r>
      <w:r>
        <w:rPr>
          <w:rFonts w:hAnsi="Times New Roman"/>
          <w:i/>
          <w:iCs/>
        </w:rPr>
        <w:t>K</w:t>
      </w:r>
      <w:r>
        <w:rPr>
          <w:rFonts w:hAnsi="Times New Roman"/>
          <w:i/>
          <w:iCs/>
          <w:vertAlign w:val="subscript"/>
        </w:rPr>
        <w:t>cb, t</w:t>
      </w:r>
      <w:r>
        <w:rPr>
          <w:rFonts w:hAnsi="Times New Roman"/>
        </w:rPr>
        <w:t>) is the final basal crop coefficient used for calculation on day (t); (</w:t>
      </w:r>
      <w:r>
        <w:rPr>
          <w:rFonts w:hAnsi="Times New Roman"/>
          <w:i/>
          <w:iCs/>
        </w:rPr>
        <w:t>LAI</w:t>
      </w:r>
      <w:r>
        <w:rPr>
          <w:rFonts w:hAnsi="Times New Roman"/>
          <w:i/>
          <w:iCs/>
          <w:vertAlign w:val="subscript"/>
        </w:rPr>
        <w:t>t</w:t>
      </w:r>
      <w:r>
        <w:rPr>
          <w:rFonts w:hAnsi="Times New Roman"/>
        </w:rPr>
        <w:t>) is the leaf area index on day (t); (</w:t>
      </w:r>
      <w:r>
        <w:rPr>
          <w:rFonts w:hAnsi="Times New Roman"/>
          <w:i/>
          <w:iCs/>
        </w:rPr>
        <w:t>K</w:t>
      </w:r>
      <w:r>
        <w:rPr>
          <w:rFonts w:hAnsi="Times New Roman"/>
          <w:i/>
          <w:iCs/>
          <w:vertAlign w:val="subscript"/>
        </w:rPr>
        <w:t>cb</w:t>
      </w:r>
      <w:r>
        <w:rPr>
          <w:rFonts w:hAnsi="Times New Roman"/>
        </w:rPr>
        <w:t xml:space="preserve">) is the </w:t>
      </w:r>
      <w:r>
        <w:rPr>
          <w:rFonts w:hAnsi="Times New Roman"/>
          <w:i/>
          <w:iCs/>
        </w:rPr>
        <w:t>LAI</w:t>
      </w:r>
      <w:r>
        <w:rPr>
          <w:rFonts w:hAnsi="Times New Roman"/>
        </w:rPr>
        <w:t>-corrected basal crop coefficient; (</w:t>
      </w:r>
      <w:r>
        <w:rPr>
          <w:rFonts w:hAnsi="Times New Roman"/>
          <w:i/>
          <w:iCs/>
        </w:rPr>
        <w:t>K</w:t>
      </w:r>
      <w:r>
        <w:rPr>
          <w:rFonts w:hAnsi="Times New Roman"/>
          <w:i/>
          <w:iCs/>
          <w:vertAlign w:val="subscript"/>
        </w:rPr>
        <w:t>c,min</w:t>
      </w:r>
      <w:r>
        <w:rPr>
          <w:rFonts w:hAnsi="Times New Roman"/>
        </w:rPr>
        <w:t>) is the minimum coefficient for bare soil (0.15); and (k) is the canopy radiation extinction coefficient, with a value of 0.7.</w:t>
      </w:r>
    </w:p>
    <w:p w14:paraId="4D0867F8">
      <w:pPr>
        <w:spacing w:before="156" w:after="156"/>
        <w:ind w:firstLine="444" w:firstLineChars="185"/>
        <w:rPr>
          <w:rFonts w:hAnsi="Times New Roman"/>
        </w:rPr>
      </w:pPr>
      <w:r>
        <w:rPr>
          <w:rFonts w:hAnsi="Times New Roman"/>
        </w:rPr>
        <w:t>The crop water stress coefficient (</w:t>
      </w:r>
      <w:r>
        <w:rPr>
          <w:rFonts w:hAnsi="Times New Roman"/>
          <w:i/>
          <w:iCs/>
        </w:rPr>
        <w:t>K</w:t>
      </w:r>
      <w:r>
        <w:rPr>
          <w:rFonts w:hAnsi="Times New Roman"/>
          <w:i/>
          <w:iCs/>
          <w:vertAlign w:val="subscript"/>
        </w:rPr>
        <w:t>s</w:t>
      </w:r>
      <w:r>
        <w:rPr>
          <w:rFonts w:hAnsi="Times New Roman"/>
        </w:rPr>
        <w:t xml:space="preserve">) can be expressed as a simple linear model following the procedure described in FAO-33, and this model is equivalent to the </w:t>
      </w:r>
      <w:r>
        <w:rPr>
          <w:rFonts w:hAnsi="Times New Roman"/>
          <w:i/>
          <w:iCs/>
        </w:rPr>
        <w:t>K</w:t>
      </w:r>
      <w:r>
        <w:rPr>
          <w:rFonts w:hAnsi="Times New Roman"/>
          <w:i/>
          <w:iCs/>
          <w:vertAlign w:val="subscript"/>
        </w:rPr>
        <w:t>s</w:t>
      </w:r>
      <w:r>
        <w:rPr>
          <w:rFonts w:hAnsi="Times New Roman"/>
        </w:rPr>
        <w:t xml:space="preserve"> calculation method used in FAO-56.</w:t>
      </w:r>
    </w:p>
    <w:p w14:paraId="56896305">
      <w:pPr>
        <w:pStyle w:val="8"/>
        <w:tabs>
          <w:tab w:val="left" w:pos="480"/>
          <w:tab w:val="clear" w:pos="5240"/>
        </w:tabs>
        <w:spacing w:before="468" w:after="468"/>
        <w:ind w:firstLine="0" w:firstLineChars="0"/>
        <w:jc w:val="left"/>
      </w:pPr>
      <w:r>
        <w:rPr>
          <w:position w:val="-74"/>
        </w:rPr>
        <w:object>
          <v:shape id="_x0000_i1042" o:spt="75" type="#_x0000_t75" style="height:80pt;width:164pt;" o:ole="t" filled="f" o:preferrelative="t" stroked="f" coordsize="21600,21600">
            <v:path/>
            <v:fill on="f" focussize="0,0"/>
            <v:stroke on="f" joinstyle="miter"/>
            <v:imagedata r:id="rId41" o:title=""/>
            <o:lock v:ext="edit" aspectratio="t"/>
            <w10:wrap type="none"/>
            <w10:anchorlock/>
          </v:shape>
          <o:OLEObject Type="Embed" ProgID="Equation.DSMT4" ShapeID="_x0000_i1042" DrawAspect="Content" ObjectID="_1468075742" r:id="rId40">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7</w:instrText>
      </w:r>
      <w:r>
        <w:fldChar w:fldCharType="end"/>
      </w:r>
      <w:r>
        <w:instrText xml:space="preserve">)</w:instrText>
      </w:r>
      <w:r>
        <w:fldChar w:fldCharType="separate"/>
      </w:r>
      <w:r>
        <w:fldChar w:fldCharType="end"/>
      </w:r>
    </w:p>
    <w:p w14:paraId="6FA88D0E">
      <w:pPr>
        <w:pStyle w:val="8"/>
        <w:tabs>
          <w:tab w:val="left" w:pos="480"/>
          <w:tab w:val="clear" w:pos="5240"/>
        </w:tabs>
        <w:spacing w:before="468" w:after="468"/>
        <w:ind w:firstLine="0" w:firstLineChars="0"/>
      </w:pPr>
      <w:r>
        <w:rPr>
          <w:position w:val="-14"/>
        </w:rPr>
        <w:object>
          <v:shape id="_x0000_i1043" o:spt="75" type="#_x0000_t75" style="height:19pt;width:131pt;" o:ole="t" filled="f" o:preferrelative="t" stroked="f" coordsize="21600,21600">
            <v:path/>
            <v:fill on="f" focussize="0,0"/>
            <v:stroke on="f" joinstyle="miter"/>
            <v:imagedata r:id="rId43" o:title=""/>
            <o:lock v:ext="edit" aspectratio="t"/>
            <w10:wrap type="none"/>
            <w10:anchorlock/>
          </v:shape>
          <o:OLEObject Type="Embed" ProgID="Equation.DSMT4" ShapeID="_x0000_i1043" DrawAspect="Content" ObjectID="_1468075743" r:id="rId42">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8</w:instrText>
      </w:r>
      <w:r>
        <w:fldChar w:fldCharType="end"/>
      </w:r>
      <w:r>
        <w:instrText xml:space="preserve">)</w:instrText>
      </w:r>
      <w:r>
        <w:fldChar w:fldCharType="separate"/>
      </w:r>
      <w:r>
        <w:fldChar w:fldCharType="end"/>
      </w:r>
    </w:p>
    <w:p w14:paraId="303854E9">
      <w:pPr>
        <w:spacing w:before="156" w:after="156"/>
        <w:ind w:firstLine="0" w:firstLineChars="0"/>
        <w:rPr>
          <w:rFonts w:hAnsi="Times New Roman"/>
        </w:rPr>
      </w:pPr>
      <w:r>
        <w:rPr>
          <w:rFonts w:hAnsi="Times New Roman"/>
          <w:position w:val="-30"/>
        </w:rPr>
        <w:t>where (</w:t>
      </w:r>
      <w:r>
        <w:rPr>
          <w:rFonts w:hAnsi="Times New Roman"/>
          <w:i/>
          <w:iCs/>
          <w:position w:val="-30"/>
        </w:rPr>
        <w:t>θ</w:t>
      </w:r>
      <w:r>
        <w:rPr>
          <w:rFonts w:hAnsi="Times New Roman"/>
          <w:i/>
          <w:iCs/>
          <w:position w:val="-30"/>
          <w:vertAlign w:val="subscript"/>
        </w:rPr>
        <w:t>r</w:t>
      </w:r>
      <w:r>
        <w:rPr>
          <w:rFonts w:hint="eastAsia" w:hAnsi="Times New Roman"/>
          <w:i/>
          <w:iCs/>
          <w:position w:val="-30"/>
          <w:vertAlign w:val="subscript"/>
        </w:rPr>
        <w:t>,t</w:t>
      </w:r>
      <w:r>
        <w:rPr>
          <w:rFonts w:hAnsi="Times New Roman"/>
          <w:position w:val="-30"/>
        </w:rPr>
        <w:t>) is the average volumetric soil water content in the root zone on day (</w:t>
      </w:r>
      <w:r>
        <w:rPr>
          <w:rFonts w:hAnsi="Times New Roman"/>
          <w:i/>
          <w:iCs/>
          <w:position w:val="-30"/>
        </w:rPr>
        <w:t>t</w:t>
      </w:r>
      <w:r>
        <w:rPr>
          <w:rFonts w:hAnsi="Times New Roman"/>
          <w:position w:val="-30"/>
        </w:rPr>
        <w:t>) ((m</w:t>
      </w:r>
      <w:r>
        <w:rPr>
          <w:rFonts w:hAnsi="Times New Roman"/>
          <w:position w:val="-30"/>
          <w:vertAlign w:val="superscript"/>
        </w:rPr>
        <w:t>3</w:t>
      </w:r>
      <w:r>
        <w:rPr>
          <w:rFonts w:hAnsi="Times New Roman"/>
          <w:position w:val="-30"/>
        </w:rPr>
        <w:t>m</w:t>
      </w:r>
      <w:r>
        <w:rPr>
          <w:rFonts w:hAnsi="Times New Roman"/>
          <w:position w:val="-30"/>
          <w:vertAlign w:val="superscript"/>
        </w:rPr>
        <w:t>−3</w:t>
      </w:r>
      <w:r>
        <w:rPr>
          <w:rFonts w:hAnsi="Times New Roman"/>
          <w:position w:val="-30"/>
        </w:rPr>
        <w:t>); (</w:t>
      </w:r>
      <w:r>
        <w:rPr>
          <w:rFonts w:hAnsi="Times New Roman"/>
          <w:i/>
          <w:iCs/>
          <w:position w:val="-30"/>
        </w:rPr>
        <w:t>θ</w:t>
      </w:r>
      <w:r>
        <w:rPr>
          <w:rFonts w:hAnsi="Times New Roman"/>
          <w:i/>
          <w:iCs/>
          <w:position w:val="-30"/>
          <w:vertAlign w:val="subscript"/>
        </w:rPr>
        <w:t>th</w:t>
      </w:r>
      <w:r>
        <w:rPr>
          <w:rFonts w:hAnsi="Times New Roman"/>
          <w:position w:val="-30"/>
        </w:rPr>
        <w:t>) is the threshold soil water content for stress (m</w:t>
      </w:r>
      <w:r>
        <w:rPr>
          <w:rFonts w:hAnsi="Times New Roman"/>
          <w:position w:val="-30"/>
          <w:vertAlign w:val="superscript"/>
        </w:rPr>
        <w:t>3</w:t>
      </w:r>
      <w:r>
        <w:rPr>
          <w:rFonts w:hAnsi="Times New Roman"/>
          <w:position w:val="-30"/>
        </w:rPr>
        <w:t>m</w:t>
      </w:r>
      <w:r>
        <w:rPr>
          <w:rFonts w:hAnsi="Times New Roman"/>
          <w:position w:val="-30"/>
          <w:vertAlign w:val="superscript"/>
        </w:rPr>
        <w:t>−3</w:t>
      </w:r>
      <w:r>
        <w:rPr>
          <w:rFonts w:hAnsi="Times New Roman"/>
          <w:position w:val="-30"/>
        </w:rPr>
        <w:t>); (</w:t>
      </w:r>
      <w:r>
        <w:rPr>
          <w:rFonts w:hAnsi="Times New Roman"/>
          <w:i/>
          <w:iCs/>
          <w:position w:val="-30"/>
        </w:rPr>
        <w:t>θ</w:t>
      </w:r>
      <w:r>
        <w:rPr>
          <w:rFonts w:hAnsi="Times New Roman"/>
          <w:i/>
          <w:iCs/>
          <w:position w:val="-30"/>
          <w:vertAlign w:val="subscript"/>
        </w:rPr>
        <w:t>wp</w:t>
      </w:r>
      <w:r>
        <w:rPr>
          <w:rFonts w:hAnsi="Times New Roman"/>
          <w:position w:val="-30"/>
        </w:rPr>
        <w:t>) is the soil water content at the permanent wilting point; (</w:t>
      </w:r>
      <w:r>
        <w:rPr>
          <w:rFonts w:hAnsi="Times New Roman"/>
          <w:i/>
          <w:iCs/>
          <w:position w:val="-30"/>
        </w:rPr>
        <w:t>θ</w:t>
      </w:r>
      <w:r>
        <w:rPr>
          <w:rFonts w:hAnsi="Times New Roman"/>
          <w:i/>
          <w:iCs/>
          <w:position w:val="-30"/>
          <w:vertAlign w:val="subscript"/>
        </w:rPr>
        <w:t>fc</w:t>
      </w:r>
      <w:r>
        <w:rPr>
          <w:rFonts w:hAnsi="Times New Roman"/>
          <w:position w:val="-30"/>
        </w:rPr>
        <w:t>) is the soil water content at field capacity; and (</w:t>
      </w:r>
      <w:r>
        <w:rPr>
          <w:rFonts w:hAnsi="Times New Roman"/>
          <w:i/>
          <w:iCs/>
          <w:position w:val="-30"/>
        </w:rPr>
        <w:t>p</w:t>
      </w:r>
      <w:r>
        <w:rPr>
          <w:rFonts w:hAnsi="Times New Roman"/>
          <w:position w:val="-30"/>
        </w:rPr>
        <w:t>) is the average fraction of total available soil water that can be depleted from the root zone before water stress occurs.</w:t>
      </w:r>
    </w:p>
    <w:p w14:paraId="7C1E4E2D">
      <w:pPr>
        <w:pStyle w:val="2"/>
        <w:numPr>
          <w:ilvl w:val="0"/>
          <w:numId w:val="0"/>
        </w:numPr>
        <w:ind w:leftChars="0"/>
        <w:rPr>
          <w:i w:val="0"/>
          <w:iCs w:val="0"/>
        </w:rPr>
      </w:pPr>
      <w:r>
        <w:rPr>
          <w:rFonts w:hint="eastAsia"/>
          <w:i w:val="0"/>
          <w:iCs w:val="0"/>
        </w:rPr>
        <w:t>UAV-based ETc estimation method based on the FAO-56 dual crop coefficient approach</w:t>
      </w:r>
    </w:p>
    <w:p w14:paraId="628A7212">
      <w:pPr>
        <w:spacing w:before="156" w:after="156"/>
        <w:rPr>
          <w:rFonts w:hAnsi="Times New Roman"/>
        </w:rPr>
      </w:pPr>
      <w:r>
        <w:rPr>
          <w:rFonts w:hAnsi="Times New Roman"/>
        </w:rPr>
        <w:t>According to the FAO-56 dual crop coefficient approach, ETc is defined as follows:</w:t>
      </w:r>
    </w:p>
    <w:p w14:paraId="660423C1">
      <w:pPr>
        <w:pStyle w:val="8"/>
        <w:tabs>
          <w:tab w:val="left" w:pos="480"/>
          <w:tab w:val="clear" w:pos="5240"/>
        </w:tabs>
        <w:spacing w:before="468" w:after="468"/>
        <w:ind w:firstLine="0" w:firstLineChars="0"/>
      </w:pPr>
      <w:r>
        <w:rPr>
          <w:position w:val="-16"/>
        </w:rPr>
        <w:object>
          <v:shape id="_x0000_i1044" o:spt="75" type="#_x0000_t75" style="height:22pt;width:138pt;" o:ole="t" filled="f" o:preferrelative="t" stroked="f" coordsize="21600,21600">
            <v:path/>
            <v:fill on="f" focussize="0,0"/>
            <v:stroke on="f" joinstyle="miter"/>
            <v:imagedata r:id="rId45" o:title=""/>
            <o:lock v:ext="edit" aspectratio="t"/>
            <w10:wrap type="none"/>
            <w10:anchorlock/>
          </v:shape>
          <o:OLEObject Type="Embed" ProgID="Equation.DSMT4" ShapeID="_x0000_i1044" DrawAspect="Content" ObjectID="_1468075744" r:id="rId44">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9</w:instrText>
      </w:r>
      <w:r>
        <w:fldChar w:fldCharType="end"/>
      </w:r>
      <w:r>
        <w:instrText xml:space="preserve">)</w:instrText>
      </w:r>
      <w:r>
        <w:fldChar w:fldCharType="separate"/>
      </w:r>
      <w:r>
        <w:fldChar w:fldCharType="end"/>
      </w:r>
    </w:p>
    <w:p w14:paraId="47DC9D2C">
      <w:pPr>
        <w:spacing w:before="156" w:after="156"/>
        <w:ind w:firstLine="0" w:firstLineChars="0"/>
        <w:rPr>
          <w:rFonts w:hAnsi="Times New Roman"/>
          <w:szCs w:val="24"/>
        </w:rPr>
      </w:pPr>
      <w:r>
        <w:rPr>
          <w:rFonts w:hAnsi="Times New Roman"/>
          <w:szCs w:val="24"/>
        </w:rPr>
        <w:t xml:space="preserve">where </w:t>
      </w:r>
      <w:r>
        <w:rPr>
          <w:rFonts w:hAnsi="Times New Roman"/>
          <w:i/>
          <w:iCs/>
          <w:szCs w:val="24"/>
        </w:rPr>
        <w:t>ET</w:t>
      </w:r>
      <w:r>
        <w:rPr>
          <w:rFonts w:hAnsi="Times New Roman"/>
          <w:i/>
          <w:iCs/>
          <w:szCs w:val="24"/>
          <w:vertAlign w:val="subscript"/>
        </w:rPr>
        <w:t>c</w:t>
      </w:r>
      <w:r>
        <w:rPr>
          <w:rFonts w:hint="eastAsia" w:hAnsi="Times New Roman"/>
          <w:i/>
          <w:iCs/>
          <w:szCs w:val="24"/>
          <w:vertAlign w:val="subscript"/>
        </w:rPr>
        <w:t>,t</w:t>
      </w:r>
      <w:r>
        <w:rPr>
          <w:rFonts w:hAnsi="Times New Roman"/>
          <w:szCs w:val="24"/>
        </w:rPr>
        <w:t xml:space="preserve"> is the crop evapotranspiration on day </w:t>
      </w:r>
      <w:r>
        <w:rPr>
          <w:rFonts w:hAnsi="Times New Roman"/>
          <w:i/>
          <w:iCs/>
          <w:szCs w:val="24"/>
        </w:rPr>
        <w:t>t</w:t>
      </w:r>
      <w:r>
        <w:rPr>
          <w:rFonts w:hAnsi="Times New Roman"/>
          <w:szCs w:val="24"/>
        </w:rPr>
        <w:t xml:space="preserve">, mm; </w:t>
      </w:r>
      <w:r>
        <w:rPr>
          <w:rFonts w:hAnsi="Times New Roman"/>
          <w:i/>
          <w:iCs/>
          <w:szCs w:val="24"/>
        </w:rPr>
        <w:t>ET</w:t>
      </w:r>
      <w:r>
        <w:rPr>
          <w:rFonts w:hAnsi="Times New Roman"/>
          <w:i/>
          <w:iCs/>
          <w:szCs w:val="24"/>
          <w:vertAlign w:val="subscript"/>
        </w:rPr>
        <w:t>0</w:t>
      </w:r>
      <w:r>
        <w:rPr>
          <w:rFonts w:hint="eastAsia" w:hAnsi="Times New Roman"/>
          <w:i/>
          <w:iCs/>
          <w:szCs w:val="24"/>
          <w:vertAlign w:val="subscript"/>
        </w:rPr>
        <w:t>,t</w:t>
      </w:r>
      <w:r>
        <w:rPr>
          <w:rFonts w:hAnsi="Times New Roman"/>
          <w:szCs w:val="24"/>
        </w:rPr>
        <w:t xml:space="preserve"> is the reference evapotranspiration on day </w:t>
      </w:r>
      <w:r>
        <w:rPr>
          <w:rFonts w:hAnsi="Times New Roman"/>
          <w:i/>
          <w:iCs/>
          <w:szCs w:val="24"/>
        </w:rPr>
        <w:t>t</w:t>
      </w:r>
      <w:r>
        <w:rPr>
          <w:rFonts w:hAnsi="Times New Roman"/>
          <w:szCs w:val="24"/>
        </w:rPr>
        <w:t xml:space="preserve">, mm; </w:t>
      </w:r>
      <w:r>
        <w:rPr>
          <w:rFonts w:hAnsi="Times New Roman"/>
          <w:i/>
          <w:iCs/>
          <w:szCs w:val="24"/>
        </w:rPr>
        <w:t>K</w:t>
      </w:r>
      <w:r>
        <w:rPr>
          <w:rFonts w:hAnsi="Times New Roman"/>
          <w:i/>
          <w:iCs/>
          <w:szCs w:val="24"/>
          <w:vertAlign w:val="subscript"/>
        </w:rPr>
        <w:t>s</w:t>
      </w:r>
      <w:r>
        <w:rPr>
          <w:rFonts w:hint="eastAsia" w:hAnsi="Times New Roman"/>
          <w:i/>
          <w:iCs/>
          <w:szCs w:val="24"/>
          <w:vertAlign w:val="subscript"/>
        </w:rPr>
        <w:t>,t</w:t>
      </w:r>
      <w:r>
        <w:rPr>
          <w:rFonts w:hAnsi="Times New Roman"/>
          <w:szCs w:val="24"/>
        </w:rPr>
        <w:t xml:space="preserve"> is the soil water stress coefficient, representing the effect of soil water stress on crop transpiration; </w:t>
      </w:r>
      <w:r>
        <w:rPr>
          <w:rFonts w:hAnsi="Times New Roman"/>
          <w:i/>
          <w:iCs/>
          <w:szCs w:val="24"/>
        </w:rPr>
        <w:t>K</w:t>
      </w:r>
      <w:r>
        <w:rPr>
          <w:rFonts w:hAnsi="Times New Roman"/>
          <w:i/>
          <w:iCs/>
          <w:szCs w:val="24"/>
          <w:vertAlign w:val="subscript"/>
        </w:rPr>
        <w:t>cb</w:t>
      </w:r>
      <w:r>
        <w:rPr>
          <w:rFonts w:hint="eastAsia" w:hAnsi="Times New Roman"/>
          <w:i/>
          <w:iCs/>
          <w:szCs w:val="24"/>
          <w:vertAlign w:val="subscript"/>
        </w:rPr>
        <w:t>,t</w:t>
      </w:r>
      <w:r>
        <w:rPr>
          <w:rFonts w:hAnsi="Times New Roman"/>
          <w:szCs w:val="24"/>
        </w:rPr>
        <w:t xml:space="preserve"> is the basal crop coefficient representing the transpiration ratio under non-stressed conditions; and </w:t>
      </w:r>
      <w:r>
        <w:rPr>
          <w:rFonts w:hAnsi="Times New Roman"/>
          <w:i/>
          <w:iCs/>
          <w:szCs w:val="24"/>
        </w:rPr>
        <w:t>K</w:t>
      </w:r>
      <w:r>
        <w:rPr>
          <w:rFonts w:hAnsi="Times New Roman"/>
          <w:i/>
          <w:iCs/>
          <w:szCs w:val="24"/>
          <w:vertAlign w:val="subscript"/>
        </w:rPr>
        <w:t>e</w:t>
      </w:r>
      <w:r>
        <w:rPr>
          <w:rFonts w:hint="eastAsia" w:hAnsi="Times New Roman"/>
          <w:i/>
          <w:iCs/>
          <w:szCs w:val="24"/>
          <w:vertAlign w:val="subscript"/>
        </w:rPr>
        <w:t>,t</w:t>
      </w:r>
      <w:r>
        <w:rPr>
          <w:rFonts w:hAnsi="Times New Roman"/>
          <w:szCs w:val="24"/>
        </w:rPr>
        <w:t xml:space="preserve"> is the soil evaporation coefficient.</w:t>
      </w:r>
    </w:p>
    <w:p w14:paraId="758676B3">
      <w:pPr>
        <w:spacing w:before="156" w:after="156"/>
        <w:ind w:firstLine="444" w:firstLineChars="185"/>
        <w:rPr>
          <w:rFonts w:hAnsi="Times New Roman"/>
          <w:szCs w:val="24"/>
        </w:rPr>
      </w:pPr>
      <w:r>
        <w:rPr>
          <w:rFonts w:hAnsi="Times New Roman"/>
          <w:i/>
          <w:iCs/>
          <w:szCs w:val="24"/>
        </w:rPr>
        <w:t>K</w:t>
      </w:r>
      <w:r>
        <w:rPr>
          <w:rFonts w:hAnsi="Times New Roman"/>
          <w:i/>
          <w:iCs/>
          <w:szCs w:val="24"/>
          <w:vertAlign w:val="subscript"/>
        </w:rPr>
        <w:t>s</w:t>
      </w:r>
      <w:r>
        <w:rPr>
          <w:rFonts w:hAnsi="Times New Roman"/>
          <w:szCs w:val="24"/>
        </w:rPr>
        <w:t xml:space="preserve"> was evaluated in combination with three different </w:t>
      </w:r>
      <w:r>
        <w:rPr>
          <w:rFonts w:hAnsi="Times New Roman"/>
          <w:i/>
          <w:iCs/>
          <w:szCs w:val="24"/>
        </w:rPr>
        <w:t>K</w:t>
      </w:r>
      <w:r>
        <w:rPr>
          <w:rFonts w:hAnsi="Times New Roman"/>
          <w:i/>
          <w:iCs/>
          <w:szCs w:val="24"/>
          <w:vertAlign w:val="subscript"/>
        </w:rPr>
        <w:t>cb</w:t>
      </w:r>
      <w:r>
        <w:rPr>
          <w:rFonts w:hAnsi="Times New Roman"/>
          <w:szCs w:val="24"/>
        </w:rPr>
        <w:t xml:space="preserve"> methods, and CWSI was used to quantify </w:t>
      </w:r>
      <w:r>
        <w:rPr>
          <w:rFonts w:hAnsi="Times New Roman"/>
          <w:i/>
          <w:iCs/>
          <w:szCs w:val="24"/>
        </w:rPr>
        <w:t>K</w:t>
      </w:r>
      <w:r>
        <w:rPr>
          <w:rFonts w:hAnsi="Times New Roman"/>
          <w:i/>
          <w:iCs/>
          <w:szCs w:val="24"/>
          <w:vertAlign w:val="subscript"/>
        </w:rPr>
        <w:t>s</w:t>
      </w:r>
      <w:r>
        <w:rPr>
          <w:rFonts w:hAnsi="Times New Roman"/>
          <w:szCs w:val="24"/>
        </w:rPr>
        <w:t>.</w:t>
      </w:r>
    </w:p>
    <w:p w14:paraId="4284A970">
      <w:pPr>
        <w:pStyle w:val="8"/>
        <w:tabs>
          <w:tab w:val="left" w:pos="480"/>
          <w:tab w:val="clear" w:pos="5240"/>
        </w:tabs>
        <w:spacing w:before="468" w:after="468"/>
        <w:ind w:firstLine="0" w:firstLineChars="0"/>
      </w:pPr>
      <w:r>
        <w:rPr>
          <w:position w:val="-14"/>
        </w:rPr>
        <w:object>
          <v:shape id="_x0000_i1045" o:spt="75" type="#_x0000_t75" style="height:19pt;width:79pt;" o:ole="t" filled="f" o:preferrelative="t" stroked="f" coordsize="21600,21600">
            <v:path/>
            <v:fill on="f" focussize="0,0"/>
            <v:stroke on="f" joinstyle="miter"/>
            <v:imagedata r:id="rId47" o:title=""/>
            <o:lock v:ext="edit" aspectratio="t"/>
            <w10:wrap type="none"/>
            <w10:anchorlock/>
          </v:shape>
          <o:OLEObject Type="Embed" ProgID="Equation.DSMT4" ShapeID="_x0000_i1045" DrawAspect="Content" ObjectID="_1468075745" r:id="rId46">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10</w:instrText>
      </w:r>
      <w:r>
        <w:fldChar w:fldCharType="end"/>
      </w:r>
      <w:r>
        <w:instrText xml:space="preserve">)</w:instrText>
      </w:r>
      <w:r>
        <w:fldChar w:fldCharType="separate"/>
      </w:r>
      <w:r>
        <w:fldChar w:fldCharType="end"/>
      </w:r>
    </w:p>
    <w:p w14:paraId="766503A1">
      <w:pPr>
        <w:spacing w:before="156" w:after="156"/>
        <w:ind w:firstLine="0" w:firstLineChars="0"/>
        <w:rPr>
          <w:rFonts w:hAnsi="Times New Roman"/>
        </w:rPr>
      </w:pPr>
      <w:r>
        <w:rPr>
          <w:rFonts w:hAnsi="Times New Roman"/>
        </w:rPr>
        <w:t xml:space="preserve">where </w:t>
      </w:r>
      <w:r>
        <w:rPr>
          <w:rFonts w:hAnsi="Times New Roman"/>
          <w:i/>
          <w:iCs/>
        </w:rPr>
        <w:t>CWSI</w:t>
      </w:r>
      <w:r>
        <w:rPr>
          <w:rFonts w:hAnsi="Times New Roman"/>
          <w:i/>
          <w:iCs/>
          <w:vertAlign w:val="subscript"/>
        </w:rPr>
        <w:t>t</w:t>
      </w:r>
      <w:r>
        <w:rPr>
          <w:rFonts w:hAnsi="Times New Roman"/>
        </w:rPr>
        <w:t xml:space="preserve"> is the crop water stress index on day t.</w:t>
      </w:r>
    </w:p>
    <w:p w14:paraId="3C219EB5">
      <w:pPr>
        <w:spacing w:before="156" w:after="156"/>
        <w:ind w:firstLine="444" w:firstLineChars="185"/>
        <w:rPr>
          <w:rFonts w:hAnsi="Times New Roman"/>
        </w:rPr>
      </w:pPr>
      <w:r>
        <w:rPr>
          <w:rFonts w:hAnsi="Times New Roman"/>
        </w:rPr>
        <w:t xml:space="preserve">In this study, </w:t>
      </w:r>
      <w:r>
        <w:rPr>
          <w:rFonts w:hAnsi="Times New Roman"/>
          <w:i/>
          <w:iCs/>
        </w:rPr>
        <w:t>NDVI</w:t>
      </w:r>
      <w:r>
        <w:rPr>
          <w:rFonts w:hAnsi="Times New Roman"/>
        </w:rPr>
        <w:t xml:space="preserve">, </w:t>
      </w:r>
      <w:r>
        <w:rPr>
          <w:rFonts w:hAnsi="Times New Roman"/>
          <w:i/>
          <w:iCs/>
        </w:rPr>
        <w:t>SAVI</w:t>
      </w:r>
      <w:r>
        <w:rPr>
          <w:rFonts w:hAnsi="Times New Roman"/>
        </w:rPr>
        <w:t xml:space="preserve">, and </w:t>
      </w:r>
      <w:r>
        <w:rPr>
          <w:rFonts w:hAnsi="Times New Roman"/>
          <w:i/>
          <w:iCs/>
        </w:rPr>
        <w:t>EVI</w:t>
      </w:r>
      <w:r>
        <w:rPr>
          <w:rFonts w:hAnsi="Times New Roman"/>
        </w:rPr>
        <w:t xml:space="preserve"> were used to estimate </w:t>
      </w:r>
      <w:r>
        <w:rPr>
          <w:rFonts w:hAnsi="Times New Roman"/>
          <w:i/>
          <w:iCs/>
        </w:rPr>
        <w:t>K</w:t>
      </w:r>
      <w:r>
        <w:rPr>
          <w:rFonts w:hAnsi="Times New Roman"/>
          <w:i/>
          <w:iCs/>
          <w:vertAlign w:val="subscript"/>
        </w:rPr>
        <w:t>cb</w:t>
      </w:r>
      <w:r>
        <w:rPr>
          <w:rFonts w:hAnsi="Times New Roman"/>
        </w:rPr>
        <w:t xml:space="preserve">, and the linear function of the </w:t>
      </w:r>
      <w:r>
        <w:rPr>
          <w:rFonts w:hAnsi="Times New Roman"/>
          <w:i/>
          <w:iCs/>
        </w:rPr>
        <w:t>K</w:t>
      </w:r>
      <w:r>
        <w:rPr>
          <w:rFonts w:hAnsi="Times New Roman"/>
          <w:i/>
          <w:iCs/>
          <w:vertAlign w:val="subscript"/>
        </w:rPr>
        <w:t>cb_VI</w:t>
      </w:r>
      <w:r>
        <w:rPr>
          <w:rFonts w:hAnsi="Times New Roman"/>
        </w:rPr>
        <w:t xml:space="preserve"> method can be expressed as follows:</w:t>
      </w:r>
    </w:p>
    <w:p w14:paraId="70D24E6F">
      <w:pPr>
        <w:pStyle w:val="8"/>
        <w:tabs>
          <w:tab w:val="left" w:pos="480"/>
          <w:tab w:val="clear" w:pos="5240"/>
        </w:tabs>
        <w:spacing w:before="468" w:after="468"/>
        <w:ind w:firstLine="0" w:firstLineChars="0"/>
      </w:pPr>
      <w:r>
        <w:rPr>
          <w:position w:val="-14"/>
        </w:rPr>
        <w:object>
          <v:shape id="_x0000_i1046" o:spt="75" type="#_x0000_t75" style="height:20pt;width:87pt;" o:ole="t" filled="f" o:preferrelative="t" stroked="f" coordsize="21600,21600">
            <v:path/>
            <v:fill on="f" focussize="0,0"/>
            <v:stroke on="f" joinstyle="miter"/>
            <v:imagedata r:id="rId49" o:title=""/>
            <o:lock v:ext="edit" aspectratio="t"/>
            <w10:wrap type="none"/>
            <w10:anchorlock/>
          </v:shape>
          <o:OLEObject Type="Embed" ProgID="Equation.DSMT4" ShapeID="_x0000_i1046" DrawAspect="Content" ObjectID="_1468075746" r:id="rId48">
            <o:LockedField>false</o:LockedField>
          </o:OLEObject>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11</w:instrText>
      </w:r>
      <w:r>
        <w:fldChar w:fldCharType="end"/>
      </w:r>
      <w:r>
        <w:instrText xml:space="preserve">)</w:instrText>
      </w:r>
      <w:r>
        <w:fldChar w:fldCharType="separate"/>
      </w:r>
      <w:r>
        <w:fldChar w:fldCharType="end"/>
      </w:r>
    </w:p>
    <w:p w14:paraId="4F17D981">
      <w:pPr>
        <w:spacing w:before="156" w:after="156"/>
        <w:ind w:firstLine="0" w:firstLineChars="0"/>
        <w:rPr>
          <w:rFonts w:hAnsi="Times New Roman"/>
        </w:rPr>
      </w:pPr>
      <w:r>
        <w:rPr>
          <w:rFonts w:hAnsi="Times New Roman"/>
        </w:rPr>
        <w:t>where (</w:t>
      </w:r>
      <w:r>
        <w:rPr>
          <w:rFonts w:hAnsi="Times New Roman"/>
          <w:position w:val="-14"/>
        </w:rPr>
        <w:object>
          <v:shape id="_x0000_i1047" o:spt="75" type="#_x0000_t75" style="height:20pt;width:24pt;" o:ole="t" filled="f" o:preferrelative="t" stroked="f" coordsize="21600,21600">
            <v:path/>
            <v:fill on="f" focussize="0,0"/>
            <v:stroke on="f" joinstyle="miter"/>
            <v:imagedata r:id="rId51" o:title=""/>
            <o:lock v:ext="edit" aspectratio="f"/>
            <w10:wrap type="none"/>
            <w10:anchorlock/>
          </v:shape>
          <o:OLEObject Type="Embed" ProgID="Equation.DSMT4" ShapeID="_x0000_i1047" DrawAspect="Content" ObjectID="_1468075747" r:id="rId50">
            <o:LockedField>false</o:LockedField>
          </o:OLEObject>
        </w:object>
      </w:r>
      <w:r>
        <w:rPr>
          <w:rFonts w:hAnsi="Times New Roman"/>
        </w:rPr>
        <w:t>) is the basal crop coefficient estimated from the vegetation index on day (</w:t>
      </w:r>
      <w:r>
        <w:rPr>
          <w:rFonts w:hAnsi="Times New Roman"/>
          <w:i/>
          <w:iCs/>
        </w:rPr>
        <w:t>t</w:t>
      </w:r>
      <w:r>
        <w:rPr>
          <w:rFonts w:hAnsi="Times New Roman"/>
        </w:rPr>
        <w:t>); (</w:t>
      </w:r>
      <w:r>
        <w:rPr>
          <w:rFonts w:hAnsi="Times New Roman"/>
          <w:i/>
          <w:iCs/>
        </w:rPr>
        <w:t>VI</w:t>
      </w:r>
      <w:r>
        <w:rPr>
          <w:rFonts w:hAnsi="Times New Roman"/>
          <w:i/>
          <w:iCs/>
          <w:vertAlign w:val="subscript"/>
        </w:rPr>
        <w:t>t</w:t>
      </w:r>
      <w:r>
        <w:rPr>
          <w:rFonts w:hAnsi="Times New Roman"/>
        </w:rPr>
        <w:t>) is the vegetation index on day (</w:t>
      </w:r>
      <w:r>
        <w:rPr>
          <w:rFonts w:hAnsi="Times New Roman"/>
          <w:i/>
          <w:iCs/>
        </w:rPr>
        <w:t>t</w:t>
      </w:r>
      <w:r>
        <w:rPr>
          <w:rFonts w:hAnsi="Times New Roman"/>
        </w:rPr>
        <w:t>); and (</w:t>
      </w:r>
      <w:r>
        <w:rPr>
          <w:rFonts w:hAnsi="Times New Roman"/>
          <w:i/>
          <w:iCs/>
        </w:rPr>
        <w:t>a</w:t>
      </w:r>
      <w:r>
        <w:rPr>
          <w:rFonts w:hAnsi="Times New Roman"/>
          <w:i/>
          <w:iCs/>
          <w:vertAlign w:val="subscript"/>
        </w:rPr>
        <w:t>VI</w:t>
      </w:r>
      <w:r>
        <w:rPr>
          <w:rFonts w:hAnsi="Times New Roman"/>
        </w:rPr>
        <w:t>) and (</w:t>
      </w:r>
      <w:r>
        <w:rPr>
          <w:rFonts w:hAnsi="Times New Roman"/>
          <w:i/>
          <w:iCs/>
        </w:rPr>
        <w:t>b</w:t>
      </w:r>
      <w:r>
        <w:rPr>
          <w:rFonts w:hAnsi="Times New Roman"/>
          <w:i/>
          <w:iCs/>
          <w:vertAlign w:val="subscript"/>
        </w:rPr>
        <w:t>VI</w:t>
      </w:r>
      <w:r>
        <w:rPr>
          <w:rFonts w:hAnsi="Times New Roman"/>
        </w:rPr>
        <w:t>) are the regression coefficients.</w:t>
      </w:r>
    </w:p>
    <w:p w14:paraId="5BFEFB01">
      <w:pPr>
        <w:spacing w:before="156" w:after="156"/>
        <w:ind w:firstLine="444" w:firstLineChars="185"/>
        <w:rPr>
          <w:rFonts w:hAnsi="Times New Roman"/>
        </w:rPr>
      </w:pPr>
      <w:r>
        <w:rPr>
          <w:rFonts w:hAnsi="Times New Roman"/>
        </w:rPr>
        <w:t xml:space="preserve">Assuming that the soil water evaporation rate remains constant, the value of </w:t>
      </w:r>
      <w:r>
        <w:rPr>
          <w:rFonts w:hAnsi="Times New Roman"/>
          <w:i/>
          <w:iCs/>
        </w:rPr>
        <w:t>K</w:t>
      </w:r>
      <w:r>
        <w:rPr>
          <w:rFonts w:hAnsi="Times New Roman"/>
          <w:i/>
          <w:iCs/>
          <w:vertAlign w:val="subscript"/>
        </w:rPr>
        <w:t>e</w:t>
      </w:r>
      <w:r>
        <w:rPr>
          <w:rFonts w:hAnsi="Times New Roman"/>
        </w:rPr>
        <w:t xml:space="preserve"> is related to </w:t>
      </w:r>
      <w:r>
        <w:rPr>
          <w:rFonts w:hAnsi="Times New Roman"/>
          <w:i/>
          <w:iCs/>
        </w:rPr>
        <w:t>f</w:t>
      </w:r>
      <w:r>
        <w:rPr>
          <w:rFonts w:hAnsi="Times New Roman"/>
          <w:i/>
          <w:iCs/>
          <w:vertAlign w:val="subscript"/>
        </w:rPr>
        <w:t>c</w:t>
      </w:r>
      <w:r>
        <w:rPr>
          <w:rFonts w:hAnsi="Times New Roman"/>
        </w:rPr>
        <w:t xml:space="preserve">. Therefore, </w:t>
      </w:r>
      <w:r>
        <w:rPr>
          <w:rFonts w:hAnsi="Times New Roman"/>
          <w:i/>
          <w:iCs/>
        </w:rPr>
        <w:t>K</w:t>
      </w:r>
      <w:r>
        <w:rPr>
          <w:rFonts w:hAnsi="Times New Roman"/>
          <w:i/>
          <w:iCs/>
          <w:vertAlign w:val="subscript"/>
        </w:rPr>
        <w:t>e</w:t>
      </w:r>
      <w:r>
        <w:rPr>
          <w:rFonts w:hAnsi="Times New Roman"/>
        </w:rPr>
        <w:t xml:space="preserve"> can be derived as follows:</w:t>
      </w:r>
    </w:p>
    <w:p w14:paraId="1F748B5B">
      <w:pPr>
        <w:pStyle w:val="8"/>
        <w:tabs>
          <w:tab w:val="left" w:pos="480"/>
          <w:tab w:val="clear" w:pos="5240"/>
        </w:tabs>
        <w:spacing w:before="468" w:after="468"/>
        <w:ind w:firstLine="0" w:firstLineChars="0"/>
      </w:pPr>
      <w:r>
        <w:rPr>
          <w:position w:val="-16"/>
        </w:rPr>
        <w:object>
          <v:shape id="_x0000_i1048" o:spt="75" type="#_x0000_t75" style="height:22pt;width:82pt;" o:ole="t" filled="f" o:preferrelative="t" stroked="f" coordsize="21600,21600">
            <v:path/>
            <v:fill on="f" focussize="0,0"/>
            <v:stroke on="f" joinstyle="miter"/>
            <v:imagedata r:id="rId53" o:title=""/>
            <o:lock v:ext="edit" aspectratio="t"/>
            <w10:wrap type="none"/>
            <w10:anchorlock/>
          </v:shape>
          <o:OLEObject Type="Embed" ProgID="Equation.DSMT4" ShapeID="_x0000_i1048" DrawAspect="Content" ObjectID="_1468075748" r:id="rId52">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separate"/>
      </w:r>
      <w:r>
        <w:fldChar w:fldCharType="end"/>
      </w:r>
      <w:r>
        <w:instrText xml:space="preserve">(</w:instrText>
      </w:r>
      <w:r>
        <w:fldChar w:fldCharType="begin"/>
      </w:r>
      <w:r>
        <w:instrText xml:space="preserve"> SEQ MTEqn \c \* Arabic \* MERGEFORMAT </w:instrText>
      </w:r>
      <w:r>
        <w:fldChar w:fldCharType="separate"/>
      </w:r>
      <w:r>
        <w:instrText xml:space="preserve">12</w:instrText>
      </w:r>
      <w:r>
        <w:fldChar w:fldCharType="end"/>
      </w:r>
      <w:r>
        <w:instrText xml:space="preserve">)</w:instrText>
      </w:r>
      <w:r>
        <w:fldChar w:fldCharType="separate"/>
      </w:r>
      <w:r>
        <w:fldChar w:fldCharType="end"/>
      </w:r>
    </w:p>
    <w:p w14:paraId="5512D216">
      <w:pPr>
        <w:spacing w:before="156" w:after="156"/>
        <w:ind w:firstLine="0" w:firstLineChars="0"/>
        <w:rPr>
          <w:rFonts w:hAnsi="Times New Roman"/>
        </w:rPr>
      </w:pPr>
      <w:r>
        <w:rPr>
          <w:rFonts w:hAnsi="Times New Roman"/>
        </w:rPr>
        <w:t xml:space="preserve">where ( </w:t>
      </w:r>
      <w:r>
        <w:rPr>
          <w:rFonts w:hAnsi="Times New Roman"/>
          <w:i/>
          <w:iCs/>
        </w:rPr>
        <w:t>C</w:t>
      </w:r>
      <w:r>
        <w:rPr>
          <w:rFonts w:hAnsi="Times New Roman"/>
        </w:rPr>
        <w:t xml:space="preserve"> ) is an empirical coefficient related to the frequency of irrigation and rainfall, and (</w:t>
      </w:r>
      <w:r>
        <w:rPr>
          <w:rFonts w:hAnsi="Times New Roman"/>
          <w:i/>
          <w:iCs/>
        </w:rPr>
        <w:t>f</w:t>
      </w:r>
      <w:r>
        <w:rPr>
          <w:rFonts w:hAnsi="Times New Roman"/>
          <w:i/>
          <w:iCs/>
          <w:vertAlign w:val="subscript"/>
        </w:rPr>
        <w:t>c</w:t>
      </w:r>
      <w:r>
        <w:rPr>
          <w:rFonts w:hint="eastAsia" w:hAnsi="Times New Roman"/>
          <w:i/>
          <w:iCs/>
          <w:vertAlign w:val="subscript"/>
        </w:rPr>
        <w:t>,t</w:t>
      </w:r>
      <w:r>
        <w:rPr>
          <w:rFonts w:hAnsi="Times New Roman"/>
        </w:rPr>
        <w:t>) is the fractional vegetation cover on day (</w:t>
      </w:r>
      <w:r>
        <w:rPr>
          <w:rFonts w:hAnsi="Times New Roman"/>
          <w:i/>
          <w:iCs/>
        </w:rPr>
        <w:t>t</w:t>
      </w:r>
      <w:r>
        <w:rPr>
          <w:rFonts w:hAnsi="Times New Roman"/>
        </w:rPr>
        <w:t>).</w:t>
      </w:r>
    </w:p>
    <w:p w14:paraId="5A1F7455">
      <w:pPr>
        <w:spacing w:before="156" w:after="156"/>
        <w:ind w:firstLine="480" w:firstLineChars="200"/>
        <w:jc w:val="left"/>
        <w:rPr>
          <w:rFonts w:hAnsi="Times New Roman"/>
          <w:position w:val="-30"/>
        </w:rPr>
      </w:pPr>
      <w:r>
        <w:rPr>
          <w:rFonts w:hAnsi="Times New Roman"/>
          <w:position w:val="-30"/>
        </w:rPr>
        <w:t xml:space="preserve">To analyze the potential effect of a specific </w:t>
      </w:r>
      <w:r>
        <w:rPr>
          <w:rFonts w:hAnsi="Times New Roman"/>
          <w:i/>
          <w:iCs/>
          <w:position w:val="-30"/>
        </w:rPr>
        <w:t>K</w:t>
      </w:r>
      <w:r>
        <w:rPr>
          <w:rFonts w:hAnsi="Times New Roman"/>
          <w:i/>
          <w:iCs/>
          <w:position w:val="-30"/>
          <w:vertAlign w:val="subscript"/>
        </w:rPr>
        <w:t>cb</w:t>
      </w:r>
      <w:r>
        <w:rPr>
          <w:rFonts w:hAnsi="Times New Roman"/>
          <w:position w:val="-30"/>
        </w:rPr>
        <w:t xml:space="preserve"> method on the accuracy of </w:t>
      </w:r>
      <w:r>
        <w:rPr>
          <w:rFonts w:hAnsi="Times New Roman"/>
          <w:i/>
          <w:iCs/>
          <w:position w:val="-30"/>
        </w:rPr>
        <w:t>K</w:t>
      </w:r>
      <w:r>
        <w:rPr>
          <w:rFonts w:hAnsi="Times New Roman"/>
          <w:i/>
          <w:iCs/>
          <w:position w:val="-30"/>
          <w:vertAlign w:val="subscript"/>
        </w:rPr>
        <w:t>s</w:t>
      </w:r>
      <w:r>
        <w:rPr>
          <w:rFonts w:hAnsi="Times New Roman"/>
          <w:position w:val="-30"/>
        </w:rPr>
        <w:t xml:space="preserve"> estimation, each </w:t>
      </w:r>
      <w:r>
        <w:rPr>
          <w:rFonts w:hint="eastAsia" w:hAnsi="Times New Roman"/>
          <w:i/>
          <w:iCs/>
          <w:position w:val="-30"/>
        </w:rPr>
        <w:t>CWSI</w:t>
      </w:r>
      <w:r>
        <w:rPr>
          <w:rFonts w:hAnsi="Times New Roman"/>
          <w:position w:val="-30"/>
        </w:rPr>
        <w:t xml:space="preserve"> was combined with each vegetation index (</w:t>
      </w:r>
      <w:r>
        <w:rPr>
          <w:rFonts w:hAnsi="Times New Roman"/>
          <w:i/>
          <w:iCs/>
          <w:position w:val="-30"/>
        </w:rPr>
        <w:t>NDVI</w:t>
      </w:r>
      <w:r>
        <w:rPr>
          <w:rFonts w:hAnsi="Times New Roman"/>
          <w:position w:val="-30"/>
        </w:rPr>
        <w:t xml:space="preserve">, </w:t>
      </w:r>
      <w:r>
        <w:rPr>
          <w:rFonts w:hAnsi="Times New Roman"/>
          <w:i/>
          <w:iCs/>
          <w:position w:val="-30"/>
        </w:rPr>
        <w:t>SAVI</w:t>
      </w:r>
      <w:r>
        <w:rPr>
          <w:rFonts w:hAnsi="Times New Roman"/>
          <w:position w:val="-30"/>
        </w:rPr>
        <w:t xml:space="preserve">, and </w:t>
      </w:r>
      <w:r>
        <w:rPr>
          <w:rFonts w:hAnsi="Times New Roman"/>
          <w:i/>
          <w:iCs/>
          <w:position w:val="-30"/>
        </w:rPr>
        <w:t>EVI</w:t>
      </w:r>
      <w:r>
        <w:rPr>
          <w:rFonts w:hAnsi="Times New Roman"/>
          <w:position w:val="-30"/>
        </w:rPr>
        <w:t xml:space="preserve">) used to estimate </w:t>
      </w:r>
      <w:r>
        <w:rPr>
          <w:rFonts w:hAnsi="Times New Roman"/>
          <w:i/>
          <w:iCs/>
          <w:position w:val="-30"/>
        </w:rPr>
        <w:t>K</w:t>
      </w:r>
      <w:r>
        <w:rPr>
          <w:rFonts w:hAnsi="Times New Roman"/>
          <w:i/>
          <w:iCs/>
          <w:position w:val="-30"/>
          <w:vertAlign w:val="subscript"/>
        </w:rPr>
        <w:t>cb</w:t>
      </w:r>
      <w:r>
        <w:rPr>
          <w:rFonts w:hAnsi="Times New Roman"/>
          <w:position w:val="-30"/>
        </w:rPr>
        <w:t xml:space="preserve">. </w:t>
      </w:r>
      <w:r>
        <w:rPr>
          <w:rFonts w:hAnsi="Times New Roman"/>
          <w:i/>
          <w:iCs/>
          <w:position w:val="-30"/>
        </w:rPr>
        <w:t>ET</w:t>
      </w:r>
      <w:r>
        <w:rPr>
          <w:rFonts w:hAnsi="Times New Roman"/>
          <w:i/>
          <w:iCs/>
          <w:position w:val="-30"/>
          <w:vertAlign w:val="subscript"/>
        </w:rPr>
        <w:t>c</w:t>
      </w:r>
      <w:r>
        <w:rPr>
          <w:rFonts w:hAnsi="Times New Roman"/>
          <w:position w:val="-30"/>
        </w:rPr>
        <w:t xml:space="preserve"> values obtained from all combinations of the </w:t>
      </w:r>
      <w:r>
        <w:rPr>
          <w:rFonts w:hAnsi="Times New Roman"/>
          <w:i/>
          <w:iCs/>
          <w:position w:val="-30"/>
        </w:rPr>
        <w:t>K</w:t>
      </w:r>
      <w:r>
        <w:rPr>
          <w:rFonts w:hAnsi="Times New Roman"/>
          <w:i/>
          <w:iCs/>
          <w:position w:val="-30"/>
          <w:vertAlign w:val="subscript"/>
        </w:rPr>
        <w:t>s</w:t>
      </w:r>
      <w:r>
        <w:rPr>
          <w:rFonts w:hAnsi="Times New Roman"/>
          <w:position w:val="-30"/>
        </w:rPr>
        <w:t xml:space="preserve"> method and the three </w:t>
      </w:r>
      <w:r>
        <w:rPr>
          <w:rFonts w:hAnsi="Times New Roman"/>
          <w:i/>
          <w:iCs/>
          <w:position w:val="-30"/>
        </w:rPr>
        <w:t>K</w:t>
      </w:r>
      <w:r>
        <w:rPr>
          <w:rFonts w:hAnsi="Times New Roman"/>
          <w:i/>
          <w:iCs/>
          <w:position w:val="-30"/>
          <w:vertAlign w:val="subscript"/>
        </w:rPr>
        <w:t>cb</w:t>
      </w:r>
      <w:r>
        <w:rPr>
          <w:rFonts w:hAnsi="Times New Roman"/>
          <w:position w:val="-30"/>
        </w:rPr>
        <w:t xml:space="preserve"> methods were compared with the </w:t>
      </w:r>
      <w:r>
        <w:rPr>
          <w:rFonts w:hAnsi="Times New Roman"/>
          <w:i/>
          <w:iCs/>
          <w:position w:val="-30"/>
        </w:rPr>
        <w:t>ET</w:t>
      </w:r>
      <w:r>
        <w:rPr>
          <w:rFonts w:hAnsi="Times New Roman"/>
          <w:i/>
          <w:iCs/>
          <w:position w:val="-30"/>
          <w:vertAlign w:val="subscript"/>
        </w:rPr>
        <w:t>c</w:t>
      </w:r>
      <w:r>
        <w:rPr>
          <w:rFonts w:hAnsi="Times New Roman"/>
          <w:position w:val="-30"/>
        </w:rPr>
        <w:t xml:space="preserve"> values calculated from the observed soil water balance equation. Model performance was quantified using the coefficient of determination (</w:t>
      </w:r>
      <w:r>
        <w:rPr>
          <w:rFonts w:hAnsi="Times New Roman"/>
          <w:i/>
          <w:iCs/>
          <w:position w:val="-30"/>
        </w:rPr>
        <w:t>R</w:t>
      </w:r>
      <w:r>
        <w:rPr>
          <w:rFonts w:hAnsi="Times New Roman"/>
          <w:i/>
          <w:iCs/>
          <w:position w:val="-30"/>
          <w:vertAlign w:val="superscript"/>
        </w:rPr>
        <w:t>2</w:t>
      </w:r>
      <w:r>
        <w:rPr>
          <w:rFonts w:hAnsi="Times New Roman"/>
          <w:position w:val="-30"/>
        </w:rPr>
        <w:t>), root mean square error (</w:t>
      </w:r>
      <w:r>
        <w:rPr>
          <w:rFonts w:hAnsi="Times New Roman"/>
          <w:i/>
          <w:iCs/>
          <w:position w:val="-30"/>
        </w:rPr>
        <w:t>RMSE</w:t>
      </w:r>
      <w:r>
        <w:rPr>
          <w:rFonts w:hAnsi="Times New Roman"/>
          <w:position w:val="-30"/>
        </w:rPr>
        <w:t>), mean bias error (</w:t>
      </w:r>
      <w:r>
        <w:rPr>
          <w:rFonts w:hAnsi="Times New Roman"/>
          <w:i/>
          <w:iCs/>
          <w:position w:val="-30"/>
        </w:rPr>
        <w:t>MBE</w:t>
      </w:r>
      <w:r>
        <w:rPr>
          <w:rFonts w:hAnsi="Times New Roman"/>
          <w:position w:val="-30"/>
        </w:rPr>
        <w:t>), and relative root mean square error (</w:t>
      </w:r>
      <w:r>
        <w:rPr>
          <w:rFonts w:hAnsi="Times New Roman"/>
          <w:i/>
          <w:iCs/>
          <w:position w:val="-30"/>
        </w:rPr>
        <w:t>RRMSE</w:t>
      </w:r>
      <w:r>
        <w:rPr>
          <w:rFonts w:hAnsi="Times New Roman"/>
          <w:position w:val="-30"/>
        </w:rPr>
        <w:t xml:space="preserve">). A total of 200 samples were obtained in 2025. At the current stage of the manuscript, the samples were divided into a training set and a validation set at a ratio of 70% to 30%, with 140 samples used for model construction and the remaining 60 samples used for independent validation. For the estimation models of </w:t>
      </w:r>
      <w:r>
        <w:rPr>
          <w:rFonts w:hAnsi="Times New Roman"/>
          <w:i/>
          <w:iCs/>
          <w:position w:val="-30"/>
        </w:rPr>
        <w:t>K</w:t>
      </w:r>
      <w:r>
        <w:rPr>
          <w:rFonts w:hAnsi="Times New Roman"/>
          <w:i/>
          <w:iCs/>
          <w:position w:val="-30"/>
          <w:vertAlign w:val="subscript"/>
        </w:rPr>
        <w:t>s</w:t>
      </w:r>
      <w:r>
        <w:rPr>
          <w:rFonts w:hAnsi="Times New Roman"/>
          <w:position w:val="-30"/>
        </w:rPr>
        <w:t xml:space="preserve">, </w:t>
      </w:r>
      <w:r>
        <w:rPr>
          <w:rFonts w:hAnsi="Times New Roman"/>
          <w:i/>
          <w:iCs/>
          <w:position w:val="-30"/>
        </w:rPr>
        <w:t>K</w:t>
      </w:r>
      <w:r>
        <w:rPr>
          <w:rFonts w:hAnsi="Times New Roman"/>
          <w:i/>
          <w:iCs/>
          <w:position w:val="-30"/>
          <w:vertAlign w:val="subscript"/>
        </w:rPr>
        <w:t>cb</w:t>
      </w:r>
      <w:r>
        <w:rPr>
          <w:rFonts w:hAnsi="Times New Roman"/>
          <w:position w:val="-30"/>
        </w:rPr>
        <w:t xml:space="preserve">, and </w:t>
      </w:r>
      <w:r>
        <w:rPr>
          <w:rFonts w:hAnsi="Times New Roman"/>
          <w:i/>
          <w:iCs/>
          <w:position w:val="-30"/>
        </w:rPr>
        <w:t>ET</w:t>
      </w:r>
      <w:r>
        <w:rPr>
          <w:rFonts w:hAnsi="Times New Roman"/>
          <w:i/>
          <w:iCs/>
          <w:position w:val="-30"/>
          <w:vertAlign w:val="subscript"/>
        </w:rPr>
        <w:t>c</w:t>
      </w:r>
      <w:r>
        <w:rPr>
          <w:rFonts w:hAnsi="Times New Roman"/>
          <w:position w:val="-30"/>
        </w:rPr>
        <w:t>, 70% of the total 2025 samples were used as the training set and the remaining samples were used as the validation set to evaluate the generalization performance of the models on samples not involved in model development.</w:t>
      </w:r>
    </w:p>
    <w:p w14:paraId="64E48811">
      <w:pPr>
        <w:spacing w:before="156" w:after="0" w:afterLines="0"/>
        <w:ind w:firstLine="0" w:firstLineChars="0"/>
        <w:jc w:val="left"/>
        <w:rPr>
          <w:b/>
          <w:bCs/>
        </w:rPr>
      </w:pPr>
      <w:r>
        <w:rPr>
          <w:rFonts w:hint="eastAsia"/>
          <w:b/>
          <w:bCs/>
        </w:rPr>
        <w:t xml:space="preserve">Table </w:t>
      </w:r>
      <w:r>
        <w:rPr>
          <w:rFonts w:hint="eastAsia"/>
          <w:b/>
          <w:bCs/>
          <w:lang w:val="en-US" w:eastAsia="zh-CN"/>
        </w:rPr>
        <w:t>S3</w:t>
      </w:r>
      <w:r>
        <w:rPr>
          <w:rFonts w:hint="eastAsia"/>
          <w:b/>
          <w:bCs/>
        </w:rPr>
        <w:t xml:space="preserve">. </w:t>
      </w:r>
    </w:p>
    <w:p w14:paraId="4C94B8D8">
      <w:pPr>
        <w:spacing w:before="156" w:after="0" w:afterLines="0"/>
        <w:ind w:firstLine="0" w:firstLineChars="0"/>
        <w:jc w:val="left"/>
        <w:rPr>
          <w:rFonts w:hint="eastAsia" w:eastAsia="宋体"/>
          <w:lang w:val="en-US" w:eastAsia="zh-CN"/>
        </w:rPr>
      </w:pPr>
      <w:r>
        <w:rPr>
          <w:rFonts w:hint="eastAsia"/>
        </w:rPr>
        <w:t>Effects of different treatments on rice yield, irrigation water use efficiency, partial factor productivity of nitrogen, and greenhouse gas emissions</w:t>
      </w:r>
      <w:r>
        <w:rPr>
          <w:rFonts w:hint="eastAsia"/>
          <w:lang w:val="en-US"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1443"/>
        <w:gridCol w:w="1656"/>
        <w:gridCol w:w="1267"/>
        <w:gridCol w:w="1243"/>
        <w:gridCol w:w="1560"/>
        <w:gridCol w:w="900"/>
      </w:tblGrid>
      <w:tr w14:paraId="1123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8" w:type="dxa"/>
            <w:tcBorders>
              <w:top w:val="single" w:color="auto" w:sz="12" w:space="0"/>
              <w:left w:val="nil"/>
              <w:bottom w:val="single" w:color="auto" w:sz="12" w:space="0"/>
              <w:right w:val="nil"/>
            </w:tcBorders>
          </w:tcPr>
          <w:p w14:paraId="637E4EDF">
            <w:pPr>
              <w:spacing w:before="62" w:beforeLines="20" w:after="62" w:afterLines="20" w:line="240" w:lineRule="auto"/>
              <w:ind w:firstLine="178"/>
              <w:jc w:val="left"/>
              <w:rPr>
                <w:rFonts w:hint="default" w:eastAsia="宋体"/>
                <w:sz w:val="24"/>
                <w:szCs w:val="24"/>
                <w:lang w:val="en-US" w:eastAsia="zh-CN"/>
              </w:rPr>
            </w:pPr>
            <w:r>
              <w:rPr>
                <w:rFonts w:hint="eastAsia"/>
                <w:sz w:val="24"/>
                <w:szCs w:val="24"/>
              </w:rPr>
              <w:t>Tr</w:t>
            </w:r>
            <w:r>
              <w:rPr>
                <w:rFonts w:hint="eastAsia"/>
                <w:sz w:val="24"/>
                <w:szCs w:val="24"/>
                <w:lang w:val="en-US" w:eastAsia="zh-CN"/>
              </w:rPr>
              <w:t>eament</w:t>
            </w:r>
          </w:p>
        </w:tc>
        <w:tc>
          <w:tcPr>
            <w:tcW w:w="1291" w:type="dxa"/>
            <w:tcBorders>
              <w:top w:val="single" w:color="auto" w:sz="12" w:space="0"/>
              <w:left w:val="nil"/>
              <w:bottom w:val="single" w:color="auto" w:sz="12" w:space="0"/>
              <w:right w:val="nil"/>
            </w:tcBorders>
          </w:tcPr>
          <w:p w14:paraId="6CBDCD53">
            <w:pPr>
              <w:spacing w:before="62" w:beforeLines="20" w:after="62" w:afterLines="20" w:line="240" w:lineRule="auto"/>
              <w:ind w:firstLine="0" w:firstLineChars="0"/>
              <w:jc w:val="left"/>
              <w:rPr>
                <w:sz w:val="24"/>
                <w:szCs w:val="24"/>
              </w:rPr>
            </w:pPr>
            <w:r>
              <w:rPr>
                <w:rFonts w:hint="eastAsia"/>
                <w:sz w:val="24"/>
                <w:szCs w:val="24"/>
              </w:rPr>
              <w:t>Yield(kg/ha)</w:t>
            </w:r>
          </w:p>
        </w:tc>
        <w:tc>
          <w:tcPr>
            <w:tcW w:w="1477" w:type="dxa"/>
            <w:tcBorders>
              <w:top w:val="single" w:color="auto" w:sz="12" w:space="0"/>
              <w:left w:val="nil"/>
              <w:bottom w:val="single" w:color="auto" w:sz="12" w:space="0"/>
              <w:right w:val="nil"/>
            </w:tcBorders>
          </w:tcPr>
          <w:p w14:paraId="487AD247">
            <w:pPr>
              <w:spacing w:before="62" w:beforeLines="20" w:after="62" w:afterLines="20" w:line="240" w:lineRule="auto"/>
              <w:ind w:firstLine="0" w:firstLineChars="0"/>
              <w:jc w:val="left"/>
              <w:rPr>
                <w:sz w:val="24"/>
                <w:szCs w:val="24"/>
              </w:rPr>
            </w:pPr>
            <w:r>
              <w:rPr>
                <w:sz w:val="24"/>
                <w:szCs w:val="24"/>
              </w:rPr>
              <w:t>Irrigation</w:t>
            </w:r>
            <w:r>
              <w:rPr>
                <w:rFonts w:hint="eastAsia"/>
                <w:sz w:val="24"/>
                <w:szCs w:val="24"/>
              </w:rPr>
              <w:t>(mm)</w:t>
            </w:r>
          </w:p>
        </w:tc>
        <w:tc>
          <w:tcPr>
            <w:tcW w:w="1140" w:type="dxa"/>
            <w:tcBorders>
              <w:top w:val="single" w:color="auto" w:sz="12" w:space="0"/>
              <w:left w:val="nil"/>
              <w:bottom w:val="single" w:color="auto" w:sz="12" w:space="0"/>
              <w:right w:val="nil"/>
            </w:tcBorders>
          </w:tcPr>
          <w:p w14:paraId="31CE6DDF">
            <w:pPr>
              <w:spacing w:before="62" w:beforeLines="20" w:after="62" w:afterLines="20" w:line="240" w:lineRule="auto"/>
              <w:ind w:firstLine="0" w:firstLineChars="0"/>
              <w:jc w:val="left"/>
              <w:rPr>
                <w:sz w:val="24"/>
                <w:szCs w:val="24"/>
              </w:rPr>
            </w:pPr>
            <w:r>
              <w:rPr>
                <w:rFonts w:hint="eastAsia"/>
                <w:sz w:val="24"/>
                <w:szCs w:val="24"/>
              </w:rPr>
              <w:t>IWUE（kg/m</w:t>
            </w:r>
            <w:r>
              <w:rPr>
                <w:rFonts w:hint="eastAsia"/>
                <w:sz w:val="24"/>
                <w:szCs w:val="24"/>
                <w:vertAlign w:val="superscript"/>
              </w:rPr>
              <w:t>3</w:t>
            </w:r>
            <w:r>
              <w:rPr>
                <w:rFonts w:hint="eastAsia"/>
                <w:sz w:val="24"/>
                <w:szCs w:val="24"/>
              </w:rPr>
              <w:t>）</w:t>
            </w:r>
          </w:p>
        </w:tc>
        <w:tc>
          <w:tcPr>
            <w:tcW w:w="1119" w:type="dxa"/>
            <w:tcBorders>
              <w:top w:val="single" w:color="auto" w:sz="12" w:space="0"/>
              <w:left w:val="nil"/>
              <w:bottom w:val="single" w:color="auto" w:sz="12" w:space="0"/>
              <w:right w:val="nil"/>
            </w:tcBorders>
          </w:tcPr>
          <w:p w14:paraId="5759CDD1">
            <w:pPr>
              <w:spacing w:before="62" w:beforeLines="20" w:after="62" w:afterLines="20" w:line="240" w:lineRule="auto"/>
              <w:ind w:firstLine="0" w:firstLineChars="0"/>
              <w:jc w:val="left"/>
              <w:rPr>
                <w:sz w:val="24"/>
                <w:szCs w:val="24"/>
              </w:rPr>
            </w:pPr>
            <w:r>
              <w:rPr>
                <w:rFonts w:hint="eastAsia"/>
                <w:sz w:val="24"/>
                <w:szCs w:val="24"/>
              </w:rPr>
              <w:t>PFPN（kg/kg）</w:t>
            </w:r>
          </w:p>
        </w:tc>
        <w:tc>
          <w:tcPr>
            <w:tcW w:w="1419" w:type="dxa"/>
            <w:tcBorders>
              <w:top w:val="single" w:color="auto" w:sz="12" w:space="0"/>
              <w:left w:val="nil"/>
              <w:bottom w:val="single" w:color="auto" w:sz="12" w:space="0"/>
              <w:right w:val="nil"/>
            </w:tcBorders>
          </w:tcPr>
          <w:p w14:paraId="2B39A18B">
            <w:pPr>
              <w:spacing w:before="62" w:beforeLines="20" w:after="62" w:afterLines="20" w:line="240" w:lineRule="auto"/>
              <w:ind w:firstLine="0" w:firstLineChars="0"/>
              <w:jc w:val="left"/>
              <w:rPr>
                <w:sz w:val="24"/>
                <w:szCs w:val="24"/>
              </w:rPr>
            </w:pPr>
            <w:r>
              <w:rPr>
                <w:rFonts w:hint="eastAsia"/>
                <w:sz w:val="24"/>
                <w:szCs w:val="24"/>
              </w:rPr>
              <w:t>GWP（kg/ha)</w:t>
            </w:r>
          </w:p>
        </w:tc>
        <w:tc>
          <w:tcPr>
            <w:tcW w:w="848" w:type="dxa"/>
            <w:tcBorders>
              <w:top w:val="single" w:color="auto" w:sz="12" w:space="0"/>
              <w:left w:val="nil"/>
              <w:bottom w:val="single" w:color="auto" w:sz="12" w:space="0"/>
              <w:right w:val="nil"/>
            </w:tcBorders>
          </w:tcPr>
          <w:p w14:paraId="5CF72A6F">
            <w:pPr>
              <w:spacing w:before="62" w:beforeLines="20" w:after="62" w:afterLines="20" w:line="240" w:lineRule="auto"/>
              <w:ind w:firstLine="178"/>
              <w:jc w:val="left"/>
              <w:rPr>
                <w:sz w:val="24"/>
                <w:szCs w:val="24"/>
              </w:rPr>
            </w:pPr>
            <w:r>
              <w:rPr>
                <w:rFonts w:hint="eastAsia"/>
                <w:sz w:val="24"/>
                <w:szCs w:val="24"/>
              </w:rPr>
              <w:t>TCQ</w:t>
            </w:r>
          </w:p>
        </w:tc>
      </w:tr>
      <w:tr w14:paraId="296D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single" w:color="auto" w:sz="12" w:space="0"/>
              <w:left w:val="nil"/>
              <w:bottom w:val="nil"/>
              <w:right w:val="nil"/>
            </w:tcBorders>
            <w:vAlign w:val="center"/>
          </w:tcPr>
          <w:p w14:paraId="26C11AB6">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W1N0</w:t>
            </w:r>
          </w:p>
        </w:tc>
        <w:tc>
          <w:tcPr>
            <w:tcW w:w="1291" w:type="dxa"/>
            <w:tcBorders>
              <w:top w:val="single" w:color="auto" w:sz="12" w:space="0"/>
              <w:left w:val="nil"/>
              <w:bottom w:val="nil"/>
              <w:right w:val="nil"/>
            </w:tcBorders>
            <w:vAlign w:val="center"/>
          </w:tcPr>
          <w:p w14:paraId="592A81D8">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7392.66d</w:t>
            </w:r>
          </w:p>
        </w:tc>
        <w:tc>
          <w:tcPr>
            <w:tcW w:w="1477" w:type="dxa"/>
            <w:tcBorders>
              <w:top w:val="single" w:color="auto" w:sz="12" w:space="0"/>
              <w:left w:val="nil"/>
              <w:bottom w:val="nil"/>
              <w:right w:val="nil"/>
            </w:tcBorders>
            <w:vAlign w:val="bottom"/>
          </w:tcPr>
          <w:p w14:paraId="4EC4317B">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661.43g</w:t>
            </w:r>
          </w:p>
        </w:tc>
        <w:tc>
          <w:tcPr>
            <w:tcW w:w="1140" w:type="dxa"/>
            <w:tcBorders>
              <w:top w:val="single" w:color="auto" w:sz="12" w:space="0"/>
              <w:left w:val="nil"/>
              <w:bottom w:val="nil"/>
              <w:right w:val="nil"/>
            </w:tcBorders>
            <w:vAlign w:val="bottom"/>
          </w:tcPr>
          <w:p w14:paraId="57AB18BE">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1.09e</w:t>
            </w:r>
          </w:p>
        </w:tc>
        <w:tc>
          <w:tcPr>
            <w:tcW w:w="1119" w:type="dxa"/>
            <w:tcBorders>
              <w:top w:val="single" w:color="auto" w:sz="12" w:space="0"/>
              <w:left w:val="nil"/>
              <w:bottom w:val="nil"/>
              <w:right w:val="nil"/>
            </w:tcBorders>
          </w:tcPr>
          <w:p w14:paraId="59E121CA">
            <w:pPr>
              <w:spacing w:before="62" w:beforeLines="20" w:after="62" w:afterLines="20" w:line="240" w:lineRule="auto"/>
              <w:ind w:firstLine="178"/>
              <w:jc w:val="left"/>
              <w:rPr>
                <w:rFonts w:hAnsi="Times New Roman"/>
                <w:sz w:val="24"/>
                <w:szCs w:val="24"/>
              </w:rPr>
            </w:pPr>
            <w:r>
              <w:rPr>
                <w:rFonts w:hint="eastAsia" w:hAnsi="Times New Roman"/>
                <w:sz w:val="24"/>
                <w:szCs w:val="24"/>
              </w:rPr>
              <w:t>-</w:t>
            </w:r>
          </w:p>
        </w:tc>
        <w:tc>
          <w:tcPr>
            <w:tcW w:w="1419" w:type="dxa"/>
            <w:tcBorders>
              <w:top w:val="single" w:color="auto" w:sz="12" w:space="0"/>
              <w:left w:val="nil"/>
              <w:bottom w:val="nil"/>
              <w:right w:val="nil"/>
            </w:tcBorders>
            <w:vAlign w:val="bottom"/>
          </w:tcPr>
          <w:p w14:paraId="2CDA2A6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9198.70j</w:t>
            </w:r>
          </w:p>
        </w:tc>
        <w:tc>
          <w:tcPr>
            <w:tcW w:w="848" w:type="dxa"/>
            <w:tcBorders>
              <w:top w:val="single" w:color="auto" w:sz="12" w:space="0"/>
              <w:left w:val="nil"/>
              <w:bottom w:val="nil"/>
              <w:right w:val="nil"/>
            </w:tcBorders>
            <w:vAlign w:val="center"/>
          </w:tcPr>
          <w:p w14:paraId="4898CFF0">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0.46</w:t>
            </w:r>
          </w:p>
        </w:tc>
      </w:tr>
      <w:tr w14:paraId="3CA3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7ACE8708">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W1N1</w:t>
            </w:r>
          </w:p>
        </w:tc>
        <w:tc>
          <w:tcPr>
            <w:tcW w:w="1291" w:type="dxa"/>
            <w:tcBorders>
              <w:top w:val="nil"/>
              <w:left w:val="nil"/>
              <w:bottom w:val="nil"/>
              <w:right w:val="nil"/>
            </w:tcBorders>
            <w:vAlign w:val="center"/>
          </w:tcPr>
          <w:p w14:paraId="601F48F9">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8554.78cd</w:t>
            </w:r>
          </w:p>
        </w:tc>
        <w:tc>
          <w:tcPr>
            <w:tcW w:w="1477" w:type="dxa"/>
            <w:tcBorders>
              <w:top w:val="nil"/>
              <w:left w:val="nil"/>
              <w:bottom w:val="nil"/>
              <w:right w:val="nil"/>
            </w:tcBorders>
            <w:vAlign w:val="bottom"/>
          </w:tcPr>
          <w:p w14:paraId="2B3F5718">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687.43f</w:t>
            </w:r>
          </w:p>
        </w:tc>
        <w:tc>
          <w:tcPr>
            <w:tcW w:w="1140" w:type="dxa"/>
            <w:tcBorders>
              <w:top w:val="nil"/>
              <w:left w:val="nil"/>
              <w:bottom w:val="nil"/>
              <w:right w:val="nil"/>
            </w:tcBorders>
            <w:vAlign w:val="bottom"/>
          </w:tcPr>
          <w:p w14:paraId="37FCF701">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1.33d</w:t>
            </w:r>
          </w:p>
        </w:tc>
        <w:tc>
          <w:tcPr>
            <w:tcW w:w="1119" w:type="dxa"/>
            <w:tcBorders>
              <w:top w:val="nil"/>
              <w:left w:val="nil"/>
              <w:bottom w:val="nil"/>
              <w:right w:val="nil"/>
            </w:tcBorders>
            <w:vAlign w:val="bottom"/>
          </w:tcPr>
          <w:p w14:paraId="7E9CBF8B">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79.90c</w:t>
            </w:r>
          </w:p>
        </w:tc>
        <w:tc>
          <w:tcPr>
            <w:tcW w:w="1419" w:type="dxa"/>
            <w:tcBorders>
              <w:top w:val="nil"/>
              <w:left w:val="nil"/>
              <w:bottom w:val="nil"/>
              <w:right w:val="nil"/>
            </w:tcBorders>
            <w:vAlign w:val="bottom"/>
          </w:tcPr>
          <w:p w14:paraId="5E6D440F">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11578.45g</w:t>
            </w:r>
          </w:p>
        </w:tc>
        <w:tc>
          <w:tcPr>
            <w:tcW w:w="848" w:type="dxa"/>
            <w:tcBorders>
              <w:top w:val="nil"/>
              <w:left w:val="nil"/>
              <w:bottom w:val="nil"/>
              <w:right w:val="nil"/>
            </w:tcBorders>
            <w:vAlign w:val="center"/>
          </w:tcPr>
          <w:p w14:paraId="20D8EA5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0.60</w:t>
            </w:r>
          </w:p>
        </w:tc>
      </w:tr>
      <w:tr w14:paraId="1547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6E8BDB8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W1N2</w:t>
            </w:r>
          </w:p>
        </w:tc>
        <w:tc>
          <w:tcPr>
            <w:tcW w:w="1291" w:type="dxa"/>
            <w:tcBorders>
              <w:top w:val="nil"/>
              <w:left w:val="nil"/>
              <w:bottom w:val="nil"/>
              <w:right w:val="nil"/>
            </w:tcBorders>
            <w:vAlign w:val="center"/>
          </w:tcPr>
          <w:p w14:paraId="06729CB9">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8781.23cd</w:t>
            </w:r>
          </w:p>
        </w:tc>
        <w:tc>
          <w:tcPr>
            <w:tcW w:w="1477" w:type="dxa"/>
            <w:tcBorders>
              <w:top w:val="nil"/>
              <w:left w:val="nil"/>
              <w:bottom w:val="nil"/>
              <w:right w:val="nil"/>
            </w:tcBorders>
            <w:vAlign w:val="bottom"/>
          </w:tcPr>
          <w:p w14:paraId="75F31947">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692.43f</w:t>
            </w:r>
          </w:p>
        </w:tc>
        <w:tc>
          <w:tcPr>
            <w:tcW w:w="1140" w:type="dxa"/>
            <w:tcBorders>
              <w:top w:val="nil"/>
              <w:left w:val="nil"/>
              <w:bottom w:val="nil"/>
              <w:right w:val="nil"/>
            </w:tcBorders>
            <w:vAlign w:val="bottom"/>
          </w:tcPr>
          <w:p w14:paraId="0A1DC237">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1.32d</w:t>
            </w:r>
          </w:p>
        </w:tc>
        <w:tc>
          <w:tcPr>
            <w:tcW w:w="1119" w:type="dxa"/>
            <w:tcBorders>
              <w:top w:val="nil"/>
              <w:left w:val="nil"/>
              <w:bottom w:val="nil"/>
              <w:right w:val="nil"/>
            </w:tcBorders>
            <w:vAlign w:val="bottom"/>
          </w:tcPr>
          <w:p w14:paraId="32B0708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56.42f</w:t>
            </w:r>
          </w:p>
        </w:tc>
        <w:tc>
          <w:tcPr>
            <w:tcW w:w="1419" w:type="dxa"/>
            <w:tcBorders>
              <w:top w:val="nil"/>
              <w:left w:val="nil"/>
              <w:bottom w:val="nil"/>
              <w:right w:val="nil"/>
            </w:tcBorders>
            <w:vAlign w:val="bottom"/>
          </w:tcPr>
          <w:p w14:paraId="35DAB062">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12331.75f</w:t>
            </w:r>
          </w:p>
        </w:tc>
        <w:tc>
          <w:tcPr>
            <w:tcW w:w="848" w:type="dxa"/>
            <w:tcBorders>
              <w:top w:val="nil"/>
              <w:left w:val="nil"/>
              <w:bottom w:val="nil"/>
              <w:right w:val="nil"/>
            </w:tcBorders>
            <w:vAlign w:val="center"/>
          </w:tcPr>
          <w:p w14:paraId="21AD6D4E">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0.53</w:t>
            </w:r>
          </w:p>
        </w:tc>
      </w:tr>
      <w:tr w14:paraId="6471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6171514F">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W1N3</w:t>
            </w:r>
          </w:p>
        </w:tc>
        <w:tc>
          <w:tcPr>
            <w:tcW w:w="1291" w:type="dxa"/>
            <w:tcBorders>
              <w:top w:val="nil"/>
              <w:left w:val="nil"/>
              <w:bottom w:val="nil"/>
              <w:right w:val="nil"/>
            </w:tcBorders>
            <w:vAlign w:val="center"/>
          </w:tcPr>
          <w:p w14:paraId="534921F5">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8836.60cd</w:t>
            </w:r>
          </w:p>
        </w:tc>
        <w:tc>
          <w:tcPr>
            <w:tcW w:w="1477" w:type="dxa"/>
            <w:tcBorders>
              <w:top w:val="nil"/>
              <w:left w:val="nil"/>
              <w:bottom w:val="nil"/>
              <w:right w:val="nil"/>
            </w:tcBorders>
            <w:vAlign w:val="bottom"/>
          </w:tcPr>
          <w:p w14:paraId="37A8A12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714.43e</w:t>
            </w:r>
          </w:p>
        </w:tc>
        <w:tc>
          <w:tcPr>
            <w:tcW w:w="1140" w:type="dxa"/>
            <w:tcBorders>
              <w:top w:val="nil"/>
              <w:left w:val="nil"/>
              <w:bottom w:val="nil"/>
              <w:right w:val="nil"/>
            </w:tcBorders>
            <w:vAlign w:val="bottom"/>
          </w:tcPr>
          <w:p w14:paraId="5B3C07C6">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1.34cd</w:t>
            </w:r>
          </w:p>
        </w:tc>
        <w:tc>
          <w:tcPr>
            <w:tcW w:w="1119" w:type="dxa"/>
            <w:tcBorders>
              <w:top w:val="nil"/>
              <w:left w:val="nil"/>
              <w:bottom w:val="nil"/>
              <w:right w:val="nil"/>
            </w:tcBorders>
            <w:vAlign w:val="bottom"/>
          </w:tcPr>
          <w:p w14:paraId="29031B4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44.23g</w:t>
            </w:r>
          </w:p>
        </w:tc>
        <w:tc>
          <w:tcPr>
            <w:tcW w:w="1419" w:type="dxa"/>
            <w:tcBorders>
              <w:top w:val="nil"/>
              <w:left w:val="nil"/>
              <w:bottom w:val="nil"/>
              <w:right w:val="nil"/>
            </w:tcBorders>
            <w:vAlign w:val="bottom"/>
          </w:tcPr>
          <w:p w14:paraId="77399521">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13469.54e</w:t>
            </w:r>
          </w:p>
        </w:tc>
        <w:tc>
          <w:tcPr>
            <w:tcW w:w="848" w:type="dxa"/>
            <w:tcBorders>
              <w:top w:val="nil"/>
              <w:left w:val="nil"/>
              <w:bottom w:val="nil"/>
              <w:right w:val="nil"/>
            </w:tcBorders>
            <w:vAlign w:val="center"/>
          </w:tcPr>
          <w:p w14:paraId="771B113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0.44</w:t>
            </w:r>
          </w:p>
        </w:tc>
      </w:tr>
      <w:tr w14:paraId="49B0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6AACEA22">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W2N0</w:t>
            </w:r>
          </w:p>
        </w:tc>
        <w:tc>
          <w:tcPr>
            <w:tcW w:w="1291" w:type="dxa"/>
            <w:tcBorders>
              <w:top w:val="nil"/>
              <w:left w:val="nil"/>
              <w:bottom w:val="nil"/>
              <w:right w:val="nil"/>
            </w:tcBorders>
            <w:vAlign w:val="center"/>
          </w:tcPr>
          <w:p w14:paraId="069F080D">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7412.70d</w:t>
            </w:r>
          </w:p>
        </w:tc>
        <w:tc>
          <w:tcPr>
            <w:tcW w:w="1477" w:type="dxa"/>
            <w:tcBorders>
              <w:top w:val="nil"/>
              <w:left w:val="nil"/>
              <w:bottom w:val="nil"/>
              <w:right w:val="nil"/>
            </w:tcBorders>
            <w:vAlign w:val="bottom"/>
          </w:tcPr>
          <w:p w14:paraId="1E048B34">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692.87f</w:t>
            </w:r>
          </w:p>
        </w:tc>
        <w:tc>
          <w:tcPr>
            <w:tcW w:w="1140" w:type="dxa"/>
            <w:tcBorders>
              <w:top w:val="nil"/>
              <w:left w:val="nil"/>
              <w:bottom w:val="nil"/>
              <w:right w:val="nil"/>
            </w:tcBorders>
            <w:vAlign w:val="bottom"/>
          </w:tcPr>
          <w:p w14:paraId="2F5D1160">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1.08e</w:t>
            </w:r>
          </w:p>
        </w:tc>
        <w:tc>
          <w:tcPr>
            <w:tcW w:w="1119" w:type="dxa"/>
            <w:tcBorders>
              <w:top w:val="nil"/>
              <w:left w:val="nil"/>
              <w:bottom w:val="nil"/>
              <w:right w:val="nil"/>
            </w:tcBorders>
          </w:tcPr>
          <w:p w14:paraId="20704E4B">
            <w:pPr>
              <w:spacing w:before="62" w:beforeLines="20" w:after="62" w:afterLines="20" w:line="240" w:lineRule="auto"/>
              <w:ind w:firstLine="178"/>
              <w:jc w:val="left"/>
              <w:rPr>
                <w:rFonts w:hAnsi="Times New Roman"/>
                <w:sz w:val="24"/>
                <w:szCs w:val="24"/>
              </w:rPr>
            </w:pPr>
            <w:r>
              <w:rPr>
                <w:rFonts w:hint="eastAsia" w:hAnsi="Times New Roman"/>
                <w:sz w:val="24"/>
                <w:szCs w:val="24"/>
              </w:rPr>
              <w:t>-</w:t>
            </w:r>
          </w:p>
        </w:tc>
        <w:tc>
          <w:tcPr>
            <w:tcW w:w="1419" w:type="dxa"/>
            <w:tcBorders>
              <w:top w:val="nil"/>
              <w:left w:val="nil"/>
              <w:bottom w:val="nil"/>
              <w:right w:val="nil"/>
            </w:tcBorders>
            <w:vAlign w:val="bottom"/>
          </w:tcPr>
          <w:p w14:paraId="0F78527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10260.52i</w:t>
            </w:r>
          </w:p>
        </w:tc>
        <w:tc>
          <w:tcPr>
            <w:tcW w:w="848" w:type="dxa"/>
            <w:tcBorders>
              <w:top w:val="nil"/>
              <w:left w:val="nil"/>
              <w:bottom w:val="nil"/>
              <w:right w:val="nil"/>
            </w:tcBorders>
            <w:vAlign w:val="center"/>
          </w:tcPr>
          <w:p w14:paraId="16014494">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0.41</w:t>
            </w:r>
          </w:p>
        </w:tc>
      </w:tr>
      <w:tr w14:paraId="2E08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170F550D">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W2N1</w:t>
            </w:r>
          </w:p>
        </w:tc>
        <w:tc>
          <w:tcPr>
            <w:tcW w:w="1291" w:type="dxa"/>
            <w:tcBorders>
              <w:top w:val="nil"/>
              <w:left w:val="nil"/>
              <w:bottom w:val="nil"/>
              <w:right w:val="nil"/>
            </w:tcBorders>
            <w:vAlign w:val="center"/>
          </w:tcPr>
          <w:p w14:paraId="423E8FAA">
            <w:pPr>
              <w:widowControl/>
              <w:spacing w:before="62" w:beforeLines="20" w:after="62" w:afterLines="20" w:line="240" w:lineRule="auto"/>
              <w:ind w:firstLine="0" w:firstLineChars="0"/>
              <w:jc w:val="left"/>
              <w:rPr>
                <w:rFonts w:hAnsi="Times New Roman"/>
                <w:b/>
                <w:bCs/>
                <w:color w:val="000000"/>
                <w:sz w:val="24"/>
                <w:szCs w:val="24"/>
              </w:rPr>
            </w:pPr>
            <w:r>
              <w:rPr>
                <w:rFonts w:hAnsi="Times New Roman"/>
                <w:b/>
                <w:bCs/>
                <w:color w:val="000000"/>
                <w:sz w:val="24"/>
                <w:szCs w:val="24"/>
                <w:lang w:bidi="ar"/>
              </w:rPr>
              <w:t>9746.06bc</w:t>
            </w:r>
          </w:p>
        </w:tc>
        <w:tc>
          <w:tcPr>
            <w:tcW w:w="1477" w:type="dxa"/>
            <w:tcBorders>
              <w:top w:val="nil"/>
              <w:left w:val="nil"/>
              <w:bottom w:val="nil"/>
              <w:right w:val="nil"/>
            </w:tcBorders>
            <w:vAlign w:val="bottom"/>
          </w:tcPr>
          <w:p w14:paraId="751A5295">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709.87e</w:t>
            </w:r>
          </w:p>
        </w:tc>
        <w:tc>
          <w:tcPr>
            <w:tcW w:w="1140" w:type="dxa"/>
            <w:tcBorders>
              <w:top w:val="nil"/>
              <w:left w:val="nil"/>
              <w:bottom w:val="nil"/>
              <w:right w:val="nil"/>
            </w:tcBorders>
            <w:vAlign w:val="bottom"/>
          </w:tcPr>
          <w:p w14:paraId="0DDF1891">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1.40b</w:t>
            </w:r>
          </w:p>
        </w:tc>
        <w:tc>
          <w:tcPr>
            <w:tcW w:w="1119" w:type="dxa"/>
            <w:tcBorders>
              <w:top w:val="nil"/>
              <w:left w:val="nil"/>
              <w:bottom w:val="nil"/>
              <w:right w:val="nil"/>
            </w:tcBorders>
            <w:vAlign w:val="bottom"/>
          </w:tcPr>
          <w:p w14:paraId="42BE1EA9">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88.45b</w:t>
            </w:r>
          </w:p>
        </w:tc>
        <w:tc>
          <w:tcPr>
            <w:tcW w:w="1419" w:type="dxa"/>
            <w:tcBorders>
              <w:top w:val="nil"/>
              <w:left w:val="nil"/>
              <w:bottom w:val="nil"/>
              <w:right w:val="nil"/>
            </w:tcBorders>
            <w:vAlign w:val="bottom"/>
          </w:tcPr>
          <w:p w14:paraId="12AB04C7">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12260.89f</w:t>
            </w:r>
          </w:p>
        </w:tc>
        <w:tc>
          <w:tcPr>
            <w:tcW w:w="848" w:type="dxa"/>
            <w:tcBorders>
              <w:top w:val="nil"/>
              <w:left w:val="nil"/>
              <w:bottom w:val="nil"/>
              <w:right w:val="nil"/>
            </w:tcBorders>
            <w:vAlign w:val="center"/>
          </w:tcPr>
          <w:p w14:paraId="45E2EF6E">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0.65</w:t>
            </w:r>
          </w:p>
        </w:tc>
      </w:tr>
      <w:tr w14:paraId="45C1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087704A4">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W2N2</w:t>
            </w:r>
          </w:p>
        </w:tc>
        <w:tc>
          <w:tcPr>
            <w:tcW w:w="1291" w:type="dxa"/>
            <w:tcBorders>
              <w:top w:val="nil"/>
              <w:left w:val="nil"/>
              <w:bottom w:val="nil"/>
              <w:right w:val="nil"/>
            </w:tcBorders>
            <w:vAlign w:val="center"/>
          </w:tcPr>
          <w:p w14:paraId="58F9C877">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9823.62bc</w:t>
            </w:r>
          </w:p>
        </w:tc>
        <w:tc>
          <w:tcPr>
            <w:tcW w:w="1477" w:type="dxa"/>
            <w:tcBorders>
              <w:top w:val="nil"/>
              <w:left w:val="nil"/>
              <w:bottom w:val="nil"/>
              <w:right w:val="nil"/>
            </w:tcBorders>
            <w:vAlign w:val="bottom"/>
          </w:tcPr>
          <w:p w14:paraId="018C629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722.87de</w:t>
            </w:r>
          </w:p>
        </w:tc>
        <w:tc>
          <w:tcPr>
            <w:tcW w:w="1140" w:type="dxa"/>
            <w:tcBorders>
              <w:top w:val="nil"/>
              <w:left w:val="nil"/>
              <w:bottom w:val="nil"/>
              <w:right w:val="nil"/>
            </w:tcBorders>
            <w:vAlign w:val="bottom"/>
          </w:tcPr>
          <w:p w14:paraId="01AFCB4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1.41b</w:t>
            </w:r>
          </w:p>
        </w:tc>
        <w:tc>
          <w:tcPr>
            <w:tcW w:w="1119" w:type="dxa"/>
            <w:tcBorders>
              <w:top w:val="nil"/>
              <w:left w:val="nil"/>
              <w:bottom w:val="nil"/>
              <w:right w:val="nil"/>
            </w:tcBorders>
            <w:vAlign w:val="bottom"/>
          </w:tcPr>
          <w:p w14:paraId="5016E72B">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63.02e</w:t>
            </w:r>
          </w:p>
        </w:tc>
        <w:tc>
          <w:tcPr>
            <w:tcW w:w="1419" w:type="dxa"/>
            <w:tcBorders>
              <w:top w:val="nil"/>
              <w:left w:val="nil"/>
              <w:bottom w:val="nil"/>
              <w:right w:val="nil"/>
            </w:tcBorders>
            <w:vAlign w:val="bottom"/>
          </w:tcPr>
          <w:p w14:paraId="19AF49AE">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14215.23bc</w:t>
            </w:r>
          </w:p>
        </w:tc>
        <w:tc>
          <w:tcPr>
            <w:tcW w:w="848" w:type="dxa"/>
            <w:tcBorders>
              <w:top w:val="nil"/>
              <w:left w:val="nil"/>
              <w:bottom w:val="nil"/>
              <w:right w:val="nil"/>
            </w:tcBorders>
            <w:vAlign w:val="center"/>
          </w:tcPr>
          <w:p w14:paraId="74AA5666">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0.52</w:t>
            </w:r>
          </w:p>
        </w:tc>
      </w:tr>
      <w:tr w14:paraId="499C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2B101081">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W2N3</w:t>
            </w:r>
          </w:p>
        </w:tc>
        <w:tc>
          <w:tcPr>
            <w:tcW w:w="1291" w:type="dxa"/>
            <w:tcBorders>
              <w:top w:val="nil"/>
              <w:left w:val="nil"/>
              <w:bottom w:val="nil"/>
              <w:right w:val="nil"/>
            </w:tcBorders>
            <w:vAlign w:val="center"/>
          </w:tcPr>
          <w:p w14:paraId="2255E2E8">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9719.38bc</w:t>
            </w:r>
          </w:p>
        </w:tc>
        <w:tc>
          <w:tcPr>
            <w:tcW w:w="1477" w:type="dxa"/>
            <w:tcBorders>
              <w:top w:val="nil"/>
              <w:left w:val="nil"/>
              <w:bottom w:val="nil"/>
              <w:right w:val="nil"/>
            </w:tcBorders>
            <w:vAlign w:val="bottom"/>
          </w:tcPr>
          <w:p w14:paraId="53EEA10B">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722.87de</w:t>
            </w:r>
          </w:p>
        </w:tc>
        <w:tc>
          <w:tcPr>
            <w:tcW w:w="1140" w:type="dxa"/>
            <w:tcBorders>
              <w:top w:val="nil"/>
              <w:left w:val="nil"/>
              <w:bottom w:val="nil"/>
              <w:right w:val="nil"/>
            </w:tcBorders>
            <w:vAlign w:val="bottom"/>
          </w:tcPr>
          <w:p w14:paraId="04A4F6C5">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1.41b</w:t>
            </w:r>
          </w:p>
        </w:tc>
        <w:tc>
          <w:tcPr>
            <w:tcW w:w="1119" w:type="dxa"/>
            <w:tcBorders>
              <w:top w:val="nil"/>
              <w:left w:val="nil"/>
              <w:bottom w:val="nil"/>
              <w:right w:val="nil"/>
            </w:tcBorders>
            <w:vAlign w:val="bottom"/>
          </w:tcPr>
          <w:p w14:paraId="479B99E4">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48.98g</w:t>
            </w:r>
          </w:p>
        </w:tc>
        <w:tc>
          <w:tcPr>
            <w:tcW w:w="1419" w:type="dxa"/>
            <w:tcBorders>
              <w:top w:val="nil"/>
              <w:left w:val="nil"/>
              <w:bottom w:val="nil"/>
              <w:right w:val="nil"/>
            </w:tcBorders>
            <w:vAlign w:val="bottom"/>
          </w:tcPr>
          <w:p w14:paraId="376B8DC1">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14023.15cd</w:t>
            </w:r>
          </w:p>
        </w:tc>
        <w:tc>
          <w:tcPr>
            <w:tcW w:w="848" w:type="dxa"/>
            <w:tcBorders>
              <w:top w:val="nil"/>
              <w:left w:val="nil"/>
              <w:bottom w:val="nil"/>
              <w:right w:val="nil"/>
            </w:tcBorders>
            <w:vAlign w:val="center"/>
          </w:tcPr>
          <w:p w14:paraId="3429FB5B">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0.48</w:t>
            </w:r>
          </w:p>
        </w:tc>
      </w:tr>
      <w:tr w14:paraId="5C46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1AE003B4">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W3N0</w:t>
            </w:r>
          </w:p>
        </w:tc>
        <w:tc>
          <w:tcPr>
            <w:tcW w:w="1291" w:type="dxa"/>
            <w:tcBorders>
              <w:top w:val="nil"/>
              <w:left w:val="nil"/>
              <w:bottom w:val="nil"/>
              <w:right w:val="nil"/>
            </w:tcBorders>
            <w:vAlign w:val="center"/>
          </w:tcPr>
          <w:p w14:paraId="1EFACCA3">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7754.95d</w:t>
            </w:r>
          </w:p>
        </w:tc>
        <w:tc>
          <w:tcPr>
            <w:tcW w:w="1477" w:type="dxa"/>
            <w:tcBorders>
              <w:top w:val="nil"/>
              <w:left w:val="nil"/>
              <w:bottom w:val="nil"/>
              <w:right w:val="nil"/>
            </w:tcBorders>
            <w:vAlign w:val="bottom"/>
          </w:tcPr>
          <w:p w14:paraId="16893E31">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731.42d</w:t>
            </w:r>
          </w:p>
        </w:tc>
        <w:tc>
          <w:tcPr>
            <w:tcW w:w="1140" w:type="dxa"/>
            <w:tcBorders>
              <w:top w:val="nil"/>
              <w:left w:val="nil"/>
              <w:bottom w:val="nil"/>
              <w:right w:val="nil"/>
            </w:tcBorders>
            <w:vAlign w:val="bottom"/>
          </w:tcPr>
          <w:p w14:paraId="2A23A16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1.02f</w:t>
            </w:r>
          </w:p>
        </w:tc>
        <w:tc>
          <w:tcPr>
            <w:tcW w:w="1119" w:type="dxa"/>
            <w:tcBorders>
              <w:top w:val="nil"/>
              <w:left w:val="nil"/>
              <w:bottom w:val="nil"/>
              <w:right w:val="nil"/>
            </w:tcBorders>
          </w:tcPr>
          <w:p w14:paraId="33F326A9">
            <w:pPr>
              <w:spacing w:before="62" w:beforeLines="20" w:after="62" w:afterLines="20" w:line="240" w:lineRule="auto"/>
              <w:ind w:firstLine="178"/>
              <w:jc w:val="left"/>
              <w:rPr>
                <w:rFonts w:hAnsi="Times New Roman"/>
                <w:sz w:val="24"/>
                <w:szCs w:val="24"/>
              </w:rPr>
            </w:pPr>
            <w:r>
              <w:rPr>
                <w:rFonts w:hint="eastAsia" w:hAnsi="Times New Roman"/>
                <w:sz w:val="24"/>
                <w:szCs w:val="24"/>
              </w:rPr>
              <w:t>-</w:t>
            </w:r>
          </w:p>
        </w:tc>
        <w:tc>
          <w:tcPr>
            <w:tcW w:w="1419" w:type="dxa"/>
            <w:tcBorders>
              <w:top w:val="nil"/>
              <w:left w:val="nil"/>
              <w:bottom w:val="nil"/>
              <w:right w:val="nil"/>
            </w:tcBorders>
            <w:vAlign w:val="bottom"/>
          </w:tcPr>
          <w:p w14:paraId="121EF71E">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10845.05h</w:t>
            </w:r>
          </w:p>
        </w:tc>
        <w:tc>
          <w:tcPr>
            <w:tcW w:w="848" w:type="dxa"/>
            <w:tcBorders>
              <w:top w:val="nil"/>
              <w:left w:val="nil"/>
              <w:bottom w:val="nil"/>
              <w:right w:val="nil"/>
            </w:tcBorders>
            <w:vAlign w:val="center"/>
          </w:tcPr>
          <w:p w14:paraId="48FAE595">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0.35</w:t>
            </w:r>
          </w:p>
        </w:tc>
      </w:tr>
      <w:tr w14:paraId="5ADF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121DC89F">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W3N1</w:t>
            </w:r>
          </w:p>
        </w:tc>
        <w:tc>
          <w:tcPr>
            <w:tcW w:w="1291" w:type="dxa"/>
            <w:tcBorders>
              <w:top w:val="nil"/>
              <w:left w:val="nil"/>
              <w:bottom w:val="nil"/>
              <w:right w:val="nil"/>
            </w:tcBorders>
            <w:vAlign w:val="center"/>
          </w:tcPr>
          <w:p w14:paraId="1BA64964">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10586.12ab</w:t>
            </w:r>
          </w:p>
        </w:tc>
        <w:tc>
          <w:tcPr>
            <w:tcW w:w="1477" w:type="dxa"/>
            <w:tcBorders>
              <w:top w:val="nil"/>
              <w:left w:val="nil"/>
              <w:bottom w:val="nil"/>
              <w:right w:val="nil"/>
            </w:tcBorders>
            <w:vAlign w:val="bottom"/>
          </w:tcPr>
          <w:p w14:paraId="555A3BB2">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755.97c</w:t>
            </w:r>
          </w:p>
        </w:tc>
        <w:tc>
          <w:tcPr>
            <w:tcW w:w="1140" w:type="dxa"/>
            <w:tcBorders>
              <w:top w:val="nil"/>
              <w:left w:val="nil"/>
              <w:bottom w:val="nil"/>
              <w:right w:val="nil"/>
            </w:tcBorders>
            <w:vAlign w:val="bottom"/>
          </w:tcPr>
          <w:p w14:paraId="01B1089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1.39bc</w:t>
            </w:r>
          </w:p>
        </w:tc>
        <w:tc>
          <w:tcPr>
            <w:tcW w:w="1119" w:type="dxa"/>
            <w:tcBorders>
              <w:top w:val="nil"/>
              <w:left w:val="nil"/>
              <w:bottom w:val="nil"/>
              <w:right w:val="nil"/>
            </w:tcBorders>
            <w:vAlign w:val="bottom"/>
          </w:tcPr>
          <w:p w14:paraId="7FA4268E">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95.90a</w:t>
            </w:r>
          </w:p>
        </w:tc>
        <w:tc>
          <w:tcPr>
            <w:tcW w:w="1419" w:type="dxa"/>
            <w:tcBorders>
              <w:top w:val="nil"/>
              <w:left w:val="nil"/>
              <w:bottom w:val="nil"/>
              <w:right w:val="nil"/>
            </w:tcBorders>
            <w:vAlign w:val="bottom"/>
          </w:tcPr>
          <w:p w14:paraId="57680648">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13919.06d</w:t>
            </w:r>
          </w:p>
        </w:tc>
        <w:tc>
          <w:tcPr>
            <w:tcW w:w="848" w:type="dxa"/>
            <w:tcBorders>
              <w:top w:val="nil"/>
              <w:left w:val="nil"/>
              <w:bottom w:val="nil"/>
              <w:right w:val="nil"/>
            </w:tcBorders>
            <w:vAlign w:val="center"/>
          </w:tcPr>
          <w:p w14:paraId="4CC5C9E7">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0.59</w:t>
            </w:r>
          </w:p>
        </w:tc>
      </w:tr>
      <w:tr w14:paraId="4AE0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228" w:type="dxa"/>
            <w:tcBorders>
              <w:top w:val="nil"/>
              <w:left w:val="nil"/>
              <w:bottom w:val="nil"/>
              <w:right w:val="nil"/>
            </w:tcBorders>
            <w:vAlign w:val="center"/>
          </w:tcPr>
          <w:p w14:paraId="4BBC04E6">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W3N2</w:t>
            </w:r>
          </w:p>
        </w:tc>
        <w:tc>
          <w:tcPr>
            <w:tcW w:w="1291" w:type="dxa"/>
            <w:tcBorders>
              <w:top w:val="nil"/>
              <w:left w:val="nil"/>
              <w:bottom w:val="nil"/>
              <w:right w:val="nil"/>
            </w:tcBorders>
            <w:vAlign w:val="center"/>
          </w:tcPr>
          <w:p w14:paraId="0714B7B0">
            <w:pPr>
              <w:widowControl/>
              <w:spacing w:before="62" w:beforeLines="20" w:after="62" w:afterLines="20" w:line="240" w:lineRule="auto"/>
              <w:ind w:firstLine="0" w:firstLineChars="0"/>
              <w:jc w:val="left"/>
              <w:rPr>
                <w:rFonts w:hAnsi="Times New Roman"/>
                <w:b/>
                <w:bCs/>
                <w:color w:val="000000"/>
                <w:sz w:val="24"/>
                <w:szCs w:val="24"/>
              </w:rPr>
            </w:pPr>
            <w:r>
              <w:rPr>
                <w:rFonts w:hAnsi="Times New Roman"/>
                <w:b/>
                <w:bCs/>
                <w:color w:val="000000"/>
                <w:sz w:val="24"/>
                <w:szCs w:val="24"/>
                <w:lang w:bidi="ar"/>
              </w:rPr>
              <w:t>11883.51a</w:t>
            </w:r>
          </w:p>
        </w:tc>
        <w:tc>
          <w:tcPr>
            <w:tcW w:w="1477" w:type="dxa"/>
            <w:tcBorders>
              <w:top w:val="nil"/>
              <w:left w:val="nil"/>
              <w:bottom w:val="nil"/>
              <w:right w:val="nil"/>
            </w:tcBorders>
            <w:vAlign w:val="bottom"/>
          </w:tcPr>
          <w:p w14:paraId="40D77D08">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781.34b</w:t>
            </w:r>
          </w:p>
        </w:tc>
        <w:tc>
          <w:tcPr>
            <w:tcW w:w="1140" w:type="dxa"/>
            <w:tcBorders>
              <w:top w:val="nil"/>
              <w:left w:val="nil"/>
              <w:bottom w:val="nil"/>
              <w:right w:val="nil"/>
            </w:tcBorders>
            <w:vAlign w:val="bottom"/>
          </w:tcPr>
          <w:p w14:paraId="25E4682F">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1.57a</w:t>
            </w:r>
          </w:p>
        </w:tc>
        <w:tc>
          <w:tcPr>
            <w:tcW w:w="1119" w:type="dxa"/>
            <w:tcBorders>
              <w:top w:val="nil"/>
              <w:left w:val="nil"/>
              <w:bottom w:val="nil"/>
              <w:right w:val="nil"/>
            </w:tcBorders>
            <w:vAlign w:val="bottom"/>
          </w:tcPr>
          <w:p w14:paraId="467DA977">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76.36c</w:t>
            </w:r>
          </w:p>
        </w:tc>
        <w:tc>
          <w:tcPr>
            <w:tcW w:w="1419" w:type="dxa"/>
            <w:tcBorders>
              <w:top w:val="nil"/>
              <w:left w:val="nil"/>
              <w:bottom w:val="nil"/>
              <w:right w:val="nil"/>
            </w:tcBorders>
            <w:vAlign w:val="bottom"/>
          </w:tcPr>
          <w:p w14:paraId="5DDB24A1">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14460.23b</w:t>
            </w:r>
          </w:p>
        </w:tc>
        <w:tc>
          <w:tcPr>
            <w:tcW w:w="848" w:type="dxa"/>
            <w:tcBorders>
              <w:top w:val="nil"/>
              <w:left w:val="nil"/>
              <w:bottom w:val="nil"/>
              <w:right w:val="nil"/>
            </w:tcBorders>
            <w:vAlign w:val="center"/>
          </w:tcPr>
          <w:p w14:paraId="3B190BA1">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0.57</w:t>
            </w:r>
          </w:p>
        </w:tc>
      </w:tr>
      <w:tr w14:paraId="6F8F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228" w:type="dxa"/>
            <w:tcBorders>
              <w:top w:val="nil"/>
              <w:left w:val="nil"/>
              <w:bottom w:val="nil"/>
              <w:right w:val="nil"/>
            </w:tcBorders>
            <w:vAlign w:val="center"/>
          </w:tcPr>
          <w:p w14:paraId="0ED9ECC4">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W3N3</w:t>
            </w:r>
          </w:p>
        </w:tc>
        <w:tc>
          <w:tcPr>
            <w:tcW w:w="1291" w:type="dxa"/>
            <w:tcBorders>
              <w:top w:val="nil"/>
              <w:left w:val="nil"/>
              <w:bottom w:val="nil"/>
              <w:right w:val="nil"/>
            </w:tcBorders>
            <w:vAlign w:val="center"/>
          </w:tcPr>
          <w:p w14:paraId="595CDBF1">
            <w:pPr>
              <w:widowControl/>
              <w:spacing w:before="62" w:beforeLines="20" w:after="62" w:afterLines="20" w:line="240" w:lineRule="auto"/>
              <w:ind w:firstLine="0" w:firstLineChars="0"/>
              <w:jc w:val="left"/>
              <w:rPr>
                <w:rFonts w:hAnsi="Times New Roman"/>
                <w:b/>
                <w:bCs/>
                <w:color w:val="000000"/>
                <w:sz w:val="24"/>
                <w:szCs w:val="24"/>
              </w:rPr>
            </w:pPr>
            <w:r>
              <w:rPr>
                <w:rFonts w:hAnsi="Times New Roman"/>
                <w:b/>
                <w:bCs/>
                <w:color w:val="000000"/>
                <w:sz w:val="24"/>
                <w:szCs w:val="24"/>
                <w:lang w:bidi="ar"/>
              </w:rPr>
              <w:t>11436.82a</w:t>
            </w:r>
          </w:p>
        </w:tc>
        <w:tc>
          <w:tcPr>
            <w:tcW w:w="1477" w:type="dxa"/>
            <w:tcBorders>
              <w:top w:val="nil"/>
              <w:left w:val="nil"/>
              <w:bottom w:val="nil"/>
              <w:right w:val="nil"/>
            </w:tcBorders>
            <w:vAlign w:val="bottom"/>
          </w:tcPr>
          <w:p w14:paraId="5A6E83FE">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779.98b</w:t>
            </w:r>
          </w:p>
        </w:tc>
        <w:tc>
          <w:tcPr>
            <w:tcW w:w="1140" w:type="dxa"/>
            <w:tcBorders>
              <w:top w:val="nil"/>
              <w:left w:val="nil"/>
              <w:bottom w:val="nil"/>
              <w:right w:val="nil"/>
            </w:tcBorders>
            <w:vAlign w:val="bottom"/>
          </w:tcPr>
          <w:p w14:paraId="5CCA8023">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1.59a</w:t>
            </w:r>
          </w:p>
        </w:tc>
        <w:tc>
          <w:tcPr>
            <w:tcW w:w="1119" w:type="dxa"/>
            <w:tcBorders>
              <w:top w:val="nil"/>
              <w:left w:val="nil"/>
              <w:bottom w:val="nil"/>
              <w:right w:val="nil"/>
            </w:tcBorders>
            <w:vAlign w:val="bottom"/>
          </w:tcPr>
          <w:p w14:paraId="5FA2A8E3">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77.41c</w:t>
            </w:r>
          </w:p>
        </w:tc>
        <w:tc>
          <w:tcPr>
            <w:tcW w:w="1419" w:type="dxa"/>
            <w:tcBorders>
              <w:top w:val="nil"/>
              <w:left w:val="nil"/>
              <w:bottom w:val="nil"/>
              <w:right w:val="nil"/>
            </w:tcBorders>
            <w:vAlign w:val="bottom"/>
          </w:tcPr>
          <w:p w14:paraId="7E35F510">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14299.00bc</w:t>
            </w:r>
          </w:p>
        </w:tc>
        <w:tc>
          <w:tcPr>
            <w:tcW w:w="848" w:type="dxa"/>
            <w:tcBorders>
              <w:top w:val="nil"/>
              <w:left w:val="nil"/>
              <w:bottom w:val="nil"/>
              <w:right w:val="nil"/>
            </w:tcBorders>
            <w:vAlign w:val="center"/>
          </w:tcPr>
          <w:p w14:paraId="77075687">
            <w:pPr>
              <w:widowControl/>
              <w:spacing w:before="62" w:beforeLines="20" w:after="62" w:afterLines="20" w:line="240" w:lineRule="auto"/>
              <w:ind w:firstLine="179"/>
              <w:jc w:val="left"/>
              <w:rPr>
                <w:rFonts w:hAnsi="Times New Roman"/>
                <w:b/>
                <w:bCs/>
                <w:color w:val="000000"/>
                <w:sz w:val="24"/>
                <w:szCs w:val="24"/>
              </w:rPr>
            </w:pPr>
            <w:r>
              <w:rPr>
                <w:rFonts w:hAnsi="Times New Roman"/>
                <w:b/>
                <w:bCs/>
                <w:color w:val="000000"/>
                <w:sz w:val="24"/>
                <w:szCs w:val="24"/>
                <w:lang w:bidi="ar"/>
              </w:rPr>
              <w:t>0.57</w:t>
            </w:r>
          </w:p>
        </w:tc>
      </w:tr>
      <w:tr w14:paraId="1C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6D2E430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W4N0</w:t>
            </w:r>
          </w:p>
        </w:tc>
        <w:tc>
          <w:tcPr>
            <w:tcW w:w="1291" w:type="dxa"/>
            <w:tcBorders>
              <w:top w:val="nil"/>
              <w:left w:val="nil"/>
              <w:bottom w:val="nil"/>
              <w:right w:val="nil"/>
            </w:tcBorders>
            <w:vAlign w:val="center"/>
          </w:tcPr>
          <w:p w14:paraId="22CDBBE8">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7723.85d</w:t>
            </w:r>
          </w:p>
        </w:tc>
        <w:tc>
          <w:tcPr>
            <w:tcW w:w="1477" w:type="dxa"/>
            <w:tcBorders>
              <w:top w:val="nil"/>
              <w:left w:val="nil"/>
              <w:bottom w:val="nil"/>
              <w:right w:val="nil"/>
            </w:tcBorders>
            <w:vAlign w:val="bottom"/>
          </w:tcPr>
          <w:p w14:paraId="49AE89D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793.32b</w:t>
            </w:r>
          </w:p>
        </w:tc>
        <w:tc>
          <w:tcPr>
            <w:tcW w:w="1140" w:type="dxa"/>
            <w:tcBorders>
              <w:top w:val="nil"/>
              <w:left w:val="nil"/>
              <w:bottom w:val="nil"/>
              <w:right w:val="nil"/>
            </w:tcBorders>
            <w:vAlign w:val="bottom"/>
          </w:tcPr>
          <w:p w14:paraId="47EA35A0">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0.94g</w:t>
            </w:r>
          </w:p>
        </w:tc>
        <w:tc>
          <w:tcPr>
            <w:tcW w:w="1119" w:type="dxa"/>
            <w:tcBorders>
              <w:top w:val="nil"/>
              <w:left w:val="nil"/>
              <w:bottom w:val="nil"/>
              <w:right w:val="nil"/>
            </w:tcBorders>
          </w:tcPr>
          <w:p w14:paraId="7F180A05">
            <w:pPr>
              <w:spacing w:before="62" w:beforeLines="20" w:after="62" w:afterLines="20" w:line="240" w:lineRule="auto"/>
              <w:ind w:firstLine="178"/>
              <w:jc w:val="left"/>
              <w:rPr>
                <w:rFonts w:hAnsi="Times New Roman"/>
                <w:sz w:val="24"/>
                <w:szCs w:val="24"/>
              </w:rPr>
            </w:pPr>
            <w:r>
              <w:rPr>
                <w:rFonts w:hint="eastAsia" w:hAnsi="Times New Roman"/>
                <w:sz w:val="24"/>
                <w:szCs w:val="24"/>
              </w:rPr>
              <w:t>-</w:t>
            </w:r>
          </w:p>
        </w:tc>
        <w:tc>
          <w:tcPr>
            <w:tcW w:w="1419" w:type="dxa"/>
            <w:tcBorders>
              <w:top w:val="nil"/>
              <w:left w:val="nil"/>
              <w:bottom w:val="nil"/>
              <w:right w:val="nil"/>
            </w:tcBorders>
            <w:vAlign w:val="bottom"/>
          </w:tcPr>
          <w:p w14:paraId="58456C48">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10996.74h</w:t>
            </w:r>
          </w:p>
        </w:tc>
        <w:tc>
          <w:tcPr>
            <w:tcW w:w="848" w:type="dxa"/>
            <w:tcBorders>
              <w:top w:val="nil"/>
              <w:left w:val="nil"/>
              <w:bottom w:val="nil"/>
              <w:right w:val="nil"/>
            </w:tcBorders>
            <w:vAlign w:val="center"/>
          </w:tcPr>
          <w:p w14:paraId="7A57F9C4">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0.29</w:t>
            </w:r>
          </w:p>
        </w:tc>
      </w:tr>
      <w:tr w14:paraId="31FB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0E11F9A1">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W4N1</w:t>
            </w:r>
          </w:p>
        </w:tc>
        <w:tc>
          <w:tcPr>
            <w:tcW w:w="1291" w:type="dxa"/>
            <w:tcBorders>
              <w:top w:val="nil"/>
              <w:left w:val="nil"/>
              <w:bottom w:val="nil"/>
              <w:right w:val="nil"/>
            </w:tcBorders>
            <w:vAlign w:val="center"/>
          </w:tcPr>
          <w:p w14:paraId="62A25912">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10581.01ab</w:t>
            </w:r>
          </w:p>
        </w:tc>
        <w:tc>
          <w:tcPr>
            <w:tcW w:w="1477" w:type="dxa"/>
            <w:tcBorders>
              <w:top w:val="nil"/>
              <w:left w:val="nil"/>
              <w:bottom w:val="nil"/>
              <w:right w:val="nil"/>
            </w:tcBorders>
            <w:vAlign w:val="bottom"/>
          </w:tcPr>
          <w:p w14:paraId="0940019A">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809.17a</w:t>
            </w:r>
          </w:p>
        </w:tc>
        <w:tc>
          <w:tcPr>
            <w:tcW w:w="1140" w:type="dxa"/>
            <w:tcBorders>
              <w:top w:val="nil"/>
              <w:left w:val="nil"/>
              <w:bottom w:val="nil"/>
              <w:right w:val="nil"/>
            </w:tcBorders>
            <w:vAlign w:val="bottom"/>
          </w:tcPr>
          <w:p w14:paraId="778A204C">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1.33d</w:t>
            </w:r>
          </w:p>
        </w:tc>
        <w:tc>
          <w:tcPr>
            <w:tcW w:w="1119" w:type="dxa"/>
            <w:tcBorders>
              <w:top w:val="nil"/>
              <w:left w:val="nil"/>
              <w:bottom w:val="nil"/>
              <w:right w:val="nil"/>
            </w:tcBorders>
            <w:vAlign w:val="bottom"/>
          </w:tcPr>
          <w:p w14:paraId="0905FC06">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96.46a</w:t>
            </w:r>
          </w:p>
        </w:tc>
        <w:tc>
          <w:tcPr>
            <w:tcW w:w="1419" w:type="dxa"/>
            <w:tcBorders>
              <w:top w:val="nil"/>
              <w:left w:val="nil"/>
              <w:bottom w:val="nil"/>
              <w:right w:val="nil"/>
            </w:tcBorders>
            <w:vAlign w:val="bottom"/>
          </w:tcPr>
          <w:p w14:paraId="45A221C2">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13985.12cd</w:t>
            </w:r>
          </w:p>
        </w:tc>
        <w:tc>
          <w:tcPr>
            <w:tcW w:w="848" w:type="dxa"/>
            <w:tcBorders>
              <w:top w:val="nil"/>
              <w:left w:val="nil"/>
              <w:bottom w:val="nil"/>
              <w:right w:val="nil"/>
            </w:tcBorders>
            <w:vAlign w:val="center"/>
          </w:tcPr>
          <w:p w14:paraId="77F5F66D">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0.54</w:t>
            </w:r>
          </w:p>
        </w:tc>
      </w:tr>
      <w:tr w14:paraId="1E44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nil"/>
              <w:right w:val="nil"/>
            </w:tcBorders>
            <w:vAlign w:val="center"/>
          </w:tcPr>
          <w:p w14:paraId="1DBAED6A">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W4N2</w:t>
            </w:r>
          </w:p>
        </w:tc>
        <w:tc>
          <w:tcPr>
            <w:tcW w:w="1291" w:type="dxa"/>
            <w:tcBorders>
              <w:top w:val="nil"/>
              <w:left w:val="nil"/>
              <w:bottom w:val="nil"/>
              <w:right w:val="nil"/>
            </w:tcBorders>
            <w:vAlign w:val="center"/>
          </w:tcPr>
          <w:p w14:paraId="2732C58A">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10964.67ab</w:t>
            </w:r>
          </w:p>
        </w:tc>
        <w:tc>
          <w:tcPr>
            <w:tcW w:w="1477" w:type="dxa"/>
            <w:tcBorders>
              <w:top w:val="nil"/>
              <w:left w:val="nil"/>
              <w:bottom w:val="nil"/>
              <w:right w:val="nil"/>
            </w:tcBorders>
            <w:vAlign w:val="bottom"/>
          </w:tcPr>
          <w:p w14:paraId="61D1044A">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817.96a</w:t>
            </w:r>
          </w:p>
        </w:tc>
        <w:tc>
          <w:tcPr>
            <w:tcW w:w="1140" w:type="dxa"/>
            <w:tcBorders>
              <w:top w:val="nil"/>
              <w:left w:val="nil"/>
              <w:bottom w:val="nil"/>
              <w:right w:val="nil"/>
            </w:tcBorders>
            <w:vAlign w:val="bottom"/>
          </w:tcPr>
          <w:p w14:paraId="2A9E7DD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1.37bc</w:t>
            </w:r>
          </w:p>
        </w:tc>
        <w:tc>
          <w:tcPr>
            <w:tcW w:w="1119" w:type="dxa"/>
            <w:tcBorders>
              <w:top w:val="nil"/>
              <w:left w:val="nil"/>
              <w:bottom w:val="nil"/>
              <w:right w:val="nil"/>
            </w:tcBorders>
            <w:vAlign w:val="bottom"/>
          </w:tcPr>
          <w:p w14:paraId="1D4DD38F">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70.83d</w:t>
            </w:r>
          </w:p>
        </w:tc>
        <w:tc>
          <w:tcPr>
            <w:tcW w:w="1419" w:type="dxa"/>
            <w:tcBorders>
              <w:top w:val="nil"/>
              <w:left w:val="nil"/>
              <w:bottom w:val="nil"/>
              <w:right w:val="nil"/>
            </w:tcBorders>
            <w:vAlign w:val="bottom"/>
          </w:tcPr>
          <w:p w14:paraId="4DB9C880">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14458.17b</w:t>
            </w:r>
          </w:p>
        </w:tc>
        <w:tc>
          <w:tcPr>
            <w:tcW w:w="848" w:type="dxa"/>
            <w:tcBorders>
              <w:top w:val="nil"/>
              <w:left w:val="nil"/>
              <w:bottom w:val="nil"/>
              <w:right w:val="nil"/>
            </w:tcBorders>
            <w:vAlign w:val="center"/>
          </w:tcPr>
          <w:p w14:paraId="6B4DAF2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0.49</w:t>
            </w:r>
          </w:p>
        </w:tc>
      </w:tr>
      <w:tr w14:paraId="4020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tcBorders>
              <w:top w:val="nil"/>
              <w:left w:val="nil"/>
              <w:bottom w:val="single" w:color="auto" w:sz="12" w:space="0"/>
              <w:right w:val="nil"/>
            </w:tcBorders>
            <w:vAlign w:val="center"/>
          </w:tcPr>
          <w:p w14:paraId="50869E15">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W4N3</w:t>
            </w:r>
          </w:p>
        </w:tc>
        <w:tc>
          <w:tcPr>
            <w:tcW w:w="1291" w:type="dxa"/>
            <w:tcBorders>
              <w:top w:val="nil"/>
              <w:left w:val="nil"/>
              <w:bottom w:val="single" w:color="auto" w:sz="12" w:space="0"/>
              <w:right w:val="nil"/>
            </w:tcBorders>
            <w:vAlign w:val="center"/>
          </w:tcPr>
          <w:p w14:paraId="576B61CC">
            <w:pPr>
              <w:widowControl/>
              <w:spacing w:before="62" w:beforeLines="20" w:after="62" w:afterLines="20" w:line="240" w:lineRule="auto"/>
              <w:ind w:firstLine="0" w:firstLineChars="0"/>
              <w:jc w:val="left"/>
              <w:rPr>
                <w:rFonts w:hAnsi="Times New Roman"/>
                <w:color w:val="000000"/>
                <w:sz w:val="24"/>
                <w:szCs w:val="24"/>
              </w:rPr>
            </w:pPr>
            <w:r>
              <w:rPr>
                <w:rFonts w:hAnsi="Times New Roman"/>
                <w:color w:val="000000"/>
                <w:sz w:val="24"/>
                <w:szCs w:val="24"/>
                <w:lang w:bidi="ar"/>
              </w:rPr>
              <w:t>10879.55ab</w:t>
            </w:r>
          </w:p>
        </w:tc>
        <w:tc>
          <w:tcPr>
            <w:tcW w:w="1477" w:type="dxa"/>
            <w:tcBorders>
              <w:top w:val="nil"/>
              <w:left w:val="nil"/>
              <w:bottom w:val="single" w:color="auto" w:sz="12" w:space="0"/>
              <w:right w:val="nil"/>
            </w:tcBorders>
            <w:vAlign w:val="bottom"/>
          </w:tcPr>
          <w:p w14:paraId="4D93A49A">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821.47a</w:t>
            </w:r>
          </w:p>
        </w:tc>
        <w:tc>
          <w:tcPr>
            <w:tcW w:w="1140" w:type="dxa"/>
            <w:tcBorders>
              <w:top w:val="nil"/>
              <w:left w:val="nil"/>
              <w:bottom w:val="single" w:color="auto" w:sz="12" w:space="0"/>
              <w:right w:val="nil"/>
            </w:tcBorders>
            <w:vAlign w:val="bottom"/>
          </w:tcPr>
          <w:p w14:paraId="341E8B7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1.40b</w:t>
            </w:r>
          </w:p>
        </w:tc>
        <w:tc>
          <w:tcPr>
            <w:tcW w:w="1119" w:type="dxa"/>
            <w:tcBorders>
              <w:top w:val="nil"/>
              <w:left w:val="nil"/>
              <w:bottom w:val="single" w:color="auto" w:sz="12" w:space="0"/>
              <w:right w:val="nil"/>
            </w:tcBorders>
            <w:vAlign w:val="bottom"/>
          </w:tcPr>
          <w:p w14:paraId="12D89D03">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56.17f</w:t>
            </w:r>
          </w:p>
        </w:tc>
        <w:tc>
          <w:tcPr>
            <w:tcW w:w="1419" w:type="dxa"/>
            <w:tcBorders>
              <w:top w:val="nil"/>
              <w:left w:val="nil"/>
              <w:bottom w:val="single" w:color="auto" w:sz="12" w:space="0"/>
              <w:right w:val="nil"/>
            </w:tcBorders>
            <w:vAlign w:val="bottom"/>
          </w:tcPr>
          <w:p w14:paraId="1B0C3497">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15247.68a</w:t>
            </w:r>
          </w:p>
        </w:tc>
        <w:tc>
          <w:tcPr>
            <w:tcW w:w="848" w:type="dxa"/>
            <w:tcBorders>
              <w:top w:val="nil"/>
              <w:left w:val="nil"/>
              <w:bottom w:val="single" w:color="auto" w:sz="12" w:space="0"/>
              <w:right w:val="nil"/>
            </w:tcBorders>
            <w:vAlign w:val="center"/>
          </w:tcPr>
          <w:p w14:paraId="3E4A36AF">
            <w:pPr>
              <w:widowControl/>
              <w:spacing w:before="62" w:beforeLines="20" w:after="62" w:afterLines="20" w:line="240" w:lineRule="auto"/>
              <w:ind w:firstLine="178"/>
              <w:jc w:val="left"/>
              <w:rPr>
                <w:rFonts w:hAnsi="Times New Roman"/>
                <w:color w:val="000000"/>
                <w:sz w:val="24"/>
                <w:szCs w:val="24"/>
              </w:rPr>
            </w:pPr>
            <w:r>
              <w:rPr>
                <w:rFonts w:hAnsi="Times New Roman"/>
                <w:color w:val="000000"/>
                <w:sz w:val="24"/>
                <w:szCs w:val="24"/>
                <w:lang w:bidi="ar"/>
              </w:rPr>
              <w:t>0.43</w:t>
            </w:r>
          </w:p>
        </w:tc>
      </w:tr>
    </w:tbl>
    <w:p w14:paraId="53F94961">
      <w:pPr>
        <w:spacing w:before="156" w:after="156"/>
        <w:ind w:firstLine="0" w:firstLineChars="0"/>
        <w:rPr>
          <w:highlight w:val="none"/>
        </w:rPr>
      </w:pPr>
      <w:r>
        <w:rPr>
          <w:rFonts w:hint="eastAsia"/>
          <w:highlight w:val="none"/>
        </w:rPr>
        <w:t>Note: Values are the means of three replicates for each treatment. Different lowercase letters indicate significant differences among treatments according to Tukey</w:t>
      </w:r>
      <w:r>
        <w:rPr>
          <w:highlight w:val="none"/>
        </w:rPr>
        <w:t>’</w:t>
      </w:r>
      <w:r>
        <w:rPr>
          <w:rFonts w:hint="eastAsia"/>
          <w:highlight w:val="none"/>
        </w:rPr>
        <w:t>s HSD multiple comparison test (</w:t>
      </w:r>
      <w:r>
        <w:rPr>
          <w:i/>
          <w:iCs/>
          <w:highlight w:val="none"/>
        </w:rPr>
        <w:t>P</w:t>
      </w:r>
      <w:r>
        <w:rPr>
          <w:rFonts w:hint="eastAsia"/>
          <w:highlight w:val="none"/>
        </w:rPr>
        <w:t xml:space="preserve"> &lt; 0.05). W1, W2, W3, and W4 represent controlled irrigation treatments with lower limits of volumetric soil water content of 60%, 70%, 80%, and 90%, respectively. N0, N1, N2, and N3 represent nitrogen application rates of 0, 110, 155, and 200 kg/ha, respectively. Partial factor productivity of nitrogen is undefined under the N0 treatment; therefore, this index does not include the N0 treatment.</w:t>
      </w:r>
    </w:p>
    <w:p w14:paraId="4E90654C">
      <w:pPr>
        <w:spacing w:before="156" w:after="156"/>
        <w:ind w:left="0" w:leftChars="0" w:firstLine="0" w:firstLineChars="0"/>
        <w:jc w:val="left"/>
        <w:rPr>
          <w:rFonts w:hAnsi="Times New Roman"/>
          <w:position w:val="-30"/>
        </w:rPr>
      </w:pPr>
    </w:p>
    <w:p w14:paraId="4CC0F659">
      <w:pPr>
        <w:spacing w:before="156" w:after="156"/>
        <w:ind w:left="0" w:leftChars="0" w:firstLine="0" w:firstLineChars="0"/>
        <w:jc w:val="center"/>
        <w:rPr>
          <w:rFonts w:hint="eastAsia" w:hAnsi="Times New Roman"/>
          <w:position w:val="-30"/>
          <w:sz w:val="36"/>
          <w:szCs w:val="36"/>
        </w:rPr>
      </w:pPr>
      <w:bookmarkStart w:id="0" w:name="_GoBack"/>
      <w:bookmarkEnd w:id="0"/>
      <w:r>
        <w:rPr>
          <w:rFonts w:hint="eastAsia" w:hAnsi="Times New Roman"/>
          <w:position w:val="-30"/>
          <w:sz w:val="36"/>
          <w:szCs w:val="36"/>
        </w:rPr>
        <w:t>Supplementary References</w:t>
      </w:r>
    </w:p>
    <w:p w14:paraId="341402B2">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Huete, A.R., 1988. A soil-adjusted vegetation index (SAVI). Remote Sens. Environ. 25, 295–309. https://doi.org/10.1016/0034-4257(88)90106-X</w:t>
      </w:r>
    </w:p>
    <w:p w14:paraId="2E038286">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Huete, A., Didan, K., Miura, T., Rodriguez, E.P., Gao, X., Ferreira, L.G., 2002. Overview of the radiometric and biophysical performance of the MODIS vegetation indices. Remote Sens. Environ. 83, 195–213. https://doi.org/10.1016/S0034-4257(02)00096-2</w:t>
      </w:r>
    </w:p>
    <w:p w14:paraId="637E9108">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Jackson, R.D., Idso, S.B., Reginato, R.J., Pinter, P.J., 1981. Canopy temperature as a crop water stress indicator. Water Resour. Res. 17(4), 1133–1138. https://doi.org/10.1029/WR017i004p01133</w:t>
      </w:r>
    </w:p>
    <w:p w14:paraId="7D29AD5E">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Rouse, J.W., Haas, R.H., Schell, J.A., Deering, D.W., 1974. Monitoring vegetation systems in the Great Plains with ERTS. In: Third Earth Resources Technology Satellite-1 Symposium, vol. 1, pp. 309–317.</w:t>
      </w:r>
    </w:p>
    <w:p w14:paraId="2B90CB28">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Verrelst, J., Schaepman, M.E., Koetz, B., Kneubühler, M., 2008. Angular sensitivity analysis of vegetation indices derived from CHRIS/PROBA data. Remote Sens. Environ. 112(5), 2341–2353. https://doi.org/10.1016/j.rse.2007.11.001</w:t>
      </w:r>
    </w:p>
    <w:p w14:paraId="2608BF79">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Wang, Z.X., Liu, C., Huete, A., 2003. From AVHRR-NDVI to MODIS-EVI: Advances in vegetation index research. Acta Ecol. Sin. 23, 979–987.</w:t>
      </w:r>
    </w:p>
    <w:p w14:paraId="08F5FC95">
      <w:pPr>
        <w:spacing w:before="156" w:after="156"/>
        <w:ind w:left="0" w:leftChars="0" w:firstLine="0" w:firstLineChars="0"/>
        <w:jc w:val="both"/>
        <w:rPr>
          <w:rFonts w:hint="eastAsia" w:hAnsi="Times New Roman"/>
          <w:position w:val="-30"/>
          <w:sz w:val="28"/>
          <w:szCs w:val="28"/>
        </w:rPr>
      </w:pPr>
      <w:r>
        <w:rPr>
          <w:rFonts w:hint="eastAsia" w:hAnsi="Times New Roman"/>
          <w:position w:val="-30"/>
          <w:sz w:val="28"/>
          <w:szCs w:val="28"/>
        </w:rPr>
        <w:t>Zhang, L., Niu, Y., Zhang, H., Han, W., Li, G., Tang, J., Peng, X., 2019. Maize canopy temperature extracted from UAV thermal and RGB imagery and its application in water stress monitoring. Front. Plant Sci. 10, 1270. https://doi.org/10.3389/fpls.2019.01270</w:t>
      </w:r>
    </w:p>
    <w:p w14:paraId="637C39C6"/>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04"/>
      </w:pPr>
      <w:r>
        <w:separator/>
      </w:r>
    </w:p>
  </w:endnote>
  <w:endnote w:type="continuationSeparator" w:id="1">
    <w:p>
      <w:pPr>
        <w:spacing w:line="240" w:lineRule="auto"/>
        <w:ind w:firstLine="20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204"/>
      </w:pPr>
      <w:r>
        <w:separator/>
      </w:r>
    </w:p>
  </w:footnote>
  <w:footnote w:type="continuationSeparator" w:id="1">
    <w:p>
      <w:pPr>
        <w:spacing w:before="0" w:after="0" w:line="360" w:lineRule="auto"/>
        <w:ind w:firstLine="204"/>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9344B"/>
    <w:multiLevelType w:val="singleLevel"/>
    <w:tmpl w:val="3E69344B"/>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277A8"/>
    <w:rsid w:val="01C118C6"/>
    <w:rsid w:val="02B55544"/>
    <w:rsid w:val="034E7281"/>
    <w:rsid w:val="045A07E4"/>
    <w:rsid w:val="04675373"/>
    <w:rsid w:val="05273E55"/>
    <w:rsid w:val="053C31DA"/>
    <w:rsid w:val="06187963"/>
    <w:rsid w:val="062E67FC"/>
    <w:rsid w:val="06596FAD"/>
    <w:rsid w:val="06BC6986"/>
    <w:rsid w:val="06C35109"/>
    <w:rsid w:val="06F42AC3"/>
    <w:rsid w:val="07172F45"/>
    <w:rsid w:val="074D2D34"/>
    <w:rsid w:val="07513D63"/>
    <w:rsid w:val="080A0B4A"/>
    <w:rsid w:val="083A1908"/>
    <w:rsid w:val="08471695"/>
    <w:rsid w:val="084826C2"/>
    <w:rsid w:val="08825AFD"/>
    <w:rsid w:val="09136B48"/>
    <w:rsid w:val="0AF76067"/>
    <w:rsid w:val="0B0F299D"/>
    <w:rsid w:val="0B35595E"/>
    <w:rsid w:val="0B510B9B"/>
    <w:rsid w:val="0B6D2EF8"/>
    <w:rsid w:val="0BDE6F3F"/>
    <w:rsid w:val="0C7570E3"/>
    <w:rsid w:val="0C7D7143"/>
    <w:rsid w:val="0C9B6363"/>
    <w:rsid w:val="0D6D1FAA"/>
    <w:rsid w:val="0D705975"/>
    <w:rsid w:val="0F3F20CE"/>
    <w:rsid w:val="0F4438B3"/>
    <w:rsid w:val="0FA02F74"/>
    <w:rsid w:val="0FB01F53"/>
    <w:rsid w:val="100462A4"/>
    <w:rsid w:val="11486BC7"/>
    <w:rsid w:val="116D6053"/>
    <w:rsid w:val="1223075D"/>
    <w:rsid w:val="12A303AB"/>
    <w:rsid w:val="12C958EA"/>
    <w:rsid w:val="14F61ED3"/>
    <w:rsid w:val="16266269"/>
    <w:rsid w:val="165468DD"/>
    <w:rsid w:val="16C33CD0"/>
    <w:rsid w:val="17A75D4C"/>
    <w:rsid w:val="17C51310"/>
    <w:rsid w:val="17CD49CB"/>
    <w:rsid w:val="17D85CF7"/>
    <w:rsid w:val="17EF3322"/>
    <w:rsid w:val="187E26D8"/>
    <w:rsid w:val="19235F91"/>
    <w:rsid w:val="193C7538"/>
    <w:rsid w:val="19792F45"/>
    <w:rsid w:val="19BC2DAD"/>
    <w:rsid w:val="1A373492"/>
    <w:rsid w:val="1AE83020"/>
    <w:rsid w:val="1B0F4550"/>
    <w:rsid w:val="1B3700D5"/>
    <w:rsid w:val="1B6D1509"/>
    <w:rsid w:val="1BA95240"/>
    <w:rsid w:val="1CBA6C0D"/>
    <w:rsid w:val="1D683071"/>
    <w:rsid w:val="1ECB7DF7"/>
    <w:rsid w:val="1F290E96"/>
    <w:rsid w:val="1F676C3A"/>
    <w:rsid w:val="20CE1B4F"/>
    <w:rsid w:val="20D33EAD"/>
    <w:rsid w:val="20D529C8"/>
    <w:rsid w:val="214A44E5"/>
    <w:rsid w:val="21647C06"/>
    <w:rsid w:val="217A5B78"/>
    <w:rsid w:val="219B4EED"/>
    <w:rsid w:val="21B52B49"/>
    <w:rsid w:val="22EF425D"/>
    <w:rsid w:val="23742618"/>
    <w:rsid w:val="23953177"/>
    <w:rsid w:val="23D11B74"/>
    <w:rsid w:val="25C57F76"/>
    <w:rsid w:val="26295265"/>
    <w:rsid w:val="268428AA"/>
    <w:rsid w:val="26A61C85"/>
    <w:rsid w:val="26BE379D"/>
    <w:rsid w:val="275C0D93"/>
    <w:rsid w:val="28243AD4"/>
    <w:rsid w:val="28C130D1"/>
    <w:rsid w:val="290F2888"/>
    <w:rsid w:val="2A4F216C"/>
    <w:rsid w:val="2BAF5365"/>
    <w:rsid w:val="2C51186F"/>
    <w:rsid w:val="2D2520DA"/>
    <w:rsid w:val="2D2F6099"/>
    <w:rsid w:val="2E1C603D"/>
    <w:rsid w:val="2E4E7E3F"/>
    <w:rsid w:val="2E535262"/>
    <w:rsid w:val="2EB72624"/>
    <w:rsid w:val="2EF870E5"/>
    <w:rsid w:val="2F195B8C"/>
    <w:rsid w:val="2F3517DE"/>
    <w:rsid w:val="2F6847D4"/>
    <w:rsid w:val="31E70342"/>
    <w:rsid w:val="3248332A"/>
    <w:rsid w:val="327731DE"/>
    <w:rsid w:val="32986ABB"/>
    <w:rsid w:val="33310B16"/>
    <w:rsid w:val="336747D4"/>
    <w:rsid w:val="33CE054B"/>
    <w:rsid w:val="340D559B"/>
    <w:rsid w:val="350514A9"/>
    <w:rsid w:val="3515212D"/>
    <w:rsid w:val="3530608B"/>
    <w:rsid w:val="35B50461"/>
    <w:rsid w:val="36002857"/>
    <w:rsid w:val="36145188"/>
    <w:rsid w:val="36414C8A"/>
    <w:rsid w:val="3763389D"/>
    <w:rsid w:val="37AB23A9"/>
    <w:rsid w:val="37C17290"/>
    <w:rsid w:val="37E01822"/>
    <w:rsid w:val="38224F00"/>
    <w:rsid w:val="384E38F0"/>
    <w:rsid w:val="38BD14CA"/>
    <w:rsid w:val="38D03858"/>
    <w:rsid w:val="39763A64"/>
    <w:rsid w:val="39DE7F87"/>
    <w:rsid w:val="39E958BC"/>
    <w:rsid w:val="39FF2F6E"/>
    <w:rsid w:val="3A566A27"/>
    <w:rsid w:val="3A7C7169"/>
    <w:rsid w:val="3B2B2557"/>
    <w:rsid w:val="3B6F1C3D"/>
    <w:rsid w:val="3CC44E7D"/>
    <w:rsid w:val="3DBF1A26"/>
    <w:rsid w:val="3DEB7C6F"/>
    <w:rsid w:val="3E3F27D6"/>
    <w:rsid w:val="3EB51308"/>
    <w:rsid w:val="3F3D2265"/>
    <w:rsid w:val="3FBA4107"/>
    <w:rsid w:val="3FC9278E"/>
    <w:rsid w:val="40CF1F3D"/>
    <w:rsid w:val="41DA0001"/>
    <w:rsid w:val="429C0749"/>
    <w:rsid w:val="42AD2961"/>
    <w:rsid w:val="42D524E0"/>
    <w:rsid w:val="44BC2F42"/>
    <w:rsid w:val="44D02189"/>
    <w:rsid w:val="45980025"/>
    <w:rsid w:val="47B1479B"/>
    <w:rsid w:val="4838785F"/>
    <w:rsid w:val="48F277A8"/>
    <w:rsid w:val="49A12AC4"/>
    <w:rsid w:val="49A80E2F"/>
    <w:rsid w:val="4A5A75CD"/>
    <w:rsid w:val="4AEE6103"/>
    <w:rsid w:val="4BB5639C"/>
    <w:rsid w:val="4BF66643"/>
    <w:rsid w:val="4DAD65EF"/>
    <w:rsid w:val="4E755A1A"/>
    <w:rsid w:val="4E893423"/>
    <w:rsid w:val="4FDB49B8"/>
    <w:rsid w:val="51075D51"/>
    <w:rsid w:val="5185710E"/>
    <w:rsid w:val="520850C0"/>
    <w:rsid w:val="526A7925"/>
    <w:rsid w:val="52D2386A"/>
    <w:rsid w:val="537C0657"/>
    <w:rsid w:val="53BA1940"/>
    <w:rsid w:val="5587343E"/>
    <w:rsid w:val="5797131D"/>
    <w:rsid w:val="57CA2A60"/>
    <w:rsid w:val="581A34CE"/>
    <w:rsid w:val="58B94D58"/>
    <w:rsid w:val="58BA4DCB"/>
    <w:rsid w:val="598056A3"/>
    <w:rsid w:val="5A6C03A3"/>
    <w:rsid w:val="5A8972E1"/>
    <w:rsid w:val="5B4D1D14"/>
    <w:rsid w:val="5B795C4F"/>
    <w:rsid w:val="5BFA37A2"/>
    <w:rsid w:val="5C114F8C"/>
    <w:rsid w:val="5CE17E07"/>
    <w:rsid w:val="5D175DAB"/>
    <w:rsid w:val="5D22718D"/>
    <w:rsid w:val="5DEC4171"/>
    <w:rsid w:val="5DFB3FA8"/>
    <w:rsid w:val="5E302FAA"/>
    <w:rsid w:val="5EC073AC"/>
    <w:rsid w:val="5F2B7EA7"/>
    <w:rsid w:val="5F8C1714"/>
    <w:rsid w:val="5F901E4E"/>
    <w:rsid w:val="5FD81ECA"/>
    <w:rsid w:val="60A52779"/>
    <w:rsid w:val="61451750"/>
    <w:rsid w:val="629E32DC"/>
    <w:rsid w:val="637108FF"/>
    <w:rsid w:val="63BA0675"/>
    <w:rsid w:val="63EC3837"/>
    <w:rsid w:val="64505BE2"/>
    <w:rsid w:val="64AC4960"/>
    <w:rsid w:val="64B769A8"/>
    <w:rsid w:val="64F0304B"/>
    <w:rsid w:val="67102AD7"/>
    <w:rsid w:val="67602B70"/>
    <w:rsid w:val="680B38AB"/>
    <w:rsid w:val="68435151"/>
    <w:rsid w:val="68B85643"/>
    <w:rsid w:val="6A31030F"/>
    <w:rsid w:val="6A981669"/>
    <w:rsid w:val="6B0C2500"/>
    <w:rsid w:val="6BEF6248"/>
    <w:rsid w:val="6CA764F0"/>
    <w:rsid w:val="70D867D7"/>
    <w:rsid w:val="71F83CEB"/>
    <w:rsid w:val="733B648C"/>
    <w:rsid w:val="73661A35"/>
    <w:rsid w:val="738D150C"/>
    <w:rsid w:val="74351337"/>
    <w:rsid w:val="751414A6"/>
    <w:rsid w:val="75CD3301"/>
    <w:rsid w:val="75FD2196"/>
    <w:rsid w:val="77374D71"/>
    <w:rsid w:val="77554A26"/>
    <w:rsid w:val="775737DA"/>
    <w:rsid w:val="77987E44"/>
    <w:rsid w:val="7945303A"/>
    <w:rsid w:val="7AF406B1"/>
    <w:rsid w:val="7B252A9E"/>
    <w:rsid w:val="7B34262E"/>
    <w:rsid w:val="7BBA4755"/>
    <w:rsid w:val="7BE02607"/>
    <w:rsid w:val="7C4A1FD6"/>
    <w:rsid w:val="7C670314"/>
    <w:rsid w:val="7C94724B"/>
    <w:rsid w:val="7E32733E"/>
    <w:rsid w:val="7EAA2BA5"/>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157" w:beforeLines="50" w:after="157" w:afterLines="50" w:line="360" w:lineRule="auto"/>
      <w:ind w:firstLine="204" w:firstLineChars="85"/>
      <w:jc w:val="both"/>
    </w:pPr>
    <w:rPr>
      <w:rFonts w:ascii="Times New Roman" w:hAnsi="Calibri" w:eastAsia="宋体" w:cs="Times New Roman"/>
      <w:sz w:val="24"/>
      <w:lang w:val="en-US" w:eastAsia="zh-CN" w:bidi="ar-SA"/>
    </w:rPr>
  </w:style>
  <w:style w:type="paragraph" w:styleId="2">
    <w:name w:val="heading 3"/>
    <w:next w:val="1"/>
    <w:unhideWhenUsed/>
    <w:qFormat/>
    <w:uiPriority w:val="0"/>
    <w:pPr>
      <w:keepNext/>
      <w:keepLines/>
      <w:widowControl w:val="0"/>
      <w:spacing w:before="10" w:after="10" w:line="360" w:lineRule="auto"/>
      <w:jc w:val="both"/>
      <w:outlineLvl w:val="2"/>
    </w:pPr>
    <w:rPr>
      <w:rFonts w:ascii="Times New Roman" w:hAnsi="Times New Roman" w:eastAsia="宋体" w:cs="Times New Roman"/>
      <w:color w:val="000000" w:themeColor="text1"/>
      <w:kern w:val="2"/>
      <w:sz w:val="28"/>
      <w:szCs w:val="28"/>
      <w:lang w:val="en-US" w:eastAsia="zh-CN" w:bidi="ar-SA"/>
      <w14:textFill>
        <w14:solidFill>
          <w14:schemeClr w14:val="tx1"/>
        </w14:solidFill>
      </w14:textFill>
    </w:rPr>
  </w:style>
  <w:style w:type="paragraph" w:styleId="3">
    <w:name w:val="heading 4"/>
    <w:next w:val="1"/>
    <w:unhideWhenUsed/>
    <w:qFormat/>
    <w:uiPriority w:val="0"/>
    <w:pPr>
      <w:keepNext/>
      <w:keepLines/>
      <w:widowControl w:val="0"/>
      <w:spacing w:before="10" w:after="10" w:line="360" w:lineRule="auto"/>
      <w:jc w:val="both"/>
      <w:outlineLvl w:val="3"/>
    </w:pPr>
    <w:rPr>
      <w:rFonts w:ascii="Times New Roman" w:hAnsi="Times New Roman" w:eastAsia="宋体" w:cs="Times New Roman"/>
      <w:kern w:val="2"/>
      <w:sz w:val="28"/>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MTDisplayEquation"/>
    <w:basedOn w:val="1"/>
    <w:next w:val="1"/>
    <w:qFormat/>
    <w:uiPriority w:val="0"/>
    <w:pPr>
      <w:tabs>
        <w:tab w:val="center" w:pos="5240"/>
        <w:tab w:val="right" w:pos="10460"/>
      </w:tabs>
      <w:spacing w:before="150" w:beforeLines="150" w:after="150" w:afterLines="150" w:line="240" w:lineRule="auto"/>
    </w:pPr>
    <w:rPr>
      <w:rFonts w:hAnsi="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image" Target="media/image24.wmf"/><Relationship Id="rId52" Type="http://schemas.openxmlformats.org/officeDocument/2006/relationships/oleObject" Target="embeddings/oleObject24.bin"/><Relationship Id="rId51" Type="http://schemas.openxmlformats.org/officeDocument/2006/relationships/image" Target="media/image23.w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wmf"/><Relationship Id="rId48" Type="http://schemas.openxmlformats.org/officeDocument/2006/relationships/oleObject" Target="embeddings/oleObject22.bin"/><Relationship Id="rId47" Type="http://schemas.openxmlformats.org/officeDocument/2006/relationships/image" Target="media/image21.wmf"/><Relationship Id="rId46" Type="http://schemas.openxmlformats.org/officeDocument/2006/relationships/oleObject" Target="embeddings/oleObject21.bin"/><Relationship Id="rId45" Type="http://schemas.openxmlformats.org/officeDocument/2006/relationships/image" Target="media/image20.wmf"/><Relationship Id="rId44" Type="http://schemas.openxmlformats.org/officeDocument/2006/relationships/oleObject" Target="embeddings/oleObject20.bin"/><Relationship Id="rId43" Type="http://schemas.openxmlformats.org/officeDocument/2006/relationships/image" Target="media/image19.wmf"/><Relationship Id="rId42" Type="http://schemas.openxmlformats.org/officeDocument/2006/relationships/oleObject" Target="embeddings/oleObject19.bin"/><Relationship Id="rId41" Type="http://schemas.openxmlformats.org/officeDocument/2006/relationships/image" Target="media/image18.wmf"/><Relationship Id="rId40" Type="http://schemas.openxmlformats.org/officeDocument/2006/relationships/oleObject" Target="embeddings/oleObject18.bin"/><Relationship Id="rId4" Type="http://schemas.openxmlformats.org/officeDocument/2006/relationships/endnotes" Target="endnotes.xml"/><Relationship Id="rId39" Type="http://schemas.openxmlformats.org/officeDocument/2006/relationships/image" Target="media/image17.wmf"/><Relationship Id="rId38" Type="http://schemas.openxmlformats.org/officeDocument/2006/relationships/oleObject" Target="embeddings/oleObject17.bin"/><Relationship Id="rId37" Type="http://schemas.openxmlformats.org/officeDocument/2006/relationships/image" Target="media/image16.wmf"/><Relationship Id="rId36" Type="http://schemas.openxmlformats.org/officeDocument/2006/relationships/oleObject" Target="embeddings/oleObject16.bin"/><Relationship Id="rId35" Type="http://schemas.openxmlformats.org/officeDocument/2006/relationships/image" Target="media/image15.wmf"/><Relationship Id="rId34" Type="http://schemas.openxmlformats.org/officeDocument/2006/relationships/oleObject" Target="embeddings/oleObject15.bin"/><Relationship Id="rId33" Type="http://schemas.openxmlformats.org/officeDocument/2006/relationships/image" Target="media/image14.wmf"/><Relationship Id="rId32" Type="http://schemas.openxmlformats.org/officeDocument/2006/relationships/oleObject" Target="embeddings/oleObject14.bin"/><Relationship Id="rId31" Type="http://schemas.openxmlformats.org/officeDocument/2006/relationships/image" Target="media/image13.wmf"/><Relationship Id="rId30" Type="http://schemas.openxmlformats.org/officeDocument/2006/relationships/oleObject" Target="embeddings/oleObject13.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2.bin"/><Relationship Id="rId27" Type="http://schemas.openxmlformats.org/officeDocument/2006/relationships/image" Target="media/image11.wmf"/><Relationship Id="rId26" Type="http://schemas.openxmlformats.org/officeDocument/2006/relationships/oleObject" Target="embeddings/oleObject11.bin"/><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2564</Words>
  <Characters>14100</Characters>
  <Lines>0</Lines>
  <Paragraphs>0</Paragraphs>
  <TotalTime>14</TotalTime>
  <ScaleCrop>false</ScaleCrop>
  <LinksUpToDate>false</LinksUpToDate>
  <CharactersWithSpaces>16396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2026-06-22T05:31:00Z</dcterms:created>
  <dc:creator>heongy</dc:creator>
  <cp:lastModifiedBy>heongy</cp:lastModifiedBy>
  <dcterms:modified xsi:type="dcterms:W3CDTF">2026-08-04T04:11:00Z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E49C2EC0DA2042CEABE680E916FF6BAD_13</vt:lpwstr>
  </property>
  <property fmtid="{D5CDD505-2E9C-101B-9397-08002B2CF9AE}" pid="4" name="KSOTemplateDocerSaveRecord">
    <vt:lpwstr>eyJoZGlkIjoiNmNlMWZjYjgyNWZhZTIxNDVmNGMyMjMyMWI3MDRmNTUiLCJ1c2VySWQiOiI3OTExMjYyODkifQ==</vt:lpwstr>
  </property>
</Properties>
</file>