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6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Additional file 1. Study questionnaire (English)</w:t>
      </w:r>
    </w:p>
    <w:p>
      <w:pPr>
        <w:spacing w:after="8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Manuscript: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Effectiveness of DiaWell, an artificial intelligence–based smartphone application, on glycaemic control and quality of life among patients with type 2 diabetes mellitus: a quasi-experimental study from South India.</w:t>
      </w:r>
    </w:p>
    <w:p>
      <w:pPr>
        <w:spacing w:after="80" w:line="360" w:lineRule="auto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80" w:line="360" w:lineRule="auto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Note on instrument provenance.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Parts 1 and 2 below constitute the semi-structured questionnaire developed by the investigators for this study. Part 3 of the data collection instrument used the World Health Organization Quality of Life – BREF (WHOQOL-BREF) scale, which is a previously published and internationally validated instrument (Skevington SM, Lotfy M, O'Connell KA; WHOQOL Group. Qual Life Res. 2004;13(2):299–310). The WHOQOL-BREF is subject to World Health Organization copyright and licensing and is therefore cited rather than reproduced here; it was administered in full (26 items, four domains) exactly as published, with domain scores transformed to a 0–100 scale.</w:t>
      </w:r>
    </w:p>
    <w:p>
      <w:pPr>
        <w:spacing w:after="80" w:line="360" w:lineRule="auto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pStyle w:val="Heading1"/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Part 1: Socio-demographic profile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200"/>
        <w:gridCol w:w="5460"/>
      </w:tblGrid>
      <w:tr>
        <w:trPr>
          <w:tblHeader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No.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Response options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Name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text; removed at analysis for de-identification)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Age (in completed years)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text, years)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Gender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Male / Female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Religion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Hindu / Muslim / Christian / Others (specify)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Address with contact number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text; removed at analysis for de-identification)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Marital status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Married / Unmarried / Widowed / Divorced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Highest educational qualification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Illiterate / Primary school / Middle school / High school / Intermediate or diploma / Graduate / Professional or postgraduate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8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Occupation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Homemaker / Unskilled / Skilled / Clerical, shop or farm / Semi-professional / Professional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9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Family structure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Nuclear / Joint / Three generation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10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Annual family income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text, INR)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11</w:t>
            </w:r>
          </w:p>
        </w:tc>
        <w:tc>
          <w:tcPr>
            <w:tcW w:type="dxa" w:w="32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Total family members</w:t>
            </w:r>
          </w:p>
        </w:tc>
        <w:tc>
          <w:tcPr>
            <w:tcW w:type="dxa" w:w="54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text, number)</w:t>
            </w:r>
          </w:p>
        </w:tc>
      </w:tr>
    </w:tbl>
    <w:p>
      <w:pPr>
        <w:spacing w:after="80" w:line="360" w:lineRule="auto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Socioeconomic status was subsequently classified using the updated B.G. Prasad classification, derived from per-capita monthly income (items 10 and 11).</w:t>
      </w:r>
    </w:p>
    <w:p>
      <w:pPr>
        <w:pStyle w:val="Heading1"/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Part 2: Anthropometry and diabetes-related details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800"/>
        <w:gridCol w:w="4860"/>
      </w:tblGrid>
      <w:tr>
        <w:trPr>
          <w:tblHeader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No.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Item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2"/>
                <w:szCs w:val="22"/>
              </w:rPr>
              <w:t xml:space="preserve">Response options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Height (in cm)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(measured, cm)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Weight (in kg)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(measured, kg)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3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Family history of diabetes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Yes / No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4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Duration of type 2 diabetes since diagnosis (in years)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text, years)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5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Current treatment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Oral / Insulin / Both / Currently not on treatment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6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How frequently do you check your blood glucose levels?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Daily / Weekly / Monthly</w:t>
            </w:r>
          </w:p>
        </w:tc>
      </w:tr>
      <w:tr>
        <w:trPr>
          <w:tblHeader w:val="false"/>
        </w:trPr>
        <w:tc>
          <w:tcPr>
            <w:tcW w:type="dxa" w:w="7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7</w:t>
            </w:r>
          </w:p>
        </w:tc>
        <w:tc>
          <w:tcPr>
            <w:tcW w:type="dxa" w:w="380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Last checked HbA1c value (%)</w:t>
            </w:r>
          </w:p>
        </w:tc>
        <w:tc>
          <w:tcPr>
            <w:tcW w:type="dxa" w:w="4860"/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22"/>
                <w:szCs w:val="22"/>
              </w:rPr>
              <w:t xml:space="preserve">(free text, %)</w:t>
            </w:r>
          </w:p>
        </w:tc>
      </w:tr>
    </w:tbl>
    <w:p>
      <w:pPr>
        <w:spacing w:after="80" w:line="360" w:lineRule="auto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Body mass index (kg/m²) was calculated from items 1 and 2 and categorised according to World Health Organization Asia-Pacific cut-offs. HbA1c was additionally measured in the hospital laboratory using an automated analyser at baseline and at six months.</w:t>
      </w:r>
    </w:p>
    <w:p>
      <w:pPr>
        <w:pStyle w:val="Heading1"/>
        <w:spacing w:after="120" w:before="20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Part 3: Quality of life</w:t>
      </w:r>
    </w:p>
    <w:p>
      <w:pPr>
        <w:spacing w:after="80" w:line="360" w:lineRule="auto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Assessed using the WHOQOL-BREF instrument (26 items; physical, psychological, social relationships, and environmental domains, plus two general items), administered in full as published. Reference: Skevington SM, Lotfy M, O'Connell KA; WHOQOL Group. The World Health Organization's WHOQOL-BREF quality of life assessment: psychometric properties and results of the international field trial. A report from the WHOQOL group. Qual Life Res. 2004;13(2):299–310. Not reproduced here owing to World Health Organization copyright and licensing.</w:t>
      </w:r>
    </w:p>
    <w:sectPr>
      <w:pgSz w:w="11906" w:h="16838" w:orient="portrait"/>
      <w:pgMar w:top="1440" w:right="1080" w:bottom="144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Additional file 1</dc:title>
  <dc:creator>JSS Medical College</dc:creator>
  <cp:lastModifiedBy>Un-named</cp:lastModifiedBy>
  <cp:revision>1</cp:revision>
  <dcterms:created xsi:type="dcterms:W3CDTF">2026-08-10T17:17:12.910Z</dcterms:created>
  <dcterms:modified xsi:type="dcterms:W3CDTF">2026-08-10T17:17:12.910Z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