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EC7CF">
      <w:pPr>
        <w:spacing w:before="480" w:after="240" w:line="480" w:lineRule="auto"/>
        <w:jc w:val="center"/>
      </w:pPr>
      <w:r>
        <w:rPr>
          <w:rFonts w:ascii="Times New Roman" w:hAnsi="Times New Roman"/>
          <w:b/>
          <w:sz w:val="28"/>
        </w:rPr>
        <w:t>Supplementary Materials</w:t>
      </w:r>
    </w:p>
    <w:p w14:paraId="0EBF284E">
      <w:pPr>
        <w:spacing w:before="360" w:after="120" w:line="480" w:lineRule="auto"/>
      </w:pPr>
      <w:r>
        <w:rPr>
          <w:rFonts w:ascii="Times New Roman" w:hAnsi="Times New Roman"/>
          <w:b/>
          <w:sz w:val="24"/>
        </w:rPr>
        <w:t>S1 Table: Scale Items and Descriptive Statistics</w:t>
      </w:r>
    </w:p>
    <w:p w14:paraId="01FD5529">
      <w:pPr>
        <w:spacing w:before="0" w:after="120" w:line="480" w:lineRule="auto"/>
      </w:pPr>
      <w:r>
        <w:rPr>
          <w:rFonts w:ascii="Times New Roman" w:hAnsi="Times New Roman"/>
          <w:b w:val="0"/>
          <w:i w:val="0"/>
          <w:sz w:val="24"/>
        </w:rPr>
        <w:t>The scale comprises 22 items across four dimensions (PV = Perceptual Vividness: 6 items; TN = Temporal Narration: 6 items; SO = Social Occupancy: 5 items; AG = Aesthetic Kinesthetic Grounding: 5 items), rated on a 7-point Likert scale (1 = strongly disagree, 7 = strongly agree).</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3379"/>
        <w:gridCol w:w="795"/>
        <w:gridCol w:w="820"/>
        <w:gridCol w:w="795"/>
        <w:gridCol w:w="815"/>
        <w:gridCol w:w="795"/>
        <w:gridCol w:w="1234"/>
      </w:tblGrid>
      <w:tr w14:paraId="2CF3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727" w:type="dxa"/>
            <w:vAlign w:val="center"/>
          </w:tcPr>
          <w:p w14:paraId="498AAE77">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Item</w:t>
            </w:r>
          </w:p>
        </w:tc>
        <w:tc>
          <w:tcPr>
            <w:tcW w:w="3379" w:type="dxa"/>
            <w:vAlign w:val="center"/>
          </w:tcPr>
          <w:p w14:paraId="661EFD0D">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Dimension</w:t>
            </w:r>
          </w:p>
        </w:tc>
        <w:tc>
          <w:tcPr>
            <w:tcW w:w="795" w:type="dxa"/>
            <w:vAlign w:val="center"/>
          </w:tcPr>
          <w:p w14:paraId="2CF21D0B">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M_A</w:t>
            </w:r>
          </w:p>
        </w:tc>
        <w:tc>
          <w:tcPr>
            <w:tcW w:w="820" w:type="dxa"/>
            <w:vAlign w:val="center"/>
          </w:tcPr>
          <w:p w14:paraId="03F17D3D">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SD_A</w:t>
            </w:r>
          </w:p>
        </w:tc>
        <w:tc>
          <w:tcPr>
            <w:tcW w:w="795" w:type="dxa"/>
            <w:vAlign w:val="center"/>
          </w:tcPr>
          <w:p w14:paraId="0E1999BA">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M_B</w:t>
            </w:r>
          </w:p>
        </w:tc>
        <w:tc>
          <w:tcPr>
            <w:tcW w:w="815" w:type="dxa"/>
            <w:vAlign w:val="center"/>
          </w:tcPr>
          <w:p w14:paraId="4627DE1A">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SD_B</w:t>
            </w:r>
          </w:p>
        </w:tc>
        <w:tc>
          <w:tcPr>
            <w:tcW w:w="795" w:type="dxa"/>
            <w:vAlign w:val="center"/>
          </w:tcPr>
          <w:p w14:paraId="0AEBB2DC">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ΔM</w:t>
            </w:r>
          </w:p>
        </w:tc>
        <w:tc>
          <w:tcPr>
            <w:tcW w:w="1233" w:type="dxa"/>
            <w:vAlign w:val="center"/>
          </w:tcPr>
          <w:p w14:paraId="2380B675">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Cohen's dz</w:t>
            </w:r>
          </w:p>
        </w:tc>
      </w:tr>
      <w:tr w14:paraId="2BAA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359602B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w:t>
            </w:r>
          </w:p>
        </w:tc>
        <w:tc>
          <w:tcPr>
            <w:tcW w:w="3379" w:type="dxa"/>
            <w:vAlign w:val="center"/>
          </w:tcPr>
          <w:p w14:paraId="506F305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PV (Perceptual Vividness)</w:t>
            </w:r>
          </w:p>
        </w:tc>
        <w:tc>
          <w:tcPr>
            <w:tcW w:w="795" w:type="dxa"/>
            <w:vAlign w:val="center"/>
          </w:tcPr>
          <w:p w14:paraId="696BF0CD">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4.283</w:t>
            </w:r>
          </w:p>
        </w:tc>
        <w:tc>
          <w:tcPr>
            <w:tcW w:w="820" w:type="dxa"/>
            <w:vAlign w:val="center"/>
          </w:tcPr>
          <w:p w14:paraId="33F51F5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1.161</w:t>
            </w:r>
          </w:p>
        </w:tc>
        <w:tc>
          <w:tcPr>
            <w:tcW w:w="795" w:type="dxa"/>
            <w:vAlign w:val="center"/>
          </w:tcPr>
          <w:p w14:paraId="00D8D8F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4.850</w:t>
            </w:r>
          </w:p>
        </w:tc>
        <w:tc>
          <w:tcPr>
            <w:tcW w:w="815" w:type="dxa"/>
            <w:vAlign w:val="center"/>
          </w:tcPr>
          <w:p w14:paraId="7DCEA00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1.345</w:t>
            </w:r>
          </w:p>
        </w:tc>
        <w:tc>
          <w:tcPr>
            <w:tcW w:w="795" w:type="dxa"/>
            <w:vAlign w:val="center"/>
          </w:tcPr>
          <w:p w14:paraId="259943E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0.567</w:t>
            </w:r>
          </w:p>
        </w:tc>
        <w:tc>
          <w:tcPr>
            <w:tcW w:w="1233" w:type="dxa"/>
            <w:vAlign w:val="center"/>
          </w:tcPr>
          <w:p w14:paraId="289C198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0.531</w:t>
            </w:r>
          </w:p>
        </w:tc>
      </w:tr>
      <w:tr w14:paraId="404A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1C6DB51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Q2</w:t>
            </w:r>
          </w:p>
        </w:tc>
        <w:tc>
          <w:tcPr>
            <w:tcW w:w="3379" w:type="dxa"/>
            <w:vAlign w:val="center"/>
          </w:tcPr>
          <w:p w14:paraId="1D1D658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PV (Perceptual Vividness)</w:t>
            </w:r>
          </w:p>
        </w:tc>
        <w:tc>
          <w:tcPr>
            <w:tcW w:w="795" w:type="dxa"/>
            <w:vAlign w:val="center"/>
          </w:tcPr>
          <w:p w14:paraId="3A80C24E">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4.117</w:t>
            </w:r>
          </w:p>
        </w:tc>
        <w:tc>
          <w:tcPr>
            <w:tcW w:w="820" w:type="dxa"/>
            <w:vAlign w:val="center"/>
          </w:tcPr>
          <w:p w14:paraId="1756D1E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1.439</w:t>
            </w:r>
          </w:p>
        </w:tc>
        <w:tc>
          <w:tcPr>
            <w:tcW w:w="795" w:type="dxa"/>
            <w:vAlign w:val="center"/>
          </w:tcPr>
          <w:p w14:paraId="5AFA3A9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4.667</w:t>
            </w:r>
          </w:p>
        </w:tc>
        <w:tc>
          <w:tcPr>
            <w:tcW w:w="815" w:type="dxa"/>
            <w:vAlign w:val="center"/>
          </w:tcPr>
          <w:p w14:paraId="747A9FE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1.647</w:t>
            </w:r>
          </w:p>
        </w:tc>
        <w:tc>
          <w:tcPr>
            <w:tcW w:w="795" w:type="dxa"/>
            <w:vAlign w:val="center"/>
          </w:tcPr>
          <w:p w14:paraId="5EE730A4">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0.550</w:t>
            </w:r>
          </w:p>
        </w:tc>
        <w:tc>
          <w:tcPr>
            <w:tcW w:w="1233" w:type="dxa"/>
            <w:vAlign w:val="center"/>
          </w:tcPr>
          <w:p w14:paraId="2D5B1AD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0.458</w:t>
            </w:r>
          </w:p>
        </w:tc>
      </w:tr>
      <w:tr w14:paraId="2E9D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209F1EF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Q3</w:t>
            </w:r>
          </w:p>
        </w:tc>
        <w:tc>
          <w:tcPr>
            <w:tcW w:w="3379" w:type="dxa"/>
            <w:vAlign w:val="center"/>
          </w:tcPr>
          <w:p w14:paraId="046AE24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PV (Perceptual Vividness)</w:t>
            </w:r>
          </w:p>
        </w:tc>
        <w:tc>
          <w:tcPr>
            <w:tcW w:w="795" w:type="dxa"/>
            <w:vAlign w:val="center"/>
          </w:tcPr>
          <w:p w14:paraId="080D7444">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4.425</w:t>
            </w:r>
          </w:p>
        </w:tc>
        <w:tc>
          <w:tcPr>
            <w:tcW w:w="820" w:type="dxa"/>
            <w:vAlign w:val="center"/>
          </w:tcPr>
          <w:p w14:paraId="527BF1E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1.345</w:t>
            </w:r>
          </w:p>
        </w:tc>
        <w:tc>
          <w:tcPr>
            <w:tcW w:w="795" w:type="dxa"/>
            <w:vAlign w:val="center"/>
          </w:tcPr>
          <w:p w14:paraId="19CE232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4.883</w:t>
            </w:r>
          </w:p>
        </w:tc>
        <w:tc>
          <w:tcPr>
            <w:tcW w:w="815" w:type="dxa"/>
            <w:vAlign w:val="center"/>
          </w:tcPr>
          <w:p w14:paraId="1133D38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1.462</w:t>
            </w:r>
          </w:p>
        </w:tc>
        <w:tc>
          <w:tcPr>
            <w:tcW w:w="795" w:type="dxa"/>
            <w:vAlign w:val="center"/>
          </w:tcPr>
          <w:p w14:paraId="60A0C2CE">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0.458</w:t>
            </w:r>
          </w:p>
        </w:tc>
        <w:tc>
          <w:tcPr>
            <w:tcW w:w="1233" w:type="dxa"/>
            <w:vAlign w:val="center"/>
          </w:tcPr>
          <w:p w14:paraId="3B6F51A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0.406</w:t>
            </w:r>
          </w:p>
        </w:tc>
      </w:tr>
      <w:tr w14:paraId="44FD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496BD24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Q4</w:t>
            </w:r>
          </w:p>
        </w:tc>
        <w:tc>
          <w:tcPr>
            <w:tcW w:w="3379" w:type="dxa"/>
            <w:vAlign w:val="center"/>
          </w:tcPr>
          <w:p w14:paraId="2E8D778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PV (Perceptual Vividness)</w:t>
            </w:r>
          </w:p>
        </w:tc>
        <w:tc>
          <w:tcPr>
            <w:tcW w:w="795" w:type="dxa"/>
            <w:vAlign w:val="center"/>
          </w:tcPr>
          <w:p w14:paraId="516687D3">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4.350</w:t>
            </w:r>
          </w:p>
        </w:tc>
        <w:tc>
          <w:tcPr>
            <w:tcW w:w="820" w:type="dxa"/>
            <w:vAlign w:val="center"/>
          </w:tcPr>
          <w:p w14:paraId="4BF4DE4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1.082</w:t>
            </w:r>
          </w:p>
        </w:tc>
        <w:tc>
          <w:tcPr>
            <w:tcW w:w="795" w:type="dxa"/>
            <w:vAlign w:val="center"/>
          </w:tcPr>
          <w:p w14:paraId="7973489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4.867</w:t>
            </w:r>
          </w:p>
        </w:tc>
        <w:tc>
          <w:tcPr>
            <w:tcW w:w="815" w:type="dxa"/>
            <w:vAlign w:val="center"/>
          </w:tcPr>
          <w:p w14:paraId="4FB5EE94">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1.414</w:t>
            </w:r>
          </w:p>
        </w:tc>
        <w:tc>
          <w:tcPr>
            <w:tcW w:w="795" w:type="dxa"/>
            <w:vAlign w:val="center"/>
          </w:tcPr>
          <w:p w14:paraId="0D7F74B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0.517</w:t>
            </w:r>
          </w:p>
        </w:tc>
        <w:tc>
          <w:tcPr>
            <w:tcW w:w="1233" w:type="dxa"/>
            <w:vAlign w:val="center"/>
          </w:tcPr>
          <w:p w14:paraId="686E0D0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0.446</w:t>
            </w:r>
          </w:p>
        </w:tc>
      </w:tr>
      <w:tr w14:paraId="5974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6280C45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Q5</w:t>
            </w:r>
          </w:p>
        </w:tc>
        <w:tc>
          <w:tcPr>
            <w:tcW w:w="3379" w:type="dxa"/>
            <w:vAlign w:val="center"/>
          </w:tcPr>
          <w:p w14:paraId="5843332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PV (Perceptual Vividness)</w:t>
            </w:r>
          </w:p>
        </w:tc>
        <w:tc>
          <w:tcPr>
            <w:tcW w:w="795" w:type="dxa"/>
            <w:vAlign w:val="center"/>
          </w:tcPr>
          <w:p w14:paraId="5E0F60C6">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3.842</w:t>
            </w:r>
          </w:p>
        </w:tc>
        <w:tc>
          <w:tcPr>
            <w:tcW w:w="820" w:type="dxa"/>
            <w:vAlign w:val="center"/>
          </w:tcPr>
          <w:p w14:paraId="37B9AF5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1.237</w:t>
            </w:r>
          </w:p>
        </w:tc>
        <w:tc>
          <w:tcPr>
            <w:tcW w:w="795" w:type="dxa"/>
            <w:vAlign w:val="center"/>
          </w:tcPr>
          <w:p w14:paraId="045E2C2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4.175</w:t>
            </w:r>
          </w:p>
        </w:tc>
        <w:tc>
          <w:tcPr>
            <w:tcW w:w="815" w:type="dxa"/>
            <w:vAlign w:val="center"/>
          </w:tcPr>
          <w:p w14:paraId="27F2CC5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1.453</w:t>
            </w:r>
          </w:p>
        </w:tc>
        <w:tc>
          <w:tcPr>
            <w:tcW w:w="795" w:type="dxa"/>
            <w:vAlign w:val="center"/>
          </w:tcPr>
          <w:p w14:paraId="131EC36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0.333</w:t>
            </w:r>
          </w:p>
        </w:tc>
        <w:tc>
          <w:tcPr>
            <w:tcW w:w="1233" w:type="dxa"/>
            <w:vAlign w:val="center"/>
          </w:tcPr>
          <w:p w14:paraId="7434BB1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0.309</w:t>
            </w:r>
          </w:p>
        </w:tc>
      </w:tr>
      <w:tr w14:paraId="5E53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644E088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Q6</w:t>
            </w:r>
          </w:p>
        </w:tc>
        <w:tc>
          <w:tcPr>
            <w:tcW w:w="3379" w:type="dxa"/>
            <w:vAlign w:val="center"/>
          </w:tcPr>
          <w:p w14:paraId="53F27AB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PV (Perceptual Vividness)</w:t>
            </w:r>
          </w:p>
        </w:tc>
        <w:tc>
          <w:tcPr>
            <w:tcW w:w="795" w:type="dxa"/>
            <w:vAlign w:val="center"/>
          </w:tcPr>
          <w:p w14:paraId="6D42F52C">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3.967</w:t>
            </w:r>
          </w:p>
        </w:tc>
        <w:tc>
          <w:tcPr>
            <w:tcW w:w="820" w:type="dxa"/>
            <w:vAlign w:val="center"/>
          </w:tcPr>
          <w:p w14:paraId="7E3B571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1.223</w:t>
            </w:r>
          </w:p>
        </w:tc>
        <w:tc>
          <w:tcPr>
            <w:tcW w:w="795" w:type="dxa"/>
            <w:vAlign w:val="center"/>
          </w:tcPr>
          <w:p w14:paraId="1E34CB4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4.492</w:t>
            </w:r>
          </w:p>
        </w:tc>
        <w:tc>
          <w:tcPr>
            <w:tcW w:w="815" w:type="dxa"/>
            <w:vAlign w:val="center"/>
          </w:tcPr>
          <w:p w14:paraId="47FA06E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1.360</w:t>
            </w:r>
          </w:p>
        </w:tc>
        <w:tc>
          <w:tcPr>
            <w:tcW w:w="795" w:type="dxa"/>
            <w:vAlign w:val="center"/>
          </w:tcPr>
          <w:p w14:paraId="0140F35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0.525</w:t>
            </w:r>
          </w:p>
        </w:tc>
        <w:tc>
          <w:tcPr>
            <w:tcW w:w="1233" w:type="dxa"/>
            <w:vAlign w:val="center"/>
          </w:tcPr>
          <w:p w14:paraId="2D865FA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0.491</w:t>
            </w:r>
          </w:p>
        </w:tc>
      </w:tr>
      <w:tr w14:paraId="4135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61BBD894">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Q7</w:t>
            </w:r>
          </w:p>
        </w:tc>
        <w:tc>
          <w:tcPr>
            <w:tcW w:w="3379" w:type="dxa"/>
            <w:vAlign w:val="center"/>
          </w:tcPr>
          <w:p w14:paraId="74B1612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TN (Temporal Narration)</w:t>
            </w:r>
          </w:p>
        </w:tc>
        <w:tc>
          <w:tcPr>
            <w:tcW w:w="795" w:type="dxa"/>
            <w:vAlign w:val="center"/>
          </w:tcPr>
          <w:p w14:paraId="0E9889E4">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3.358</w:t>
            </w:r>
          </w:p>
        </w:tc>
        <w:tc>
          <w:tcPr>
            <w:tcW w:w="820" w:type="dxa"/>
            <w:vAlign w:val="center"/>
          </w:tcPr>
          <w:p w14:paraId="2CD6049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1.483</w:t>
            </w:r>
          </w:p>
        </w:tc>
        <w:tc>
          <w:tcPr>
            <w:tcW w:w="795" w:type="dxa"/>
            <w:vAlign w:val="center"/>
          </w:tcPr>
          <w:p w14:paraId="4D3F564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3.817</w:t>
            </w:r>
          </w:p>
        </w:tc>
        <w:tc>
          <w:tcPr>
            <w:tcW w:w="815" w:type="dxa"/>
            <w:vAlign w:val="center"/>
          </w:tcPr>
          <w:p w14:paraId="2E1306E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1.624</w:t>
            </w:r>
          </w:p>
        </w:tc>
        <w:tc>
          <w:tcPr>
            <w:tcW w:w="795" w:type="dxa"/>
            <w:vAlign w:val="center"/>
          </w:tcPr>
          <w:p w14:paraId="0AE37B5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0.458</w:t>
            </w:r>
          </w:p>
        </w:tc>
        <w:tc>
          <w:tcPr>
            <w:tcW w:w="1233" w:type="dxa"/>
            <w:vAlign w:val="center"/>
          </w:tcPr>
          <w:p w14:paraId="0A06582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0.457</w:t>
            </w:r>
          </w:p>
        </w:tc>
      </w:tr>
      <w:tr w14:paraId="04CD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1E4AEB9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Q8</w:t>
            </w:r>
          </w:p>
        </w:tc>
        <w:tc>
          <w:tcPr>
            <w:tcW w:w="3379" w:type="dxa"/>
            <w:vAlign w:val="center"/>
          </w:tcPr>
          <w:p w14:paraId="181EFD7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TN (Temporal Narration)</w:t>
            </w:r>
          </w:p>
        </w:tc>
        <w:tc>
          <w:tcPr>
            <w:tcW w:w="795" w:type="dxa"/>
            <w:vAlign w:val="center"/>
          </w:tcPr>
          <w:p w14:paraId="61E7B361">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3.517</w:t>
            </w:r>
          </w:p>
        </w:tc>
        <w:tc>
          <w:tcPr>
            <w:tcW w:w="820" w:type="dxa"/>
            <w:vAlign w:val="center"/>
          </w:tcPr>
          <w:p w14:paraId="527C672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1.085</w:t>
            </w:r>
          </w:p>
        </w:tc>
        <w:tc>
          <w:tcPr>
            <w:tcW w:w="795" w:type="dxa"/>
            <w:vAlign w:val="center"/>
          </w:tcPr>
          <w:p w14:paraId="7060F2B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4.117</w:t>
            </w:r>
          </w:p>
        </w:tc>
        <w:tc>
          <w:tcPr>
            <w:tcW w:w="815" w:type="dxa"/>
            <w:vAlign w:val="center"/>
          </w:tcPr>
          <w:p w14:paraId="459BF00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1.379</w:t>
            </w:r>
          </w:p>
        </w:tc>
        <w:tc>
          <w:tcPr>
            <w:tcW w:w="795" w:type="dxa"/>
            <w:vAlign w:val="center"/>
          </w:tcPr>
          <w:p w14:paraId="0F4879E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0.600</w:t>
            </w:r>
          </w:p>
        </w:tc>
        <w:tc>
          <w:tcPr>
            <w:tcW w:w="1233" w:type="dxa"/>
            <w:vAlign w:val="center"/>
          </w:tcPr>
          <w:p w14:paraId="27C0D5D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0.586</w:t>
            </w:r>
          </w:p>
        </w:tc>
      </w:tr>
      <w:tr w14:paraId="70E5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5EF5501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Q9</w:t>
            </w:r>
          </w:p>
        </w:tc>
        <w:tc>
          <w:tcPr>
            <w:tcW w:w="3379" w:type="dxa"/>
            <w:vAlign w:val="center"/>
          </w:tcPr>
          <w:p w14:paraId="71D78DD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TN (Temporal Narration)</w:t>
            </w:r>
          </w:p>
        </w:tc>
        <w:tc>
          <w:tcPr>
            <w:tcW w:w="795" w:type="dxa"/>
            <w:vAlign w:val="center"/>
          </w:tcPr>
          <w:p w14:paraId="1BE67E47">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4.350</w:t>
            </w:r>
          </w:p>
        </w:tc>
        <w:tc>
          <w:tcPr>
            <w:tcW w:w="820" w:type="dxa"/>
            <w:vAlign w:val="center"/>
          </w:tcPr>
          <w:p w14:paraId="3BD646D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1.082</w:t>
            </w:r>
          </w:p>
        </w:tc>
        <w:tc>
          <w:tcPr>
            <w:tcW w:w="795" w:type="dxa"/>
            <w:vAlign w:val="center"/>
          </w:tcPr>
          <w:p w14:paraId="4EFFB56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4.958</w:t>
            </w:r>
          </w:p>
        </w:tc>
        <w:tc>
          <w:tcPr>
            <w:tcW w:w="815" w:type="dxa"/>
            <w:vAlign w:val="center"/>
          </w:tcPr>
          <w:p w14:paraId="2F51470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1.266</w:t>
            </w:r>
          </w:p>
        </w:tc>
        <w:tc>
          <w:tcPr>
            <w:tcW w:w="795" w:type="dxa"/>
            <w:vAlign w:val="center"/>
          </w:tcPr>
          <w:p w14:paraId="0D1A421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0.608</w:t>
            </w:r>
          </w:p>
        </w:tc>
        <w:tc>
          <w:tcPr>
            <w:tcW w:w="1233" w:type="dxa"/>
            <w:vAlign w:val="center"/>
          </w:tcPr>
          <w:p w14:paraId="07C3E53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0.576</w:t>
            </w:r>
          </w:p>
        </w:tc>
      </w:tr>
      <w:tr w14:paraId="61A7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58B72AB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Q10</w:t>
            </w:r>
          </w:p>
        </w:tc>
        <w:tc>
          <w:tcPr>
            <w:tcW w:w="3379" w:type="dxa"/>
            <w:vAlign w:val="center"/>
          </w:tcPr>
          <w:p w14:paraId="36D4778E">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TN (Temporal Narration)</w:t>
            </w:r>
          </w:p>
        </w:tc>
        <w:tc>
          <w:tcPr>
            <w:tcW w:w="795" w:type="dxa"/>
            <w:vAlign w:val="center"/>
          </w:tcPr>
          <w:p w14:paraId="6A1F70DE">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4.125</w:t>
            </w:r>
          </w:p>
        </w:tc>
        <w:tc>
          <w:tcPr>
            <w:tcW w:w="820" w:type="dxa"/>
            <w:vAlign w:val="center"/>
          </w:tcPr>
          <w:p w14:paraId="615EFD9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1.406</w:t>
            </w:r>
          </w:p>
        </w:tc>
        <w:tc>
          <w:tcPr>
            <w:tcW w:w="795" w:type="dxa"/>
            <w:vAlign w:val="center"/>
          </w:tcPr>
          <w:p w14:paraId="7280DED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4.700</w:t>
            </w:r>
          </w:p>
        </w:tc>
        <w:tc>
          <w:tcPr>
            <w:tcW w:w="815" w:type="dxa"/>
            <w:vAlign w:val="center"/>
          </w:tcPr>
          <w:p w14:paraId="3B7E238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1.554</w:t>
            </w:r>
          </w:p>
        </w:tc>
        <w:tc>
          <w:tcPr>
            <w:tcW w:w="795" w:type="dxa"/>
            <w:vAlign w:val="center"/>
          </w:tcPr>
          <w:p w14:paraId="7C80C67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0.575</w:t>
            </w:r>
          </w:p>
        </w:tc>
        <w:tc>
          <w:tcPr>
            <w:tcW w:w="1233" w:type="dxa"/>
            <w:vAlign w:val="center"/>
          </w:tcPr>
          <w:p w14:paraId="1D4D82B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0.510</w:t>
            </w:r>
          </w:p>
        </w:tc>
      </w:tr>
      <w:tr w14:paraId="4A22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21FCE24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Q11</w:t>
            </w:r>
          </w:p>
        </w:tc>
        <w:tc>
          <w:tcPr>
            <w:tcW w:w="3379" w:type="dxa"/>
            <w:vAlign w:val="center"/>
          </w:tcPr>
          <w:p w14:paraId="09AA346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TN (Temporal Narration)</w:t>
            </w:r>
          </w:p>
        </w:tc>
        <w:tc>
          <w:tcPr>
            <w:tcW w:w="795" w:type="dxa"/>
            <w:vAlign w:val="center"/>
          </w:tcPr>
          <w:p w14:paraId="3DE564C3">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3.950</w:t>
            </w:r>
          </w:p>
        </w:tc>
        <w:tc>
          <w:tcPr>
            <w:tcW w:w="820" w:type="dxa"/>
            <w:vAlign w:val="center"/>
          </w:tcPr>
          <w:p w14:paraId="0DE9672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1.158</w:t>
            </w:r>
          </w:p>
        </w:tc>
        <w:tc>
          <w:tcPr>
            <w:tcW w:w="795" w:type="dxa"/>
            <w:vAlign w:val="center"/>
          </w:tcPr>
          <w:p w14:paraId="684BFA1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4.508</w:t>
            </w:r>
          </w:p>
        </w:tc>
        <w:tc>
          <w:tcPr>
            <w:tcW w:w="815" w:type="dxa"/>
            <w:vAlign w:val="center"/>
          </w:tcPr>
          <w:p w14:paraId="54B85E5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1.396</w:t>
            </w:r>
          </w:p>
        </w:tc>
        <w:tc>
          <w:tcPr>
            <w:tcW w:w="795" w:type="dxa"/>
            <w:vAlign w:val="center"/>
          </w:tcPr>
          <w:p w14:paraId="28D7A65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0.558</w:t>
            </w:r>
          </w:p>
        </w:tc>
        <w:tc>
          <w:tcPr>
            <w:tcW w:w="1233" w:type="dxa"/>
            <w:vAlign w:val="center"/>
          </w:tcPr>
          <w:p w14:paraId="4C1B5EC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0.462</w:t>
            </w:r>
          </w:p>
        </w:tc>
      </w:tr>
      <w:tr w14:paraId="6E69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0ADE62E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Q12</w:t>
            </w:r>
          </w:p>
        </w:tc>
        <w:tc>
          <w:tcPr>
            <w:tcW w:w="3379" w:type="dxa"/>
            <w:vAlign w:val="center"/>
          </w:tcPr>
          <w:p w14:paraId="1D35C99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TN (Temporal Narration)</w:t>
            </w:r>
          </w:p>
        </w:tc>
        <w:tc>
          <w:tcPr>
            <w:tcW w:w="795" w:type="dxa"/>
            <w:vAlign w:val="center"/>
          </w:tcPr>
          <w:p w14:paraId="4CF70F95">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4.458</w:t>
            </w:r>
          </w:p>
        </w:tc>
        <w:tc>
          <w:tcPr>
            <w:tcW w:w="820" w:type="dxa"/>
            <w:vAlign w:val="center"/>
          </w:tcPr>
          <w:p w14:paraId="3D074CC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1.076</w:t>
            </w:r>
          </w:p>
        </w:tc>
        <w:tc>
          <w:tcPr>
            <w:tcW w:w="795" w:type="dxa"/>
            <w:vAlign w:val="center"/>
          </w:tcPr>
          <w:p w14:paraId="718EB29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5.000</w:t>
            </w:r>
          </w:p>
        </w:tc>
        <w:tc>
          <w:tcPr>
            <w:tcW w:w="815" w:type="dxa"/>
            <w:vAlign w:val="center"/>
          </w:tcPr>
          <w:p w14:paraId="4325528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1.250</w:t>
            </w:r>
          </w:p>
        </w:tc>
        <w:tc>
          <w:tcPr>
            <w:tcW w:w="795" w:type="dxa"/>
            <w:vAlign w:val="center"/>
          </w:tcPr>
          <w:p w14:paraId="075ED33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0.542</w:t>
            </w:r>
          </w:p>
        </w:tc>
        <w:tc>
          <w:tcPr>
            <w:tcW w:w="1233" w:type="dxa"/>
            <w:vAlign w:val="center"/>
          </w:tcPr>
          <w:p w14:paraId="364A0F7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0.544</w:t>
            </w:r>
          </w:p>
        </w:tc>
      </w:tr>
      <w:tr w14:paraId="206C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3E5B7CA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Q13</w:t>
            </w:r>
          </w:p>
        </w:tc>
        <w:tc>
          <w:tcPr>
            <w:tcW w:w="3379" w:type="dxa"/>
            <w:vAlign w:val="center"/>
          </w:tcPr>
          <w:p w14:paraId="794AEBA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SO (Social Occupancy)</w:t>
            </w:r>
          </w:p>
        </w:tc>
        <w:tc>
          <w:tcPr>
            <w:tcW w:w="795" w:type="dxa"/>
            <w:vAlign w:val="center"/>
          </w:tcPr>
          <w:p w14:paraId="73B6BD7F">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3.850</w:t>
            </w:r>
          </w:p>
        </w:tc>
        <w:tc>
          <w:tcPr>
            <w:tcW w:w="820" w:type="dxa"/>
            <w:vAlign w:val="center"/>
          </w:tcPr>
          <w:p w14:paraId="5353125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1.193</w:t>
            </w:r>
          </w:p>
        </w:tc>
        <w:tc>
          <w:tcPr>
            <w:tcW w:w="795" w:type="dxa"/>
            <w:vAlign w:val="center"/>
          </w:tcPr>
          <w:p w14:paraId="787A862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4.342</w:t>
            </w:r>
          </w:p>
        </w:tc>
        <w:tc>
          <w:tcPr>
            <w:tcW w:w="815" w:type="dxa"/>
            <w:vAlign w:val="center"/>
          </w:tcPr>
          <w:p w14:paraId="5D863A5E">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1.537</w:t>
            </w:r>
          </w:p>
        </w:tc>
        <w:tc>
          <w:tcPr>
            <w:tcW w:w="795" w:type="dxa"/>
            <w:vAlign w:val="center"/>
          </w:tcPr>
          <w:p w14:paraId="650111B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0.492</w:t>
            </w:r>
          </w:p>
        </w:tc>
        <w:tc>
          <w:tcPr>
            <w:tcW w:w="1233" w:type="dxa"/>
            <w:vAlign w:val="center"/>
          </w:tcPr>
          <w:p w14:paraId="04F50FF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0.463</w:t>
            </w:r>
          </w:p>
        </w:tc>
      </w:tr>
      <w:tr w14:paraId="7D6D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41811B6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Q14</w:t>
            </w:r>
          </w:p>
        </w:tc>
        <w:tc>
          <w:tcPr>
            <w:tcW w:w="3379" w:type="dxa"/>
            <w:vAlign w:val="center"/>
          </w:tcPr>
          <w:p w14:paraId="174A828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SO (Social Occupancy)</w:t>
            </w:r>
          </w:p>
        </w:tc>
        <w:tc>
          <w:tcPr>
            <w:tcW w:w="795" w:type="dxa"/>
            <w:vAlign w:val="center"/>
          </w:tcPr>
          <w:p w14:paraId="21146E1D">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3.925</w:t>
            </w:r>
          </w:p>
        </w:tc>
        <w:tc>
          <w:tcPr>
            <w:tcW w:w="820" w:type="dxa"/>
            <w:vAlign w:val="center"/>
          </w:tcPr>
          <w:p w14:paraId="2E3E1B3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1.109</w:t>
            </w:r>
          </w:p>
        </w:tc>
        <w:tc>
          <w:tcPr>
            <w:tcW w:w="795" w:type="dxa"/>
            <w:vAlign w:val="center"/>
          </w:tcPr>
          <w:p w14:paraId="7D8FFEC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4.600</w:t>
            </w:r>
          </w:p>
        </w:tc>
        <w:tc>
          <w:tcPr>
            <w:tcW w:w="815" w:type="dxa"/>
            <w:vAlign w:val="center"/>
          </w:tcPr>
          <w:p w14:paraId="2612DC7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1.552</w:t>
            </w:r>
          </w:p>
        </w:tc>
        <w:tc>
          <w:tcPr>
            <w:tcW w:w="795" w:type="dxa"/>
            <w:vAlign w:val="center"/>
          </w:tcPr>
          <w:p w14:paraId="25A25BA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0.675</w:t>
            </w:r>
          </w:p>
        </w:tc>
        <w:tc>
          <w:tcPr>
            <w:tcW w:w="1233" w:type="dxa"/>
            <w:vAlign w:val="center"/>
          </w:tcPr>
          <w:p w14:paraId="7B5FF63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0.582</w:t>
            </w:r>
          </w:p>
        </w:tc>
      </w:tr>
      <w:tr w14:paraId="2ED0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00723F8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Q15</w:t>
            </w:r>
          </w:p>
        </w:tc>
        <w:tc>
          <w:tcPr>
            <w:tcW w:w="3379" w:type="dxa"/>
            <w:vAlign w:val="center"/>
          </w:tcPr>
          <w:p w14:paraId="7A482B8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SO (Social Occupancy)</w:t>
            </w:r>
          </w:p>
        </w:tc>
        <w:tc>
          <w:tcPr>
            <w:tcW w:w="795" w:type="dxa"/>
            <w:vAlign w:val="center"/>
          </w:tcPr>
          <w:p w14:paraId="47347951">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3.592</w:t>
            </w:r>
          </w:p>
        </w:tc>
        <w:tc>
          <w:tcPr>
            <w:tcW w:w="820" w:type="dxa"/>
            <w:vAlign w:val="center"/>
          </w:tcPr>
          <w:p w14:paraId="6854BD2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1.673</w:t>
            </w:r>
          </w:p>
        </w:tc>
        <w:tc>
          <w:tcPr>
            <w:tcW w:w="795" w:type="dxa"/>
            <w:vAlign w:val="center"/>
          </w:tcPr>
          <w:p w14:paraId="2A28CF1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4.142</w:t>
            </w:r>
          </w:p>
        </w:tc>
        <w:tc>
          <w:tcPr>
            <w:tcW w:w="815" w:type="dxa"/>
            <w:vAlign w:val="center"/>
          </w:tcPr>
          <w:p w14:paraId="621D1D7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1.898</w:t>
            </w:r>
          </w:p>
        </w:tc>
        <w:tc>
          <w:tcPr>
            <w:tcW w:w="795" w:type="dxa"/>
            <w:vAlign w:val="center"/>
          </w:tcPr>
          <w:p w14:paraId="258486C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0.550</w:t>
            </w:r>
          </w:p>
        </w:tc>
        <w:tc>
          <w:tcPr>
            <w:tcW w:w="1233" w:type="dxa"/>
            <w:vAlign w:val="center"/>
          </w:tcPr>
          <w:p w14:paraId="7934A5B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0.511</w:t>
            </w:r>
          </w:p>
        </w:tc>
      </w:tr>
      <w:tr w14:paraId="4526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7B611A8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Q16</w:t>
            </w:r>
          </w:p>
        </w:tc>
        <w:tc>
          <w:tcPr>
            <w:tcW w:w="3379" w:type="dxa"/>
            <w:vAlign w:val="center"/>
          </w:tcPr>
          <w:p w14:paraId="2928892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SO (Social Occupancy)</w:t>
            </w:r>
          </w:p>
        </w:tc>
        <w:tc>
          <w:tcPr>
            <w:tcW w:w="795" w:type="dxa"/>
            <w:vAlign w:val="center"/>
          </w:tcPr>
          <w:p w14:paraId="516710AF">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3.900</w:t>
            </w:r>
          </w:p>
        </w:tc>
        <w:tc>
          <w:tcPr>
            <w:tcW w:w="820" w:type="dxa"/>
            <w:vAlign w:val="center"/>
          </w:tcPr>
          <w:p w14:paraId="1625041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1.260</w:t>
            </w:r>
          </w:p>
        </w:tc>
        <w:tc>
          <w:tcPr>
            <w:tcW w:w="795" w:type="dxa"/>
            <w:vAlign w:val="center"/>
          </w:tcPr>
          <w:p w14:paraId="43EB83E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4.400</w:t>
            </w:r>
          </w:p>
        </w:tc>
        <w:tc>
          <w:tcPr>
            <w:tcW w:w="815" w:type="dxa"/>
            <w:vAlign w:val="center"/>
          </w:tcPr>
          <w:p w14:paraId="675102D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1.423</w:t>
            </w:r>
          </w:p>
        </w:tc>
        <w:tc>
          <w:tcPr>
            <w:tcW w:w="795" w:type="dxa"/>
            <w:vAlign w:val="center"/>
          </w:tcPr>
          <w:p w14:paraId="098C244E">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0.500</w:t>
            </w:r>
          </w:p>
        </w:tc>
        <w:tc>
          <w:tcPr>
            <w:tcW w:w="1233" w:type="dxa"/>
            <w:vAlign w:val="center"/>
          </w:tcPr>
          <w:p w14:paraId="7D1D8F9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0.440</w:t>
            </w:r>
          </w:p>
        </w:tc>
      </w:tr>
      <w:tr w14:paraId="11E5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3743BBF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Q17</w:t>
            </w:r>
          </w:p>
        </w:tc>
        <w:tc>
          <w:tcPr>
            <w:tcW w:w="3379" w:type="dxa"/>
            <w:vAlign w:val="center"/>
          </w:tcPr>
          <w:p w14:paraId="19AC412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SO (Social Occupancy)</w:t>
            </w:r>
          </w:p>
        </w:tc>
        <w:tc>
          <w:tcPr>
            <w:tcW w:w="795" w:type="dxa"/>
            <w:vAlign w:val="center"/>
          </w:tcPr>
          <w:p w14:paraId="0D1205EE">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3.942</w:t>
            </w:r>
          </w:p>
        </w:tc>
        <w:tc>
          <w:tcPr>
            <w:tcW w:w="820" w:type="dxa"/>
            <w:vAlign w:val="center"/>
          </w:tcPr>
          <w:p w14:paraId="5B49EB4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1.218</w:t>
            </w:r>
          </w:p>
        </w:tc>
        <w:tc>
          <w:tcPr>
            <w:tcW w:w="795" w:type="dxa"/>
            <w:vAlign w:val="center"/>
          </w:tcPr>
          <w:p w14:paraId="34D07BE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4.433</w:t>
            </w:r>
          </w:p>
        </w:tc>
        <w:tc>
          <w:tcPr>
            <w:tcW w:w="815" w:type="dxa"/>
            <w:vAlign w:val="center"/>
          </w:tcPr>
          <w:p w14:paraId="5C9CDA0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1.327</w:t>
            </w:r>
          </w:p>
        </w:tc>
        <w:tc>
          <w:tcPr>
            <w:tcW w:w="795" w:type="dxa"/>
            <w:vAlign w:val="center"/>
          </w:tcPr>
          <w:p w14:paraId="6BD71A9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0.492</w:t>
            </w:r>
          </w:p>
        </w:tc>
        <w:tc>
          <w:tcPr>
            <w:tcW w:w="1233" w:type="dxa"/>
            <w:vAlign w:val="center"/>
          </w:tcPr>
          <w:p w14:paraId="0ADBA8E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0.424</w:t>
            </w:r>
          </w:p>
        </w:tc>
      </w:tr>
      <w:tr w14:paraId="055C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59A4E6F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Q18</w:t>
            </w:r>
          </w:p>
        </w:tc>
        <w:tc>
          <w:tcPr>
            <w:tcW w:w="3379" w:type="dxa"/>
            <w:vAlign w:val="center"/>
          </w:tcPr>
          <w:p w14:paraId="4AA448A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AG (Aesthetic Kinesthetic Grounding)</w:t>
            </w:r>
          </w:p>
        </w:tc>
        <w:tc>
          <w:tcPr>
            <w:tcW w:w="795" w:type="dxa"/>
            <w:vAlign w:val="center"/>
          </w:tcPr>
          <w:p w14:paraId="7E1C300F">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3.875</w:t>
            </w:r>
          </w:p>
        </w:tc>
        <w:tc>
          <w:tcPr>
            <w:tcW w:w="820" w:type="dxa"/>
            <w:vAlign w:val="center"/>
          </w:tcPr>
          <w:p w14:paraId="16C03D5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1.206</w:t>
            </w:r>
          </w:p>
        </w:tc>
        <w:tc>
          <w:tcPr>
            <w:tcW w:w="795" w:type="dxa"/>
            <w:vAlign w:val="center"/>
          </w:tcPr>
          <w:p w14:paraId="2B206EB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4.233</w:t>
            </w:r>
          </w:p>
        </w:tc>
        <w:tc>
          <w:tcPr>
            <w:tcW w:w="815" w:type="dxa"/>
            <w:vAlign w:val="center"/>
          </w:tcPr>
          <w:p w14:paraId="02C83A9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1.510</w:t>
            </w:r>
          </w:p>
        </w:tc>
        <w:tc>
          <w:tcPr>
            <w:tcW w:w="795" w:type="dxa"/>
            <w:vAlign w:val="center"/>
          </w:tcPr>
          <w:p w14:paraId="4BF6AB3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0.358</w:t>
            </w:r>
          </w:p>
        </w:tc>
        <w:tc>
          <w:tcPr>
            <w:tcW w:w="1233" w:type="dxa"/>
            <w:vAlign w:val="center"/>
          </w:tcPr>
          <w:p w14:paraId="32B1733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0.349</w:t>
            </w:r>
          </w:p>
        </w:tc>
      </w:tr>
      <w:tr w14:paraId="76FE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3EEA787E">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Q19</w:t>
            </w:r>
          </w:p>
        </w:tc>
        <w:tc>
          <w:tcPr>
            <w:tcW w:w="3379" w:type="dxa"/>
            <w:vAlign w:val="center"/>
          </w:tcPr>
          <w:p w14:paraId="1A02ABA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AG (Aesthetic Kinesthetic Grounding)</w:t>
            </w:r>
          </w:p>
        </w:tc>
        <w:tc>
          <w:tcPr>
            <w:tcW w:w="795" w:type="dxa"/>
            <w:vAlign w:val="center"/>
          </w:tcPr>
          <w:p w14:paraId="049EB149">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4.233</w:t>
            </w:r>
          </w:p>
        </w:tc>
        <w:tc>
          <w:tcPr>
            <w:tcW w:w="820" w:type="dxa"/>
            <w:vAlign w:val="center"/>
          </w:tcPr>
          <w:p w14:paraId="0AEFCB1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1.179</w:t>
            </w:r>
          </w:p>
        </w:tc>
        <w:tc>
          <w:tcPr>
            <w:tcW w:w="795" w:type="dxa"/>
            <w:vAlign w:val="center"/>
          </w:tcPr>
          <w:p w14:paraId="1E47914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4.775</w:t>
            </w:r>
          </w:p>
        </w:tc>
        <w:tc>
          <w:tcPr>
            <w:tcW w:w="815" w:type="dxa"/>
            <w:vAlign w:val="center"/>
          </w:tcPr>
          <w:p w14:paraId="2C1AC88E">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1.306</w:t>
            </w:r>
          </w:p>
        </w:tc>
        <w:tc>
          <w:tcPr>
            <w:tcW w:w="795" w:type="dxa"/>
            <w:vAlign w:val="center"/>
          </w:tcPr>
          <w:p w14:paraId="4C90ACF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0.542</w:t>
            </w:r>
          </w:p>
        </w:tc>
        <w:tc>
          <w:tcPr>
            <w:tcW w:w="1233" w:type="dxa"/>
            <w:vAlign w:val="center"/>
          </w:tcPr>
          <w:p w14:paraId="28F083C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0.493</w:t>
            </w:r>
          </w:p>
        </w:tc>
      </w:tr>
      <w:tr w14:paraId="6E2C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54465FD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Q20</w:t>
            </w:r>
          </w:p>
        </w:tc>
        <w:tc>
          <w:tcPr>
            <w:tcW w:w="3379" w:type="dxa"/>
            <w:vAlign w:val="center"/>
          </w:tcPr>
          <w:p w14:paraId="413B065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AG (Aesthetic Kinesthetic Grounding)</w:t>
            </w:r>
          </w:p>
        </w:tc>
        <w:tc>
          <w:tcPr>
            <w:tcW w:w="795" w:type="dxa"/>
            <w:vAlign w:val="center"/>
          </w:tcPr>
          <w:p w14:paraId="711B5BB7">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4.308</w:t>
            </w:r>
          </w:p>
        </w:tc>
        <w:tc>
          <w:tcPr>
            <w:tcW w:w="820" w:type="dxa"/>
            <w:vAlign w:val="center"/>
          </w:tcPr>
          <w:p w14:paraId="31CD2E2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1.044</w:t>
            </w:r>
          </w:p>
        </w:tc>
        <w:tc>
          <w:tcPr>
            <w:tcW w:w="795" w:type="dxa"/>
            <w:vAlign w:val="center"/>
          </w:tcPr>
          <w:p w14:paraId="0994EA0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4.858</w:t>
            </w:r>
          </w:p>
        </w:tc>
        <w:tc>
          <w:tcPr>
            <w:tcW w:w="815" w:type="dxa"/>
            <w:vAlign w:val="center"/>
          </w:tcPr>
          <w:p w14:paraId="632699E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1.324</w:t>
            </w:r>
          </w:p>
        </w:tc>
        <w:tc>
          <w:tcPr>
            <w:tcW w:w="795" w:type="dxa"/>
            <w:vAlign w:val="center"/>
          </w:tcPr>
          <w:p w14:paraId="151E0C9E">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0.550</w:t>
            </w:r>
          </w:p>
        </w:tc>
        <w:tc>
          <w:tcPr>
            <w:tcW w:w="1233" w:type="dxa"/>
            <w:vAlign w:val="center"/>
          </w:tcPr>
          <w:p w14:paraId="69DA7CD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0.553</w:t>
            </w:r>
          </w:p>
        </w:tc>
      </w:tr>
      <w:tr w14:paraId="3954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3E8E1FD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Q21</w:t>
            </w:r>
          </w:p>
        </w:tc>
        <w:tc>
          <w:tcPr>
            <w:tcW w:w="3379" w:type="dxa"/>
            <w:vAlign w:val="center"/>
          </w:tcPr>
          <w:p w14:paraId="61C1E66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AG (Aesthetic Kinesthetic Grounding)</w:t>
            </w:r>
          </w:p>
        </w:tc>
        <w:tc>
          <w:tcPr>
            <w:tcW w:w="795" w:type="dxa"/>
            <w:vAlign w:val="center"/>
          </w:tcPr>
          <w:p w14:paraId="5C88EC40">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4.550</w:t>
            </w:r>
          </w:p>
        </w:tc>
        <w:tc>
          <w:tcPr>
            <w:tcW w:w="820" w:type="dxa"/>
            <w:vAlign w:val="center"/>
          </w:tcPr>
          <w:p w14:paraId="49BF9D9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1.194</w:t>
            </w:r>
          </w:p>
        </w:tc>
        <w:tc>
          <w:tcPr>
            <w:tcW w:w="795" w:type="dxa"/>
            <w:vAlign w:val="center"/>
          </w:tcPr>
          <w:p w14:paraId="580D405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5.033</w:t>
            </w:r>
          </w:p>
        </w:tc>
        <w:tc>
          <w:tcPr>
            <w:tcW w:w="815" w:type="dxa"/>
            <w:vAlign w:val="center"/>
          </w:tcPr>
          <w:p w14:paraId="5412339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1.390</w:t>
            </w:r>
          </w:p>
        </w:tc>
        <w:tc>
          <w:tcPr>
            <w:tcW w:w="795" w:type="dxa"/>
            <w:vAlign w:val="center"/>
          </w:tcPr>
          <w:p w14:paraId="03B4D2E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0.483</w:t>
            </w:r>
          </w:p>
        </w:tc>
        <w:tc>
          <w:tcPr>
            <w:tcW w:w="1233" w:type="dxa"/>
            <w:vAlign w:val="center"/>
          </w:tcPr>
          <w:p w14:paraId="4E7A518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0.485</w:t>
            </w:r>
          </w:p>
        </w:tc>
      </w:tr>
      <w:tr w14:paraId="4A59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7" w:type="dxa"/>
            <w:vAlign w:val="center"/>
          </w:tcPr>
          <w:p w14:paraId="4E22376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Q22</w:t>
            </w:r>
          </w:p>
        </w:tc>
        <w:tc>
          <w:tcPr>
            <w:tcW w:w="3379" w:type="dxa"/>
            <w:vAlign w:val="center"/>
          </w:tcPr>
          <w:p w14:paraId="4B88D43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AG (Aesthetic Kinesthetic Grounding)</w:t>
            </w:r>
          </w:p>
        </w:tc>
        <w:tc>
          <w:tcPr>
            <w:tcW w:w="795" w:type="dxa"/>
            <w:vAlign w:val="center"/>
          </w:tcPr>
          <w:p w14:paraId="1AAFDDE3">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3.992</w:t>
            </w:r>
          </w:p>
        </w:tc>
        <w:tc>
          <w:tcPr>
            <w:tcW w:w="820" w:type="dxa"/>
            <w:vAlign w:val="center"/>
          </w:tcPr>
          <w:p w14:paraId="6567BC7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0.966</w:t>
            </w:r>
          </w:p>
        </w:tc>
        <w:tc>
          <w:tcPr>
            <w:tcW w:w="795" w:type="dxa"/>
            <w:vAlign w:val="center"/>
          </w:tcPr>
          <w:p w14:paraId="55CE645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4.392</w:t>
            </w:r>
          </w:p>
        </w:tc>
        <w:tc>
          <w:tcPr>
            <w:tcW w:w="815" w:type="dxa"/>
            <w:vAlign w:val="center"/>
          </w:tcPr>
          <w:p w14:paraId="7925715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1.298</w:t>
            </w:r>
          </w:p>
        </w:tc>
        <w:tc>
          <w:tcPr>
            <w:tcW w:w="795" w:type="dxa"/>
            <w:vAlign w:val="center"/>
          </w:tcPr>
          <w:p w14:paraId="22A63FA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0.400</w:t>
            </w:r>
          </w:p>
        </w:tc>
        <w:tc>
          <w:tcPr>
            <w:tcW w:w="1233" w:type="dxa"/>
            <w:vAlign w:val="center"/>
          </w:tcPr>
          <w:p w14:paraId="3EA4EB4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0.342</w:t>
            </w:r>
          </w:p>
        </w:tc>
      </w:tr>
    </w:tbl>
    <w:p w14:paraId="5CF367A1">
      <w:pPr>
        <w:spacing w:before="0" w:after="120" w:line="480" w:lineRule="auto"/>
      </w:pPr>
    </w:p>
    <w:p w14:paraId="2B6175AF">
      <w:pPr>
        <w:spacing w:before="0" w:after="120" w:line="480" w:lineRule="auto"/>
      </w:pPr>
      <w:r>
        <w:rPr>
          <w:rFonts w:ascii="Times New Roman" w:hAnsi="Times New Roman"/>
          <w:b w:val="0"/>
          <w:i w:val="0"/>
          <w:sz w:val="24"/>
        </w:rPr>
        <w:t>Note: ΔM = M_B − M_A. d_z is based on the standard deviation of difference scores and is influenced by inter-condition correlations; d_av uses the mean of the two conditional SDs as the denominator and offers stronger cross-design comparability (Lakens, 2013).</w:t>
      </w:r>
    </w:p>
    <w:p w14:paraId="734688E5">
      <w:pPr>
        <w:spacing w:before="0" w:after="120" w:line="480" w:lineRule="auto"/>
      </w:pPr>
      <w:r>
        <w:rPr>
          <w:rFonts w:ascii="Times New Roman" w:hAnsi="Times New Roman"/>
          <w:b w:val="0"/>
          <w:i w:val="0"/>
          <w:sz w:val="24"/>
        </w:rPr>
        <w:t>Reliability by version:</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1630"/>
        <w:gridCol w:w="1615"/>
        <w:gridCol w:w="909"/>
        <w:gridCol w:w="1064"/>
        <w:gridCol w:w="897"/>
        <w:gridCol w:w="1053"/>
        <w:gridCol w:w="845"/>
      </w:tblGrid>
      <w:tr w14:paraId="1665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47" w:type="dxa"/>
          </w:tcPr>
          <w:p w14:paraId="61D9C02D">
            <w:pPr>
              <w:snapToGrid w:val="0"/>
              <w:spacing w:before="20" w:after="20" w:line="240" w:lineRule="auto"/>
              <w:jc w:val="center"/>
            </w:pPr>
            <w:r>
              <w:rPr>
                <w:rFonts w:ascii="Times New Roman" w:hAnsi="Times New Roman"/>
                <w:b/>
                <w:i w:val="0"/>
                <w:sz w:val="18"/>
              </w:rPr>
              <w:t>Dimension</w:t>
            </w:r>
          </w:p>
        </w:tc>
        <w:tc>
          <w:tcPr>
            <w:tcW w:w="1630" w:type="dxa"/>
          </w:tcPr>
          <w:p w14:paraId="6927A5C6">
            <w:pPr>
              <w:snapToGrid w:val="0"/>
              <w:spacing w:before="20" w:after="20" w:line="240" w:lineRule="auto"/>
              <w:jc w:val="center"/>
            </w:pPr>
            <w:r>
              <w:rPr>
                <w:rFonts w:ascii="Times New Roman" w:hAnsi="Times New Roman"/>
                <w:b/>
                <w:i w:val="0"/>
                <w:sz w:val="18"/>
              </w:rPr>
              <w:t>α (Version A)</w:t>
            </w:r>
          </w:p>
        </w:tc>
        <w:tc>
          <w:tcPr>
            <w:tcW w:w="1615" w:type="dxa"/>
          </w:tcPr>
          <w:p w14:paraId="1307982B">
            <w:pPr>
              <w:snapToGrid w:val="0"/>
              <w:spacing w:before="20" w:after="20" w:line="240" w:lineRule="auto"/>
              <w:jc w:val="center"/>
            </w:pPr>
            <w:r>
              <w:rPr>
                <w:rFonts w:ascii="Times New Roman" w:hAnsi="Times New Roman"/>
                <w:b/>
                <w:i w:val="0"/>
                <w:sz w:val="18"/>
              </w:rPr>
              <w:t>α (Version B)</w:t>
            </w:r>
          </w:p>
        </w:tc>
        <w:tc>
          <w:tcPr>
            <w:tcW w:w="909" w:type="dxa"/>
          </w:tcPr>
          <w:p w14:paraId="56112476">
            <w:pPr>
              <w:snapToGrid w:val="0"/>
              <w:spacing w:before="20" w:after="20" w:line="240" w:lineRule="auto"/>
              <w:jc w:val="center"/>
            </w:pPr>
            <w:r>
              <w:rPr>
                <w:rFonts w:ascii="Times New Roman" w:hAnsi="Times New Roman"/>
                <w:b/>
                <w:i w:val="0"/>
                <w:sz w:val="18"/>
              </w:rPr>
              <w:t>CR_A</w:t>
            </w:r>
          </w:p>
        </w:tc>
        <w:tc>
          <w:tcPr>
            <w:tcW w:w="1064" w:type="dxa"/>
          </w:tcPr>
          <w:p w14:paraId="6602B4FA">
            <w:pPr>
              <w:snapToGrid w:val="0"/>
              <w:spacing w:before="20" w:after="20" w:line="240" w:lineRule="auto"/>
              <w:jc w:val="center"/>
            </w:pPr>
            <w:r>
              <w:rPr>
                <w:rFonts w:ascii="Times New Roman" w:hAnsi="Times New Roman"/>
                <w:b/>
                <w:i w:val="0"/>
                <w:sz w:val="18"/>
              </w:rPr>
              <w:t>AVE_A</w:t>
            </w:r>
          </w:p>
        </w:tc>
        <w:tc>
          <w:tcPr>
            <w:tcW w:w="897" w:type="dxa"/>
          </w:tcPr>
          <w:p w14:paraId="4E4B7407">
            <w:pPr>
              <w:snapToGrid w:val="0"/>
              <w:spacing w:before="20" w:after="20" w:line="240" w:lineRule="auto"/>
              <w:jc w:val="center"/>
            </w:pPr>
            <w:r>
              <w:rPr>
                <w:rFonts w:ascii="Times New Roman" w:hAnsi="Times New Roman"/>
                <w:b/>
                <w:i w:val="0"/>
                <w:sz w:val="18"/>
              </w:rPr>
              <w:t>CR_B</w:t>
            </w:r>
          </w:p>
        </w:tc>
        <w:tc>
          <w:tcPr>
            <w:tcW w:w="1052" w:type="dxa"/>
          </w:tcPr>
          <w:p w14:paraId="74EF53E1">
            <w:pPr>
              <w:snapToGrid w:val="0"/>
              <w:spacing w:before="20" w:after="20" w:line="240" w:lineRule="auto"/>
              <w:jc w:val="center"/>
            </w:pPr>
            <w:r>
              <w:rPr>
                <w:rFonts w:ascii="Times New Roman" w:hAnsi="Times New Roman"/>
                <w:b/>
                <w:i w:val="0"/>
                <w:sz w:val="18"/>
              </w:rPr>
              <w:t>AVE_B</w:t>
            </w:r>
          </w:p>
        </w:tc>
        <w:tc>
          <w:tcPr>
            <w:tcW w:w="844" w:type="dxa"/>
          </w:tcPr>
          <w:p w14:paraId="692186A7">
            <w:pPr>
              <w:snapToGrid w:val="0"/>
              <w:spacing w:before="20" w:after="20" w:line="240" w:lineRule="auto"/>
              <w:jc w:val="center"/>
            </w:pPr>
            <w:r>
              <w:rPr>
                <w:rFonts w:ascii="Times New Roman" w:hAnsi="Times New Roman"/>
                <w:b/>
                <w:i w:val="0"/>
                <w:sz w:val="18"/>
              </w:rPr>
              <w:t>Items</w:t>
            </w:r>
          </w:p>
        </w:tc>
      </w:tr>
      <w:tr w14:paraId="4F24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47" w:type="dxa"/>
          </w:tcPr>
          <w:p w14:paraId="35853763">
            <w:pPr>
              <w:snapToGrid w:val="0"/>
              <w:spacing w:before="20" w:after="20" w:line="240" w:lineRule="auto"/>
              <w:jc w:val="center"/>
            </w:pPr>
            <w:r>
              <w:rPr>
                <w:rFonts w:ascii="Times New Roman" w:hAnsi="Times New Roman"/>
                <w:b w:val="0"/>
                <w:i w:val="0"/>
                <w:sz w:val="18"/>
              </w:rPr>
              <w:t>PV</w:t>
            </w:r>
          </w:p>
        </w:tc>
        <w:tc>
          <w:tcPr>
            <w:tcW w:w="1630" w:type="dxa"/>
          </w:tcPr>
          <w:p w14:paraId="4EBD4460">
            <w:pPr>
              <w:snapToGrid w:val="0"/>
              <w:spacing w:before="20" w:after="20" w:line="240" w:lineRule="auto"/>
              <w:jc w:val="center"/>
            </w:pPr>
            <w:r>
              <w:rPr>
                <w:rFonts w:ascii="Times New Roman" w:hAnsi="Times New Roman"/>
                <w:b w:val="0"/>
                <w:i w:val="0"/>
                <w:sz w:val="18"/>
              </w:rPr>
              <w:t>0.894</w:t>
            </w:r>
          </w:p>
        </w:tc>
        <w:tc>
          <w:tcPr>
            <w:tcW w:w="1615" w:type="dxa"/>
          </w:tcPr>
          <w:p w14:paraId="1590B808">
            <w:pPr>
              <w:snapToGrid w:val="0"/>
              <w:spacing w:before="20" w:after="20" w:line="240" w:lineRule="auto"/>
              <w:jc w:val="center"/>
            </w:pPr>
            <w:r>
              <w:rPr>
                <w:rFonts w:ascii="Times New Roman" w:hAnsi="Times New Roman"/>
                <w:b w:val="0"/>
                <w:i w:val="0"/>
                <w:sz w:val="18"/>
              </w:rPr>
              <w:t>0.815</w:t>
            </w:r>
          </w:p>
        </w:tc>
        <w:tc>
          <w:tcPr>
            <w:tcW w:w="909" w:type="dxa"/>
          </w:tcPr>
          <w:p w14:paraId="505F551E">
            <w:pPr>
              <w:snapToGrid w:val="0"/>
              <w:spacing w:before="20" w:after="20" w:line="240" w:lineRule="auto"/>
              <w:jc w:val="center"/>
            </w:pPr>
            <w:r>
              <w:rPr>
                <w:rFonts w:ascii="Times New Roman" w:hAnsi="Times New Roman"/>
                <w:b w:val="0"/>
                <w:i w:val="0"/>
                <w:sz w:val="18"/>
              </w:rPr>
              <w:t>0.926</w:t>
            </w:r>
          </w:p>
        </w:tc>
        <w:tc>
          <w:tcPr>
            <w:tcW w:w="1064" w:type="dxa"/>
          </w:tcPr>
          <w:p w14:paraId="73948A34">
            <w:pPr>
              <w:snapToGrid w:val="0"/>
              <w:spacing w:before="20" w:after="20" w:line="240" w:lineRule="auto"/>
              <w:jc w:val="center"/>
            </w:pPr>
            <w:r>
              <w:rPr>
                <w:rFonts w:ascii="Times New Roman" w:hAnsi="Times New Roman"/>
                <w:b w:val="0"/>
                <w:i w:val="0"/>
                <w:sz w:val="18"/>
              </w:rPr>
              <w:t>0.681</w:t>
            </w:r>
          </w:p>
        </w:tc>
        <w:tc>
          <w:tcPr>
            <w:tcW w:w="897" w:type="dxa"/>
          </w:tcPr>
          <w:p w14:paraId="2F76F902">
            <w:pPr>
              <w:snapToGrid w:val="0"/>
              <w:spacing w:before="20" w:after="20" w:line="240" w:lineRule="auto"/>
              <w:jc w:val="center"/>
            </w:pPr>
            <w:r>
              <w:rPr>
                <w:rFonts w:ascii="Times New Roman" w:hAnsi="Times New Roman"/>
                <w:b w:val="0"/>
                <w:i w:val="0"/>
                <w:sz w:val="18"/>
              </w:rPr>
              <w:t>0.870</w:t>
            </w:r>
          </w:p>
        </w:tc>
        <w:tc>
          <w:tcPr>
            <w:tcW w:w="1052" w:type="dxa"/>
          </w:tcPr>
          <w:p w14:paraId="5D692490">
            <w:pPr>
              <w:snapToGrid w:val="0"/>
              <w:spacing w:before="20" w:after="20" w:line="240" w:lineRule="auto"/>
              <w:jc w:val="center"/>
            </w:pPr>
            <w:r>
              <w:rPr>
                <w:rFonts w:ascii="Times New Roman" w:hAnsi="Times New Roman"/>
                <w:b w:val="0"/>
                <w:i w:val="0"/>
                <w:sz w:val="18"/>
              </w:rPr>
              <w:t>0.528</w:t>
            </w:r>
          </w:p>
        </w:tc>
        <w:tc>
          <w:tcPr>
            <w:tcW w:w="844" w:type="dxa"/>
          </w:tcPr>
          <w:p w14:paraId="4CAECC01">
            <w:pPr>
              <w:snapToGrid w:val="0"/>
              <w:spacing w:before="20" w:after="20" w:line="240" w:lineRule="auto"/>
              <w:jc w:val="center"/>
            </w:pPr>
            <w:r>
              <w:rPr>
                <w:rFonts w:ascii="Times New Roman" w:hAnsi="Times New Roman"/>
                <w:b w:val="0"/>
                <w:i w:val="0"/>
                <w:sz w:val="18"/>
              </w:rPr>
              <w:t>6</w:t>
            </w:r>
          </w:p>
        </w:tc>
      </w:tr>
      <w:tr w14:paraId="4F2A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47" w:type="dxa"/>
          </w:tcPr>
          <w:p w14:paraId="2A9743D9">
            <w:pPr>
              <w:snapToGrid w:val="0"/>
              <w:spacing w:before="20" w:after="20" w:line="240" w:lineRule="auto"/>
              <w:jc w:val="center"/>
            </w:pPr>
            <w:r>
              <w:rPr>
                <w:rFonts w:ascii="Times New Roman" w:hAnsi="Times New Roman"/>
                <w:b w:val="0"/>
                <w:i w:val="0"/>
                <w:sz w:val="18"/>
              </w:rPr>
              <w:t>TN</w:t>
            </w:r>
          </w:p>
        </w:tc>
        <w:tc>
          <w:tcPr>
            <w:tcW w:w="1630" w:type="dxa"/>
          </w:tcPr>
          <w:p w14:paraId="60D285AD">
            <w:pPr>
              <w:snapToGrid w:val="0"/>
              <w:spacing w:before="20" w:after="20" w:line="240" w:lineRule="auto"/>
              <w:jc w:val="center"/>
            </w:pPr>
            <w:r>
              <w:rPr>
                <w:rFonts w:ascii="Times New Roman" w:hAnsi="Times New Roman"/>
                <w:b w:val="0"/>
                <w:i w:val="0"/>
                <w:sz w:val="18"/>
              </w:rPr>
              <w:t>0.879</w:t>
            </w:r>
          </w:p>
        </w:tc>
        <w:tc>
          <w:tcPr>
            <w:tcW w:w="1615" w:type="dxa"/>
          </w:tcPr>
          <w:p w14:paraId="6BA8C530">
            <w:pPr>
              <w:snapToGrid w:val="0"/>
              <w:spacing w:before="20" w:after="20" w:line="240" w:lineRule="auto"/>
              <w:jc w:val="center"/>
            </w:pPr>
            <w:r>
              <w:rPr>
                <w:rFonts w:ascii="Times New Roman" w:hAnsi="Times New Roman"/>
                <w:b w:val="0"/>
                <w:i w:val="0"/>
                <w:sz w:val="18"/>
              </w:rPr>
              <w:t>0.757</w:t>
            </w:r>
          </w:p>
        </w:tc>
        <w:tc>
          <w:tcPr>
            <w:tcW w:w="909" w:type="dxa"/>
          </w:tcPr>
          <w:p w14:paraId="6B353BE7">
            <w:pPr>
              <w:snapToGrid w:val="0"/>
              <w:spacing w:before="20" w:after="20" w:line="240" w:lineRule="auto"/>
              <w:jc w:val="center"/>
            </w:pPr>
            <w:r>
              <w:rPr>
                <w:rFonts w:ascii="Times New Roman" w:hAnsi="Times New Roman"/>
                <w:b w:val="0"/>
                <w:i w:val="0"/>
                <w:sz w:val="18"/>
              </w:rPr>
              <w:t>0.915</w:t>
            </w:r>
          </w:p>
        </w:tc>
        <w:tc>
          <w:tcPr>
            <w:tcW w:w="1064" w:type="dxa"/>
          </w:tcPr>
          <w:p w14:paraId="4153DA13">
            <w:pPr>
              <w:snapToGrid w:val="0"/>
              <w:spacing w:before="20" w:after="20" w:line="240" w:lineRule="auto"/>
              <w:jc w:val="center"/>
            </w:pPr>
            <w:r>
              <w:rPr>
                <w:rFonts w:ascii="Times New Roman" w:hAnsi="Times New Roman"/>
                <w:b w:val="0"/>
                <w:i w:val="0"/>
                <w:sz w:val="18"/>
              </w:rPr>
              <w:t>0.648</w:t>
            </w:r>
          </w:p>
        </w:tc>
        <w:tc>
          <w:tcPr>
            <w:tcW w:w="897" w:type="dxa"/>
          </w:tcPr>
          <w:p w14:paraId="7A84C518">
            <w:pPr>
              <w:snapToGrid w:val="0"/>
              <w:spacing w:before="20" w:after="20" w:line="240" w:lineRule="auto"/>
              <w:jc w:val="center"/>
            </w:pPr>
            <w:r>
              <w:rPr>
                <w:rFonts w:ascii="Times New Roman" w:hAnsi="Times New Roman"/>
                <w:b w:val="0"/>
                <w:i w:val="0"/>
                <w:sz w:val="18"/>
              </w:rPr>
              <w:t>0.833</w:t>
            </w:r>
          </w:p>
        </w:tc>
        <w:tc>
          <w:tcPr>
            <w:tcW w:w="1052" w:type="dxa"/>
          </w:tcPr>
          <w:p w14:paraId="2A3D8937">
            <w:pPr>
              <w:snapToGrid w:val="0"/>
              <w:spacing w:before="20" w:after="20" w:line="240" w:lineRule="auto"/>
              <w:jc w:val="center"/>
            </w:pPr>
            <w:r>
              <w:rPr>
                <w:rFonts w:ascii="Times New Roman" w:hAnsi="Times New Roman"/>
                <w:b w:val="0"/>
                <w:i w:val="0"/>
                <w:sz w:val="18"/>
              </w:rPr>
              <w:t>0.458</w:t>
            </w:r>
          </w:p>
        </w:tc>
        <w:tc>
          <w:tcPr>
            <w:tcW w:w="844" w:type="dxa"/>
          </w:tcPr>
          <w:p w14:paraId="64D16D72">
            <w:pPr>
              <w:snapToGrid w:val="0"/>
              <w:spacing w:before="20" w:after="20" w:line="240" w:lineRule="auto"/>
              <w:jc w:val="center"/>
            </w:pPr>
            <w:r>
              <w:rPr>
                <w:rFonts w:ascii="Times New Roman" w:hAnsi="Times New Roman"/>
                <w:b w:val="0"/>
                <w:i w:val="0"/>
                <w:sz w:val="18"/>
              </w:rPr>
              <w:t>6</w:t>
            </w:r>
          </w:p>
        </w:tc>
      </w:tr>
      <w:tr w14:paraId="1833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47" w:type="dxa"/>
          </w:tcPr>
          <w:p w14:paraId="1F92EE45">
            <w:pPr>
              <w:snapToGrid w:val="0"/>
              <w:spacing w:before="20" w:after="20" w:line="240" w:lineRule="auto"/>
              <w:jc w:val="center"/>
            </w:pPr>
            <w:r>
              <w:rPr>
                <w:rFonts w:ascii="Times New Roman" w:hAnsi="Times New Roman"/>
                <w:b w:val="0"/>
                <w:i w:val="0"/>
                <w:sz w:val="18"/>
              </w:rPr>
              <w:t>SO</w:t>
            </w:r>
          </w:p>
        </w:tc>
        <w:tc>
          <w:tcPr>
            <w:tcW w:w="1630" w:type="dxa"/>
          </w:tcPr>
          <w:p w14:paraId="69D8D841">
            <w:pPr>
              <w:snapToGrid w:val="0"/>
              <w:spacing w:before="20" w:after="20" w:line="240" w:lineRule="auto"/>
              <w:jc w:val="center"/>
            </w:pPr>
            <w:r>
              <w:rPr>
                <w:rFonts w:ascii="Times New Roman" w:hAnsi="Times New Roman"/>
                <w:b w:val="0"/>
                <w:i w:val="0"/>
                <w:sz w:val="18"/>
              </w:rPr>
              <w:t>0.852</w:t>
            </w:r>
          </w:p>
        </w:tc>
        <w:tc>
          <w:tcPr>
            <w:tcW w:w="1615" w:type="dxa"/>
          </w:tcPr>
          <w:p w14:paraId="789D88B4">
            <w:pPr>
              <w:snapToGrid w:val="0"/>
              <w:spacing w:before="20" w:after="20" w:line="240" w:lineRule="auto"/>
              <w:jc w:val="center"/>
            </w:pPr>
            <w:r>
              <w:rPr>
                <w:rFonts w:ascii="Times New Roman" w:hAnsi="Times New Roman"/>
                <w:b w:val="0"/>
                <w:i w:val="0"/>
                <w:sz w:val="18"/>
              </w:rPr>
              <w:t>0.717</w:t>
            </w:r>
          </w:p>
        </w:tc>
        <w:tc>
          <w:tcPr>
            <w:tcW w:w="909" w:type="dxa"/>
          </w:tcPr>
          <w:p w14:paraId="29D5C8D9">
            <w:pPr>
              <w:snapToGrid w:val="0"/>
              <w:spacing w:before="20" w:after="20" w:line="240" w:lineRule="auto"/>
              <w:jc w:val="center"/>
            </w:pPr>
            <w:r>
              <w:rPr>
                <w:rFonts w:ascii="Times New Roman" w:hAnsi="Times New Roman"/>
                <w:b w:val="0"/>
                <w:i w:val="0"/>
                <w:sz w:val="18"/>
              </w:rPr>
              <w:t>0.904</w:t>
            </w:r>
          </w:p>
        </w:tc>
        <w:tc>
          <w:tcPr>
            <w:tcW w:w="1064" w:type="dxa"/>
          </w:tcPr>
          <w:p w14:paraId="7AEB67A3">
            <w:pPr>
              <w:snapToGrid w:val="0"/>
              <w:spacing w:before="20" w:after="20" w:line="240" w:lineRule="auto"/>
              <w:jc w:val="center"/>
            </w:pPr>
            <w:r>
              <w:rPr>
                <w:rFonts w:ascii="Times New Roman" w:hAnsi="Times New Roman"/>
                <w:b w:val="0"/>
                <w:i w:val="0"/>
                <w:sz w:val="18"/>
              </w:rPr>
              <w:t>0.658</w:t>
            </w:r>
          </w:p>
        </w:tc>
        <w:tc>
          <w:tcPr>
            <w:tcW w:w="897" w:type="dxa"/>
          </w:tcPr>
          <w:p w14:paraId="502CF73E">
            <w:pPr>
              <w:snapToGrid w:val="0"/>
              <w:spacing w:before="20" w:after="20" w:line="240" w:lineRule="auto"/>
              <w:jc w:val="center"/>
            </w:pPr>
            <w:r>
              <w:rPr>
                <w:rFonts w:ascii="Times New Roman" w:hAnsi="Times New Roman"/>
                <w:b w:val="0"/>
                <w:i w:val="0"/>
                <w:sz w:val="18"/>
              </w:rPr>
              <w:t>0.822</w:t>
            </w:r>
          </w:p>
        </w:tc>
        <w:tc>
          <w:tcPr>
            <w:tcW w:w="1052" w:type="dxa"/>
          </w:tcPr>
          <w:p w14:paraId="0EDDC5EC">
            <w:pPr>
              <w:snapToGrid w:val="0"/>
              <w:spacing w:before="20" w:after="20" w:line="240" w:lineRule="auto"/>
              <w:jc w:val="center"/>
            </w:pPr>
            <w:r>
              <w:rPr>
                <w:rFonts w:ascii="Times New Roman" w:hAnsi="Times New Roman"/>
                <w:b w:val="0"/>
                <w:i w:val="0"/>
                <w:sz w:val="18"/>
              </w:rPr>
              <w:t>0.485</w:t>
            </w:r>
          </w:p>
        </w:tc>
        <w:tc>
          <w:tcPr>
            <w:tcW w:w="844" w:type="dxa"/>
          </w:tcPr>
          <w:p w14:paraId="327F2159">
            <w:pPr>
              <w:snapToGrid w:val="0"/>
              <w:spacing w:before="20" w:after="20" w:line="240" w:lineRule="auto"/>
              <w:jc w:val="center"/>
            </w:pPr>
            <w:r>
              <w:rPr>
                <w:rFonts w:ascii="Times New Roman" w:hAnsi="Times New Roman"/>
                <w:b w:val="0"/>
                <w:i w:val="0"/>
                <w:sz w:val="18"/>
              </w:rPr>
              <w:t>5</w:t>
            </w:r>
          </w:p>
        </w:tc>
      </w:tr>
      <w:tr w14:paraId="1505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47" w:type="dxa"/>
          </w:tcPr>
          <w:p w14:paraId="59CF40F8">
            <w:pPr>
              <w:snapToGrid w:val="0"/>
              <w:spacing w:before="20" w:after="20" w:line="240" w:lineRule="auto"/>
              <w:jc w:val="center"/>
            </w:pPr>
            <w:r>
              <w:rPr>
                <w:rFonts w:ascii="Times New Roman" w:hAnsi="Times New Roman"/>
                <w:b w:val="0"/>
                <w:i w:val="0"/>
                <w:sz w:val="18"/>
              </w:rPr>
              <w:t>AG</w:t>
            </w:r>
          </w:p>
        </w:tc>
        <w:tc>
          <w:tcPr>
            <w:tcW w:w="1630" w:type="dxa"/>
          </w:tcPr>
          <w:p w14:paraId="67C251EA">
            <w:pPr>
              <w:snapToGrid w:val="0"/>
              <w:spacing w:before="20" w:after="20" w:line="240" w:lineRule="auto"/>
              <w:jc w:val="center"/>
            </w:pPr>
            <w:r>
              <w:rPr>
                <w:rFonts w:ascii="Times New Roman" w:hAnsi="Times New Roman"/>
                <w:b w:val="0"/>
                <w:i w:val="0"/>
                <w:sz w:val="18"/>
              </w:rPr>
              <w:t>0.852</w:t>
            </w:r>
          </w:p>
        </w:tc>
        <w:tc>
          <w:tcPr>
            <w:tcW w:w="1615" w:type="dxa"/>
          </w:tcPr>
          <w:p w14:paraId="1EC35622">
            <w:pPr>
              <w:snapToGrid w:val="0"/>
              <w:spacing w:before="20" w:after="20" w:line="240" w:lineRule="auto"/>
              <w:jc w:val="center"/>
            </w:pPr>
            <w:r>
              <w:rPr>
                <w:rFonts w:ascii="Times New Roman" w:hAnsi="Times New Roman"/>
                <w:b w:val="0"/>
                <w:i w:val="0"/>
                <w:sz w:val="18"/>
              </w:rPr>
              <w:t>0.710</w:t>
            </w:r>
          </w:p>
        </w:tc>
        <w:tc>
          <w:tcPr>
            <w:tcW w:w="909" w:type="dxa"/>
          </w:tcPr>
          <w:p w14:paraId="1754FC9C">
            <w:pPr>
              <w:snapToGrid w:val="0"/>
              <w:spacing w:before="20" w:after="20" w:line="240" w:lineRule="auto"/>
              <w:jc w:val="center"/>
            </w:pPr>
            <w:r>
              <w:rPr>
                <w:rFonts w:ascii="Times New Roman" w:hAnsi="Times New Roman"/>
                <w:b w:val="0"/>
                <w:i w:val="0"/>
                <w:sz w:val="18"/>
              </w:rPr>
              <w:t>0.905</w:t>
            </w:r>
          </w:p>
        </w:tc>
        <w:tc>
          <w:tcPr>
            <w:tcW w:w="1064" w:type="dxa"/>
          </w:tcPr>
          <w:p w14:paraId="19835EBD">
            <w:pPr>
              <w:snapToGrid w:val="0"/>
              <w:spacing w:before="20" w:after="20" w:line="240" w:lineRule="auto"/>
              <w:jc w:val="center"/>
            </w:pPr>
            <w:r>
              <w:rPr>
                <w:rFonts w:ascii="Times New Roman" w:hAnsi="Times New Roman"/>
                <w:b w:val="0"/>
                <w:i w:val="0"/>
                <w:sz w:val="18"/>
              </w:rPr>
              <w:t>0.669</w:t>
            </w:r>
          </w:p>
        </w:tc>
        <w:tc>
          <w:tcPr>
            <w:tcW w:w="897" w:type="dxa"/>
          </w:tcPr>
          <w:p w14:paraId="2D88AC64">
            <w:pPr>
              <w:snapToGrid w:val="0"/>
              <w:spacing w:before="20" w:after="20" w:line="240" w:lineRule="auto"/>
              <w:jc w:val="center"/>
            </w:pPr>
            <w:r>
              <w:rPr>
                <w:rFonts w:ascii="Times New Roman" w:hAnsi="Times New Roman"/>
                <w:b w:val="0"/>
                <w:i w:val="0"/>
                <w:sz w:val="18"/>
              </w:rPr>
              <w:t>0.811</w:t>
            </w:r>
          </w:p>
        </w:tc>
        <w:tc>
          <w:tcPr>
            <w:tcW w:w="1052" w:type="dxa"/>
          </w:tcPr>
          <w:p w14:paraId="7FE893A6">
            <w:pPr>
              <w:snapToGrid w:val="0"/>
              <w:spacing w:before="20" w:after="20" w:line="240" w:lineRule="auto"/>
              <w:jc w:val="center"/>
            </w:pPr>
            <w:r>
              <w:rPr>
                <w:rFonts w:ascii="Times New Roman" w:hAnsi="Times New Roman"/>
                <w:b w:val="0"/>
                <w:i w:val="0"/>
                <w:sz w:val="18"/>
              </w:rPr>
              <w:t>0.495</w:t>
            </w:r>
          </w:p>
        </w:tc>
        <w:tc>
          <w:tcPr>
            <w:tcW w:w="844" w:type="dxa"/>
          </w:tcPr>
          <w:p w14:paraId="140AA9F1">
            <w:pPr>
              <w:snapToGrid w:val="0"/>
              <w:spacing w:before="20" w:after="20" w:line="240" w:lineRule="auto"/>
              <w:jc w:val="center"/>
            </w:pPr>
            <w:r>
              <w:rPr>
                <w:rFonts w:ascii="Times New Roman" w:hAnsi="Times New Roman"/>
                <w:b w:val="0"/>
                <w:i w:val="0"/>
                <w:sz w:val="18"/>
              </w:rPr>
              <w:t>5</w:t>
            </w:r>
          </w:p>
        </w:tc>
      </w:tr>
    </w:tbl>
    <w:p w14:paraId="52DAAA75">
      <w:pPr>
        <w:spacing w:before="0" w:after="120" w:line="480" w:lineRule="auto"/>
      </w:pPr>
    </w:p>
    <w:p w14:paraId="706E14B2">
      <w:pPr>
        <w:spacing w:before="0" w:after="120" w:line="480" w:lineRule="auto"/>
      </w:pPr>
      <w:r>
        <w:rPr>
          <w:rFonts w:ascii="Times New Roman" w:hAnsi="Times New Roman"/>
          <w:b w:val="0"/>
          <w:i w:val="0"/>
          <w:sz w:val="24"/>
        </w:rPr>
        <w:t>Note: CR and AVE are reported separately by version.</w:t>
      </w:r>
    </w:p>
    <w:p w14:paraId="10C29BC0">
      <w:pPr>
        <w:spacing w:before="360" w:after="120" w:line="480" w:lineRule="auto"/>
      </w:pPr>
      <w:r>
        <w:rPr>
          <w:rFonts w:ascii="Times New Roman" w:hAnsi="Times New Roman"/>
          <w:b/>
          <w:sz w:val="24"/>
        </w:rPr>
        <w:t>S2 Text: Qualitative Interview Detailed Data</w:t>
      </w:r>
    </w:p>
    <w:p w14:paraId="502027DF">
      <w:pPr>
        <w:spacing w:before="240" w:after="120" w:line="480" w:lineRule="auto"/>
      </w:pPr>
      <w:r>
        <w:rPr>
          <w:rFonts w:ascii="Times New Roman" w:hAnsi="Times New Roman"/>
          <w:b/>
          <w:sz w:val="24"/>
        </w:rPr>
        <w:t>S2.1 Coding Procedure</w:t>
      </w:r>
    </w:p>
    <w:p w14:paraId="10488A11">
      <w:pPr>
        <w:spacing w:before="0" w:after="120" w:line="480" w:lineRule="auto"/>
      </w:pPr>
      <w:r>
        <w:rPr>
          <w:rFonts w:ascii="Times New Roman" w:hAnsi="Times New Roman"/>
          <w:b w:val="0"/>
          <w:i w:val="0"/>
          <w:sz w:val="24"/>
        </w:rPr>
        <w:t xml:space="preserve">Two coders with backgrounds in digital media studies and museology independently coded the data (interviews were conducted by a doctoral researcher with a background in art psychology; the researcher maintained reflexive awareness throughout the interview process to avoid leading questions and documented research decisions through an audit trail) (Cohen's κ = 0.82). Coding was based on 328 meaning units across 45 interview transcripts. Mean interview duration did not differ significantly across the three groups (AP 23.4 min, GP 22.1 min, TP 21.8 min; </w:t>
      </w:r>
      <w:r>
        <w:rPr>
          <w:rFonts w:ascii="Times New Roman" w:hAnsi="Times New Roman"/>
          <w:b w:val="0"/>
          <w:i/>
          <w:sz w:val="24"/>
        </w:rPr>
        <w:t>F</w:t>
      </w:r>
      <w:r>
        <w:rPr>
          <w:rFonts w:ascii="Times New Roman" w:hAnsi="Times New Roman"/>
          <w:b w:val="0"/>
          <w:i w:val="0"/>
          <w:sz w:val="24"/>
        </w:rPr>
        <w:t xml:space="preserve">(2,42) = 0.89, </w:t>
      </w:r>
      <w:r>
        <w:rPr>
          <w:rFonts w:ascii="Times New Roman" w:hAnsi="Times New Roman"/>
          <w:b w:val="0"/>
          <w:i/>
          <w:sz w:val="24"/>
        </w:rPr>
        <w:t>p</w:t>
      </w:r>
      <w:r>
        <w:rPr>
          <w:rFonts w:ascii="Times New Roman" w:hAnsi="Times New Roman"/>
          <w:b w:val="0"/>
          <w:i w:val="0"/>
          <w:sz w:val="24"/>
        </w:rPr>
        <w:t xml:space="preserve"> = .418).</w:t>
      </w:r>
    </w:p>
    <w:p w14:paraId="7F079978">
      <w:pPr>
        <w:spacing w:before="240" w:after="120" w:line="480" w:lineRule="auto"/>
      </w:pPr>
      <w:r>
        <w:rPr>
          <w:rFonts w:ascii="Times New Roman" w:hAnsi="Times New Roman"/>
          <w:b/>
          <w:sz w:val="24"/>
        </w:rPr>
        <w:t>S2.2 Codebook Summary</w:t>
      </w:r>
    </w:p>
    <w:p w14:paraId="092A6CEE">
      <w:pPr>
        <w:spacing w:before="0" w:after="120" w:line="480" w:lineRule="auto"/>
      </w:pPr>
      <w:r>
        <w:rPr>
          <w:rFonts w:ascii="Times New Roman" w:hAnsi="Times New Roman"/>
          <w:b w:val="0"/>
          <w:i w:val="0"/>
          <w:sz w:val="24"/>
        </w:rPr>
        <w:t>Coding yielded 56 initial codes, consolidated into 17 subthemes and 3 core themes:</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4592"/>
        <w:gridCol w:w="3477"/>
      </w:tblGrid>
      <w:tr w14:paraId="6795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0192E462">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Core Theme</w:t>
            </w:r>
          </w:p>
        </w:tc>
        <w:tc>
          <w:tcPr>
            <w:tcW w:w="4592" w:type="dxa"/>
            <w:vAlign w:val="center"/>
          </w:tcPr>
          <w:p w14:paraId="3FC411E8">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Definition</w:t>
            </w:r>
          </w:p>
        </w:tc>
        <w:tc>
          <w:tcPr>
            <w:tcW w:w="3477" w:type="dxa"/>
            <w:vAlign w:val="center"/>
          </w:tcPr>
          <w:p w14:paraId="08F2BAC2">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Example Codes</w:t>
            </w:r>
          </w:p>
        </w:tc>
      </w:tr>
      <w:tr w14:paraId="58C1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F19A25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Immersive Field</w:t>
            </w:r>
          </w:p>
        </w:tc>
        <w:tc>
          <w:tcPr>
            <w:tcW w:w="4592" w:type="dxa"/>
            <w:vAlign w:val="center"/>
          </w:tcPr>
          <w:p w14:paraId="72F1EC66">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Participants described the psychological experience of being enveloped by and immersed in the projection mapping environment, including the blurring of physical–virtual boundaries, spatial presence, and media transparency</w:t>
            </w:r>
          </w:p>
        </w:tc>
        <w:tc>
          <w:tcPr>
            <w:tcW w:w="3477" w:type="dxa"/>
            <w:vAlign w:val="center"/>
          </w:tcPr>
          <w:p w14:paraId="04402356">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"It felt like standing at the intersection of the virtual and the real"; "The entire room became part of the exhibit"; "I forgot I was in a museum"</w:t>
            </w:r>
          </w:p>
        </w:tc>
      </w:tr>
      <w:tr w14:paraId="3B08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DD0B6A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Bodily Empathy</w:t>
            </w:r>
          </w:p>
        </w:tc>
        <w:tc>
          <w:tcPr>
            <w:tcW w:w="4592" w:type="dxa"/>
            <w:vAlign w:val="center"/>
          </w:tcPr>
          <w:p w14:paraId="066AB3D3">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Participants established connections with the artworks through bodily perception or emotional resonance, including embodied experiences such as cutaneous sensations, muscular responses, and affective resonance</w:t>
            </w:r>
          </w:p>
        </w:tc>
        <w:tc>
          <w:tcPr>
            <w:tcW w:w="3477" w:type="dxa"/>
            <w:vAlign w:val="center"/>
          </w:tcPr>
          <w:p w14:paraId="1D9D6A52">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"The skin on my arms seemed to feel that cool, flowing sensation"; "There was a sense of being drawn by the artwork"; "I was inexplicably moved"</w:t>
            </w:r>
          </w:p>
        </w:tc>
      </w:tr>
      <w:tr w14:paraId="72F1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91" w:type="dxa"/>
            <w:vAlign w:val="center"/>
          </w:tcPr>
          <w:p w14:paraId="5EF2A42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Open Interpretation</w:t>
            </w:r>
          </w:p>
        </w:tc>
        <w:tc>
          <w:tcPr>
            <w:tcW w:w="4592" w:type="dxa"/>
            <w:vAlign w:val="center"/>
          </w:tcPr>
          <w:p w14:paraId="190E15F2">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Participants actively created and interpreted the meaning of the artworks, going beyond passive reception, including evaluations of technological innovation, exploration of cross-media possibilities, and art-historical positioning</w:t>
            </w:r>
          </w:p>
        </w:tc>
        <w:tc>
          <w:tcPr>
            <w:tcW w:w="3477" w:type="dxa"/>
            <w:vAlign w:val="center"/>
          </w:tcPr>
          <w:p w14:paraId="2F51280F">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"It felt more like an open-ended techno-aesthetic project"; "It broke the traditional definition of sculpture"; "It was exploring the future possibilities of the medium"</w:t>
            </w:r>
          </w:p>
        </w:tc>
      </w:tr>
    </w:tbl>
    <w:p w14:paraId="789DC28A">
      <w:pPr>
        <w:spacing w:before="0" w:after="120" w:line="480" w:lineRule="auto"/>
      </w:pPr>
    </w:p>
    <w:p w14:paraId="1C3EF447">
      <w:pPr>
        <w:spacing w:before="240" w:after="120" w:line="480" w:lineRule="auto"/>
      </w:pPr>
      <w:r>
        <w:rPr>
          <w:rFonts w:ascii="Times New Roman" w:hAnsi="Times New Roman"/>
          <w:b/>
          <w:sz w:val="24"/>
        </w:rPr>
        <w:t>S2.3 Representative Quotations by Theme</w:t>
      </w:r>
    </w:p>
    <w:p w14:paraId="4BD8A4B8">
      <w:pPr>
        <w:spacing w:before="240" w:after="120" w:line="480" w:lineRule="auto"/>
      </w:pPr>
      <w:r>
        <w:rPr>
          <w:rFonts w:ascii="Times New Roman" w:hAnsi="Times New Roman"/>
          <w:b/>
          <w:i/>
          <w:sz w:val="24"/>
        </w:rPr>
        <w:t>Immersive Field</w:t>
      </w:r>
    </w:p>
    <w:p w14:paraId="7398D0D8">
      <w:pPr>
        <w:spacing w:before="0" w:after="120" w:line="480" w:lineRule="auto"/>
      </w:pPr>
      <w:r>
        <w:rPr>
          <w:rFonts w:ascii="Times New Roman" w:hAnsi="Times New Roman"/>
          <w:b w:val="0"/>
          <w:i w:val="0"/>
          <w:sz w:val="24"/>
        </w:rPr>
        <w:t>GP group:</w:t>
      </w:r>
    </w:p>
    <w:p w14:paraId="496E0A51">
      <w:pPr>
        <w:spacing w:before="0" w:after="120" w:line="480" w:lineRule="auto"/>
      </w:pPr>
      <w:r>
        <w:rPr>
          <w:rFonts w:ascii="Times New Roman" w:hAnsi="Times New Roman"/>
          <w:b w:val="0"/>
          <w:i w:val="0"/>
          <w:sz w:val="24"/>
        </w:rPr>
        <w:t>"The light and shadow flowed from the walls onto the floor, turning the entire room into part of the exhibit... I completely forgot it was projection; it felt like standing at the intersection of the virtual and the real."</w:t>
      </w:r>
    </w:p>
    <w:p w14:paraId="5DCBA423">
      <w:pPr>
        <w:spacing w:before="240" w:after="120" w:line="480" w:lineRule="auto"/>
      </w:pPr>
      <w:r>
        <w:rPr>
          <w:rFonts w:ascii="Times New Roman" w:hAnsi="Times New Roman"/>
          <w:b/>
          <w:i/>
          <w:sz w:val="24"/>
        </w:rPr>
        <w:t>Bodily Empathy</w:t>
      </w:r>
    </w:p>
    <w:p w14:paraId="2C7BBDA7">
      <w:pPr>
        <w:spacing w:before="0" w:after="120" w:line="480" w:lineRule="auto"/>
      </w:pPr>
      <w:r>
        <w:rPr>
          <w:rFonts w:ascii="Times New Roman" w:hAnsi="Times New Roman"/>
          <w:b w:val="0"/>
          <w:i w:val="0"/>
          <w:sz w:val="24"/>
        </w:rPr>
        <w:t>AP group:</w:t>
      </w:r>
    </w:p>
    <w:p w14:paraId="105F3704">
      <w:pPr>
        <w:spacing w:before="0" w:after="120" w:line="480" w:lineRule="auto"/>
      </w:pPr>
      <w:r>
        <w:rPr>
          <w:rFonts w:ascii="Times New Roman" w:hAnsi="Times New Roman"/>
          <w:b w:val="0"/>
          <w:i w:val="0"/>
          <w:sz w:val="24"/>
        </w:rPr>
        <w:t>"When the light and shadow simulated water flowing over the stone sculpture, the skin on my arms seemed to feel that cool, flowing sensation — not real touch, but my body responded."</w:t>
      </w:r>
    </w:p>
    <w:p w14:paraId="091B4043">
      <w:pPr>
        <w:spacing w:before="240" w:after="120" w:line="480" w:lineRule="auto"/>
      </w:pPr>
      <w:r>
        <w:rPr>
          <w:rFonts w:ascii="Times New Roman" w:hAnsi="Times New Roman"/>
          <w:b/>
          <w:i/>
          <w:sz w:val="24"/>
        </w:rPr>
        <w:t>Open Interpretation</w:t>
      </w:r>
    </w:p>
    <w:p w14:paraId="6EA7F34A">
      <w:pPr>
        <w:spacing w:before="0" w:after="120" w:line="480" w:lineRule="auto"/>
      </w:pPr>
      <w:r>
        <w:rPr>
          <w:rFonts w:ascii="Times New Roman" w:hAnsi="Times New Roman"/>
          <w:b w:val="0"/>
          <w:i w:val="0"/>
          <w:sz w:val="24"/>
        </w:rPr>
        <w:t>TP group:</w:t>
      </w:r>
    </w:p>
    <w:p w14:paraId="662CCF84">
      <w:pPr>
        <w:spacing w:before="0" w:after="120" w:line="480" w:lineRule="auto"/>
      </w:pPr>
      <w:r>
        <w:rPr>
          <w:rFonts w:ascii="Times New Roman" w:hAnsi="Times New Roman"/>
          <w:b w:val="0"/>
          <w:i w:val="0"/>
          <w:sz w:val="24"/>
        </w:rPr>
        <w:t>"I kept thinking about how the algorithm generates these patterns, how the geometric correction of the projection could be so precise... It felt more like an open-ended techno-aesthetic project, exploring the possibilities of the medium."</w:t>
      </w:r>
    </w:p>
    <w:p w14:paraId="08CE3533">
      <w:pPr>
        <w:spacing w:before="240" w:after="120" w:line="480" w:lineRule="auto"/>
      </w:pPr>
      <w:r>
        <w:rPr>
          <w:rFonts w:ascii="Times New Roman" w:hAnsi="Times New Roman"/>
          <w:b/>
          <w:sz w:val="24"/>
        </w:rPr>
        <w:t>S2.4 Group Differences in Coding Frequency</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7"/>
        <w:gridCol w:w="1423"/>
        <w:gridCol w:w="1455"/>
        <w:gridCol w:w="1395"/>
      </w:tblGrid>
      <w:tr w14:paraId="2991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087" w:type="dxa"/>
            <w:vAlign w:val="center"/>
          </w:tcPr>
          <w:p w14:paraId="48047A3D">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Theme</w:t>
            </w:r>
          </w:p>
        </w:tc>
        <w:tc>
          <w:tcPr>
            <w:tcW w:w="1423" w:type="dxa"/>
            <w:vAlign w:val="center"/>
          </w:tcPr>
          <w:p w14:paraId="060AF12A">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AP</w:t>
            </w:r>
          </w:p>
        </w:tc>
        <w:tc>
          <w:tcPr>
            <w:tcW w:w="1455" w:type="dxa"/>
            <w:vAlign w:val="center"/>
          </w:tcPr>
          <w:p w14:paraId="7844BB3C">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GP</w:t>
            </w:r>
          </w:p>
        </w:tc>
        <w:tc>
          <w:tcPr>
            <w:tcW w:w="1395" w:type="dxa"/>
            <w:vAlign w:val="center"/>
          </w:tcPr>
          <w:p w14:paraId="5ADE4356">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TP</w:t>
            </w:r>
          </w:p>
        </w:tc>
      </w:tr>
      <w:tr w14:paraId="4918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7" w:type="dxa"/>
            <w:vAlign w:val="center"/>
          </w:tcPr>
          <w:p w14:paraId="2B91065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Immersive Field</w:t>
            </w:r>
          </w:p>
        </w:tc>
        <w:tc>
          <w:tcPr>
            <w:tcW w:w="1423" w:type="dxa"/>
            <w:vAlign w:val="center"/>
          </w:tcPr>
          <w:p w14:paraId="392C0575">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7</w:t>
            </w:r>
          </w:p>
        </w:tc>
        <w:tc>
          <w:tcPr>
            <w:tcW w:w="1455" w:type="dxa"/>
            <w:vAlign w:val="center"/>
          </w:tcPr>
          <w:p w14:paraId="1F60169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21</w:t>
            </w:r>
          </w:p>
        </w:tc>
        <w:tc>
          <w:tcPr>
            <w:tcW w:w="1395" w:type="dxa"/>
            <w:vAlign w:val="center"/>
          </w:tcPr>
          <w:p w14:paraId="07FD4EE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w:t>
            </w:r>
          </w:p>
        </w:tc>
      </w:tr>
      <w:tr w14:paraId="2240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7" w:type="dxa"/>
            <w:vAlign w:val="center"/>
          </w:tcPr>
          <w:p w14:paraId="293A7E1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Bodily Empathy</w:t>
            </w:r>
          </w:p>
        </w:tc>
        <w:tc>
          <w:tcPr>
            <w:tcW w:w="1423" w:type="dxa"/>
            <w:vAlign w:val="center"/>
          </w:tcPr>
          <w:p w14:paraId="608D1D26">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7</w:t>
            </w:r>
          </w:p>
        </w:tc>
        <w:tc>
          <w:tcPr>
            <w:tcW w:w="1455" w:type="dxa"/>
            <w:vAlign w:val="center"/>
          </w:tcPr>
          <w:p w14:paraId="7BA23E5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14</w:t>
            </w:r>
          </w:p>
        </w:tc>
        <w:tc>
          <w:tcPr>
            <w:tcW w:w="1395" w:type="dxa"/>
            <w:vAlign w:val="center"/>
          </w:tcPr>
          <w:p w14:paraId="262E78D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2</w:t>
            </w:r>
          </w:p>
        </w:tc>
      </w:tr>
      <w:tr w14:paraId="0FE5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87" w:type="dxa"/>
            <w:vAlign w:val="center"/>
          </w:tcPr>
          <w:p w14:paraId="1509DED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Open Interpretation</w:t>
            </w:r>
          </w:p>
        </w:tc>
        <w:tc>
          <w:tcPr>
            <w:tcW w:w="1423" w:type="dxa"/>
            <w:vAlign w:val="center"/>
          </w:tcPr>
          <w:p w14:paraId="0C270478">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27</w:t>
            </w:r>
          </w:p>
        </w:tc>
        <w:tc>
          <w:tcPr>
            <w:tcW w:w="1455" w:type="dxa"/>
            <w:vAlign w:val="center"/>
          </w:tcPr>
          <w:p w14:paraId="613A919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8</w:t>
            </w:r>
          </w:p>
        </w:tc>
        <w:tc>
          <w:tcPr>
            <w:tcW w:w="1395" w:type="dxa"/>
            <w:vAlign w:val="center"/>
          </w:tcPr>
          <w:p w14:paraId="3044D3B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28</w:t>
            </w:r>
          </w:p>
        </w:tc>
      </w:tr>
    </w:tbl>
    <w:p w14:paraId="4566F2E7">
      <w:pPr>
        <w:spacing w:before="0" w:after="120" w:line="480" w:lineRule="auto"/>
      </w:pPr>
    </w:p>
    <w:p w14:paraId="32FCE081">
      <w:pPr>
        <w:spacing w:before="360" w:after="120" w:line="480" w:lineRule="auto"/>
      </w:pPr>
      <w:r>
        <w:rPr>
          <w:rFonts w:ascii="Times New Roman" w:hAnsi="Times New Roman"/>
          <w:b/>
          <w:sz w:val="24"/>
        </w:rPr>
        <w:t>S3 Table: CFA and Bifactor Core Results</w:t>
      </w:r>
    </w:p>
    <w:p w14:paraId="4346F1EF">
      <w:pPr>
        <w:spacing w:before="240" w:after="120" w:line="480" w:lineRule="auto"/>
      </w:pPr>
      <w:r>
        <w:rPr>
          <w:rFonts w:ascii="Times New Roman" w:hAnsi="Times New Roman"/>
          <w:b/>
          <w:sz w:val="24"/>
        </w:rPr>
        <w:t>S3.1 Four-Factor CFA Fit Indices (Difference Scores)</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7"/>
        <w:gridCol w:w="936"/>
        <w:gridCol w:w="704"/>
        <w:gridCol w:w="839"/>
        <w:gridCol w:w="839"/>
        <w:gridCol w:w="1136"/>
        <w:gridCol w:w="979"/>
      </w:tblGrid>
      <w:tr w14:paraId="2DB4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929" w:type="dxa"/>
            <w:vAlign w:val="center"/>
          </w:tcPr>
          <w:p w14:paraId="12ED16D9">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Model</w:t>
            </w:r>
          </w:p>
        </w:tc>
        <w:tc>
          <w:tcPr>
            <w:tcW w:w="936" w:type="dxa"/>
            <w:vAlign w:val="center"/>
          </w:tcPr>
          <w:p w14:paraId="1B6E2782">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χ²</w:t>
            </w:r>
          </w:p>
        </w:tc>
        <w:tc>
          <w:tcPr>
            <w:tcW w:w="704" w:type="dxa"/>
            <w:vAlign w:val="center"/>
          </w:tcPr>
          <w:p w14:paraId="39DE232D">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df</w:t>
            </w:r>
          </w:p>
        </w:tc>
        <w:tc>
          <w:tcPr>
            <w:tcW w:w="839" w:type="dxa"/>
            <w:vAlign w:val="center"/>
          </w:tcPr>
          <w:p w14:paraId="6AA7A0F1">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CFI</w:t>
            </w:r>
          </w:p>
        </w:tc>
        <w:tc>
          <w:tcPr>
            <w:tcW w:w="839" w:type="dxa"/>
            <w:vAlign w:val="center"/>
          </w:tcPr>
          <w:p w14:paraId="04E63BB9">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TLI</w:t>
            </w:r>
          </w:p>
        </w:tc>
        <w:tc>
          <w:tcPr>
            <w:tcW w:w="1136" w:type="dxa"/>
            <w:vAlign w:val="center"/>
          </w:tcPr>
          <w:p w14:paraId="763274FB">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RMSEA</w:t>
            </w:r>
          </w:p>
        </w:tc>
        <w:tc>
          <w:tcPr>
            <w:tcW w:w="979" w:type="dxa"/>
            <w:vAlign w:val="center"/>
          </w:tcPr>
          <w:p w14:paraId="7AECCB63">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SRMR</w:t>
            </w:r>
          </w:p>
        </w:tc>
      </w:tr>
      <w:tr w14:paraId="2B51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29" w:type="dxa"/>
            <w:vAlign w:val="center"/>
          </w:tcPr>
          <w:p w14:paraId="1CA478D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Four-factor model (difference scores)</w:t>
            </w:r>
          </w:p>
        </w:tc>
        <w:tc>
          <w:tcPr>
            <w:tcW w:w="936" w:type="dxa"/>
            <w:vAlign w:val="center"/>
          </w:tcPr>
          <w:p w14:paraId="5BF35D5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229.61</w:t>
            </w:r>
          </w:p>
        </w:tc>
        <w:tc>
          <w:tcPr>
            <w:tcW w:w="704" w:type="dxa"/>
            <w:vAlign w:val="center"/>
          </w:tcPr>
          <w:p w14:paraId="686F435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203</w:t>
            </w:r>
          </w:p>
        </w:tc>
        <w:tc>
          <w:tcPr>
            <w:tcW w:w="839" w:type="dxa"/>
            <w:vAlign w:val="center"/>
          </w:tcPr>
          <w:p w14:paraId="3615184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0.993</w:t>
            </w:r>
          </w:p>
        </w:tc>
        <w:tc>
          <w:tcPr>
            <w:tcW w:w="839" w:type="dxa"/>
            <w:vAlign w:val="center"/>
          </w:tcPr>
          <w:p w14:paraId="082531D4">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0.992</w:t>
            </w:r>
          </w:p>
        </w:tc>
        <w:tc>
          <w:tcPr>
            <w:tcW w:w="1136" w:type="dxa"/>
            <w:vAlign w:val="center"/>
          </w:tcPr>
          <w:p w14:paraId="4776FF7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0.023</w:t>
            </w:r>
          </w:p>
        </w:tc>
        <w:tc>
          <w:tcPr>
            <w:tcW w:w="979" w:type="dxa"/>
            <w:vAlign w:val="center"/>
          </w:tcPr>
          <w:p w14:paraId="20E4791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0.068</w:t>
            </w:r>
          </w:p>
        </w:tc>
      </w:tr>
      <w:tr w14:paraId="0FCD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29" w:type="dxa"/>
            <w:vAlign w:val="center"/>
          </w:tcPr>
          <w:p w14:paraId="4B3539C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Single-factor model (difference scores)</w:t>
            </w:r>
          </w:p>
        </w:tc>
        <w:tc>
          <w:tcPr>
            <w:tcW w:w="936" w:type="dxa"/>
            <w:vAlign w:val="center"/>
          </w:tcPr>
          <w:p w14:paraId="4CD289A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w:t>
            </w:r>
          </w:p>
        </w:tc>
        <w:tc>
          <w:tcPr>
            <w:tcW w:w="704" w:type="dxa"/>
            <w:vAlign w:val="center"/>
          </w:tcPr>
          <w:p w14:paraId="44F696F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w:t>
            </w:r>
          </w:p>
        </w:tc>
        <w:tc>
          <w:tcPr>
            <w:tcW w:w="839" w:type="dxa"/>
            <w:vAlign w:val="center"/>
          </w:tcPr>
          <w:p w14:paraId="38C9BBC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0.925</w:t>
            </w:r>
          </w:p>
        </w:tc>
        <w:tc>
          <w:tcPr>
            <w:tcW w:w="839" w:type="dxa"/>
            <w:vAlign w:val="center"/>
          </w:tcPr>
          <w:p w14:paraId="5827C3B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0.917</w:t>
            </w:r>
          </w:p>
        </w:tc>
        <w:tc>
          <w:tcPr>
            <w:tcW w:w="1136" w:type="dxa"/>
            <w:vAlign w:val="center"/>
          </w:tcPr>
          <w:p w14:paraId="06AABF9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0.076</w:t>
            </w:r>
          </w:p>
        </w:tc>
        <w:tc>
          <w:tcPr>
            <w:tcW w:w="979" w:type="dxa"/>
            <w:vAlign w:val="center"/>
          </w:tcPr>
          <w:p w14:paraId="19919E8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0.057</w:t>
            </w:r>
          </w:p>
        </w:tc>
      </w:tr>
    </w:tbl>
    <w:p w14:paraId="14964D5C">
      <w:pPr>
        <w:spacing w:before="0" w:after="120" w:line="480" w:lineRule="auto"/>
      </w:pPr>
    </w:p>
    <w:p w14:paraId="24113131">
      <w:pPr>
        <w:spacing w:before="0" w:after="120" w:line="480" w:lineRule="auto"/>
      </w:pPr>
      <w:r>
        <w:rPr>
          <w:rFonts w:ascii="Times New Roman" w:hAnsi="Times New Roman"/>
          <w:b w:val="0"/>
          <w:i w:val="0"/>
          <w:sz w:val="24"/>
        </w:rPr>
        <w:t>Note: CFA results for difference scores (Δ = B − A) are reported here, consistent with §4.1 of the main text. The four-factor model demonstrated excellent fit and was significantly superior to the single-factor model, supporting the four-dimensional structure. It should be noted that the per-group sample sizes (n = 36–42) fall below recommended standards; results should be interpreted as preliminary evidence.</w:t>
      </w:r>
    </w:p>
    <w:p w14:paraId="1793ED58">
      <w:pPr>
        <w:spacing w:before="240" w:after="120" w:line="480" w:lineRule="auto"/>
      </w:pPr>
      <w:r>
        <w:rPr>
          <w:rFonts w:ascii="Times New Roman" w:hAnsi="Times New Roman"/>
          <w:b/>
          <w:sz w:val="24"/>
        </w:rPr>
        <w:t>S3.2 Bifactor Model Summary Indices (Difference Scores)</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8"/>
        <w:gridCol w:w="1352"/>
      </w:tblGrid>
      <w:tr w14:paraId="360E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008" w:type="dxa"/>
            <w:vAlign w:val="center"/>
          </w:tcPr>
          <w:p w14:paraId="09F8F81F">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Index</w:t>
            </w:r>
          </w:p>
        </w:tc>
        <w:tc>
          <w:tcPr>
            <w:tcW w:w="1352" w:type="dxa"/>
            <w:vAlign w:val="center"/>
          </w:tcPr>
          <w:p w14:paraId="5F3A489A">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Value</w:t>
            </w:r>
          </w:p>
        </w:tc>
      </w:tr>
      <w:tr w14:paraId="7B4C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8" w:type="dxa"/>
            <w:vAlign w:val="center"/>
          </w:tcPr>
          <w:p w14:paraId="7C6A8C4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χ²</w:t>
            </w:r>
          </w:p>
        </w:tc>
        <w:tc>
          <w:tcPr>
            <w:tcW w:w="1352" w:type="dxa"/>
            <w:vAlign w:val="center"/>
          </w:tcPr>
          <w:p w14:paraId="18F2E67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207.78</w:t>
            </w:r>
          </w:p>
        </w:tc>
      </w:tr>
      <w:tr w14:paraId="24C1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8" w:type="dxa"/>
            <w:vAlign w:val="center"/>
          </w:tcPr>
          <w:p w14:paraId="5C45A6B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df</w:t>
            </w:r>
          </w:p>
        </w:tc>
        <w:tc>
          <w:tcPr>
            <w:tcW w:w="1352" w:type="dxa"/>
            <w:vAlign w:val="center"/>
          </w:tcPr>
          <w:p w14:paraId="3F95BF5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187</w:t>
            </w:r>
          </w:p>
        </w:tc>
      </w:tr>
      <w:tr w14:paraId="4C4B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8" w:type="dxa"/>
            <w:vAlign w:val="center"/>
          </w:tcPr>
          <w:p w14:paraId="2B4481B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CFI</w:t>
            </w:r>
          </w:p>
        </w:tc>
        <w:tc>
          <w:tcPr>
            <w:tcW w:w="1352" w:type="dxa"/>
            <w:vAlign w:val="center"/>
          </w:tcPr>
          <w:p w14:paraId="51A4AE5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0.995</w:t>
            </w:r>
          </w:p>
        </w:tc>
      </w:tr>
      <w:tr w14:paraId="2888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8" w:type="dxa"/>
            <w:vAlign w:val="center"/>
          </w:tcPr>
          <w:p w14:paraId="0D77E63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TLI</w:t>
            </w:r>
          </w:p>
        </w:tc>
        <w:tc>
          <w:tcPr>
            <w:tcW w:w="1352" w:type="dxa"/>
            <w:vAlign w:val="center"/>
          </w:tcPr>
          <w:p w14:paraId="0E541D6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0.993</w:t>
            </w:r>
          </w:p>
        </w:tc>
      </w:tr>
      <w:tr w14:paraId="23CB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8" w:type="dxa"/>
            <w:vAlign w:val="center"/>
          </w:tcPr>
          <w:p w14:paraId="7E576D8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RMSEA</w:t>
            </w:r>
          </w:p>
        </w:tc>
        <w:tc>
          <w:tcPr>
            <w:tcW w:w="1352" w:type="dxa"/>
            <w:vAlign w:val="center"/>
          </w:tcPr>
          <w:p w14:paraId="73905B0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0.022</w:t>
            </w:r>
          </w:p>
        </w:tc>
      </w:tr>
      <w:tr w14:paraId="68B6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8" w:type="dxa"/>
            <w:vAlign w:val="center"/>
          </w:tcPr>
          <w:p w14:paraId="40732B7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SRMR</w:t>
            </w:r>
          </w:p>
        </w:tc>
        <w:tc>
          <w:tcPr>
            <w:tcW w:w="1352" w:type="dxa"/>
            <w:vAlign w:val="center"/>
          </w:tcPr>
          <w:p w14:paraId="5E7BDB4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0.067</w:t>
            </w:r>
          </w:p>
        </w:tc>
      </w:tr>
      <w:tr w14:paraId="1A5A5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8" w:type="dxa"/>
            <w:vAlign w:val="center"/>
          </w:tcPr>
          <w:p w14:paraId="128156B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ECV (Explained Common Variance)</w:t>
            </w:r>
          </w:p>
        </w:tc>
        <w:tc>
          <w:tcPr>
            <w:tcW w:w="1352" w:type="dxa"/>
            <w:vAlign w:val="center"/>
          </w:tcPr>
          <w:p w14:paraId="453A3AF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0.857</w:t>
            </w:r>
          </w:p>
        </w:tc>
      </w:tr>
      <w:tr w14:paraId="4114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8" w:type="dxa"/>
            <w:vAlign w:val="center"/>
          </w:tcPr>
          <w:p w14:paraId="2403AD2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ω_H (hierarchical omega)</w:t>
            </w:r>
          </w:p>
        </w:tc>
        <w:tc>
          <w:tcPr>
            <w:tcW w:w="1352" w:type="dxa"/>
            <w:vAlign w:val="center"/>
          </w:tcPr>
          <w:p w14:paraId="6256DC6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0.935</w:t>
            </w:r>
          </w:p>
        </w:tc>
      </w:tr>
      <w:tr w14:paraId="6CF9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8" w:type="dxa"/>
            <w:vAlign w:val="center"/>
          </w:tcPr>
          <w:p w14:paraId="58CD910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ω_total</w:t>
            </w:r>
          </w:p>
        </w:tc>
        <w:tc>
          <w:tcPr>
            <w:tcW w:w="1352" w:type="dxa"/>
            <w:vAlign w:val="center"/>
          </w:tcPr>
          <w:p w14:paraId="1538879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0.972</w:t>
            </w:r>
          </w:p>
        </w:tc>
      </w:tr>
      <w:tr w14:paraId="10AC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8" w:type="dxa"/>
            <w:vAlign w:val="center"/>
          </w:tcPr>
          <w:p w14:paraId="38A3035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PUC (Proportion of Uniquely Determined Correlations)</w:t>
            </w:r>
          </w:p>
        </w:tc>
        <w:tc>
          <w:tcPr>
            <w:tcW w:w="1352" w:type="dxa"/>
            <w:vAlign w:val="center"/>
          </w:tcPr>
          <w:p w14:paraId="3B7B39E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0.784</w:t>
            </w:r>
          </w:p>
        </w:tc>
      </w:tr>
    </w:tbl>
    <w:p w14:paraId="18D4A873">
      <w:pPr>
        <w:spacing w:before="0" w:after="120" w:line="480" w:lineRule="auto"/>
      </w:pPr>
    </w:p>
    <w:p w14:paraId="169460D7">
      <w:pPr>
        <w:spacing w:before="0" w:after="120" w:line="480" w:lineRule="auto"/>
      </w:pPr>
      <w:r>
        <w:rPr>
          <w:rFonts w:ascii="Times New Roman" w:hAnsi="Times New Roman"/>
          <w:b w:val="0"/>
          <w:i w:val="0"/>
          <w:sz w:val="24"/>
        </w:rPr>
        <w:t>Note: Bifactor analysis results for difference scores (Δ = B − A) are reported here, consistent with §4.1 of the main text. ECV = 0.857 indicates that the general factor accounted for 85.7% of the common variance; ω_H = 0.935 indicates that the general factor is highly reliable. The present study positions the ABPI as a "one general factor plus four specific facets" structure — the total scale score reflects overall perceptual enhancement, while the four dimensions retain descriptive value.</w:t>
      </w:r>
    </w:p>
    <w:p w14:paraId="117B6577">
      <w:pPr>
        <w:spacing w:before="240" w:after="120" w:line="480" w:lineRule="auto"/>
      </w:pPr>
      <w:r>
        <w:rPr>
          <w:rFonts w:ascii="Times New Roman" w:hAnsi="Times New Roman"/>
          <w:b/>
          <w:sz w:val="24"/>
        </w:rPr>
        <w:t>S3.3 Discriminant Validity: HTMT (Difference Scores)</w:t>
      </w:r>
    </w:p>
    <w:p w14:paraId="2A0DD4DD">
      <w:pPr>
        <w:spacing w:before="0" w:after="120" w:line="480" w:lineRule="auto"/>
      </w:pPr>
      <w:r>
        <w:rPr>
          <w:rFonts w:ascii="Times New Roman" w:hAnsi="Times New Roman"/>
          <w:b w:val="0"/>
          <w:i w:val="0"/>
          <w:sz w:val="24"/>
        </w:rPr>
        <w:t>HTMT (thresholds &lt; 0.85 / &lt; 0.90, difference scores):</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3"/>
        <w:gridCol w:w="1667"/>
        <w:gridCol w:w="2315"/>
        <w:gridCol w:w="2315"/>
      </w:tblGrid>
      <w:tr w14:paraId="7BE6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063" w:type="dxa"/>
            <w:vAlign w:val="center"/>
          </w:tcPr>
          <w:p w14:paraId="023624A5">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Dimension Pair</w:t>
            </w:r>
          </w:p>
        </w:tc>
        <w:tc>
          <w:tcPr>
            <w:tcW w:w="1667" w:type="dxa"/>
            <w:vAlign w:val="center"/>
          </w:tcPr>
          <w:p w14:paraId="2CCC4CB2">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HTMT</w:t>
            </w:r>
          </w:p>
        </w:tc>
        <w:tc>
          <w:tcPr>
            <w:tcW w:w="2315" w:type="dxa"/>
            <w:vAlign w:val="center"/>
          </w:tcPr>
          <w:p w14:paraId="063708D1">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Passes 0.85</w:t>
            </w:r>
          </w:p>
        </w:tc>
        <w:tc>
          <w:tcPr>
            <w:tcW w:w="2315" w:type="dxa"/>
            <w:vAlign w:val="center"/>
          </w:tcPr>
          <w:p w14:paraId="570EFC43">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Passes 0.90</w:t>
            </w:r>
          </w:p>
        </w:tc>
      </w:tr>
      <w:tr w14:paraId="25CB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63" w:type="dxa"/>
            <w:vAlign w:val="center"/>
          </w:tcPr>
          <w:p w14:paraId="1C85637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PV–AG</w:t>
            </w:r>
          </w:p>
        </w:tc>
        <w:tc>
          <w:tcPr>
            <w:tcW w:w="1667" w:type="dxa"/>
            <w:vAlign w:val="center"/>
          </w:tcPr>
          <w:p w14:paraId="668F1FC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0.839</w:t>
            </w:r>
          </w:p>
        </w:tc>
        <w:tc>
          <w:tcPr>
            <w:tcW w:w="2315" w:type="dxa"/>
            <w:vAlign w:val="center"/>
          </w:tcPr>
          <w:p w14:paraId="3DB6598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Yes</w:t>
            </w:r>
          </w:p>
        </w:tc>
        <w:tc>
          <w:tcPr>
            <w:tcW w:w="2315" w:type="dxa"/>
            <w:vAlign w:val="center"/>
          </w:tcPr>
          <w:p w14:paraId="3E8A12E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Yes</w:t>
            </w:r>
          </w:p>
        </w:tc>
      </w:tr>
      <w:tr w14:paraId="756E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63" w:type="dxa"/>
            <w:vAlign w:val="center"/>
          </w:tcPr>
          <w:p w14:paraId="6F1BC68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PV–SO</w:t>
            </w:r>
          </w:p>
        </w:tc>
        <w:tc>
          <w:tcPr>
            <w:tcW w:w="1667" w:type="dxa"/>
            <w:vAlign w:val="center"/>
          </w:tcPr>
          <w:p w14:paraId="668159E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0.855</w:t>
            </w:r>
          </w:p>
        </w:tc>
        <w:tc>
          <w:tcPr>
            <w:tcW w:w="2315" w:type="dxa"/>
            <w:vAlign w:val="center"/>
          </w:tcPr>
          <w:p w14:paraId="08D275A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No</w:t>
            </w:r>
          </w:p>
        </w:tc>
        <w:tc>
          <w:tcPr>
            <w:tcW w:w="2315" w:type="dxa"/>
            <w:vAlign w:val="center"/>
          </w:tcPr>
          <w:p w14:paraId="3821A80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Yes</w:t>
            </w:r>
          </w:p>
        </w:tc>
      </w:tr>
      <w:tr w14:paraId="664C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63" w:type="dxa"/>
            <w:vAlign w:val="center"/>
          </w:tcPr>
          <w:p w14:paraId="4A8486F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SO–AG</w:t>
            </w:r>
          </w:p>
        </w:tc>
        <w:tc>
          <w:tcPr>
            <w:tcW w:w="1667" w:type="dxa"/>
            <w:vAlign w:val="center"/>
          </w:tcPr>
          <w:p w14:paraId="4AA62A9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0.854</w:t>
            </w:r>
          </w:p>
        </w:tc>
        <w:tc>
          <w:tcPr>
            <w:tcW w:w="2315" w:type="dxa"/>
            <w:vAlign w:val="center"/>
          </w:tcPr>
          <w:p w14:paraId="2D8501B4">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No</w:t>
            </w:r>
          </w:p>
        </w:tc>
        <w:tc>
          <w:tcPr>
            <w:tcW w:w="2315" w:type="dxa"/>
            <w:vAlign w:val="center"/>
          </w:tcPr>
          <w:p w14:paraId="384792A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Yes</w:t>
            </w:r>
          </w:p>
        </w:tc>
      </w:tr>
      <w:tr w14:paraId="6B46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63" w:type="dxa"/>
            <w:vAlign w:val="center"/>
          </w:tcPr>
          <w:p w14:paraId="0BC989C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PV–TN</w:t>
            </w:r>
          </w:p>
        </w:tc>
        <w:tc>
          <w:tcPr>
            <w:tcW w:w="1667" w:type="dxa"/>
            <w:vAlign w:val="center"/>
          </w:tcPr>
          <w:p w14:paraId="25D7238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0.868</w:t>
            </w:r>
          </w:p>
        </w:tc>
        <w:tc>
          <w:tcPr>
            <w:tcW w:w="2315" w:type="dxa"/>
            <w:vAlign w:val="center"/>
          </w:tcPr>
          <w:p w14:paraId="23E84E0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No</w:t>
            </w:r>
          </w:p>
        </w:tc>
        <w:tc>
          <w:tcPr>
            <w:tcW w:w="2315" w:type="dxa"/>
            <w:vAlign w:val="center"/>
          </w:tcPr>
          <w:p w14:paraId="10CAD7B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Yes</w:t>
            </w:r>
          </w:p>
        </w:tc>
      </w:tr>
      <w:tr w14:paraId="1E51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63" w:type="dxa"/>
            <w:vAlign w:val="center"/>
          </w:tcPr>
          <w:p w14:paraId="3C11853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TN–AG</w:t>
            </w:r>
          </w:p>
        </w:tc>
        <w:tc>
          <w:tcPr>
            <w:tcW w:w="1667" w:type="dxa"/>
            <w:vAlign w:val="center"/>
          </w:tcPr>
          <w:p w14:paraId="63EB8624">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0.875</w:t>
            </w:r>
          </w:p>
        </w:tc>
        <w:tc>
          <w:tcPr>
            <w:tcW w:w="2315" w:type="dxa"/>
            <w:vAlign w:val="center"/>
          </w:tcPr>
          <w:p w14:paraId="1420C6E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No</w:t>
            </w:r>
          </w:p>
        </w:tc>
        <w:tc>
          <w:tcPr>
            <w:tcW w:w="2315" w:type="dxa"/>
            <w:vAlign w:val="center"/>
          </w:tcPr>
          <w:p w14:paraId="382D609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Yes</w:t>
            </w:r>
          </w:p>
        </w:tc>
      </w:tr>
      <w:tr w14:paraId="0D76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063" w:type="dxa"/>
            <w:vAlign w:val="center"/>
          </w:tcPr>
          <w:p w14:paraId="1DA860C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TN–SO</w:t>
            </w:r>
          </w:p>
        </w:tc>
        <w:tc>
          <w:tcPr>
            <w:tcW w:w="1667" w:type="dxa"/>
            <w:vAlign w:val="center"/>
          </w:tcPr>
          <w:p w14:paraId="342BC0D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0.884</w:t>
            </w:r>
          </w:p>
        </w:tc>
        <w:tc>
          <w:tcPr>
            <w:tcW w:w="2315" w:type="dxa"/>
            <w:vAlign w:val="center"/>
          </w:tcPr>
          <w:p w14:paraId="36D7BFF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No</w:t>
            </w:r>
          </w:p>
        </w:tc>
        <w:tc>
          <w:tcPr>
            <w:tcW w:w="2315" w:type="dxa"/>
            <w:vAlign w:val="center"/>
          </w:tcPr>
          <w:p w14:paraId="3901D39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Yes</w:t>
            </w:r>
          </w:p>
        </w:tc>
      </w:tr>
    </w:tbl>
    <w:p w14:paraId="5A74084C">
      <w:pPr>
        <w:spacing w:before="0" w:after="120" w:line="480" w:lineRule="auto"/>
      </w:pPr>
    </w:p>
    <w:p w14:paraId="124C1CE1">
      <w:pPr>
        <w:spacing w:before="0" w:after="120" w:line="480" w:lineRule="auto"/>
      </w:pPr>
      <w:r>
        <w:rPr>
          <w:rFonts w:ascii="Times New Roman" w:hAnsi="Times New Roman"/>
          <w:b w:val="0"/>
          <w:i w:val="0"/>
          <w:sz w:val="24"/>
        </w:rPr>
        <w:t>Note: All six HTMT pairs were &lt; 0.90 (strict threshold), supporting discriminant validity. Difference score results are reported here, consistent with §4.1 of the main text.</w:t>
      </w:r>
    </w:p>
    <w:p w14:paraId="1EF1C559">
      <w:pPr>
        <w:spacing w:before="360" w:after="120" w:line="480" w:lineRule="auto"/>
      </w:pPr>
      <w:r>
        <w:rPr>
          <w:rFonts w:ascii="Times New Roman" w:hAnsi="Times New Roman"/>
          <w:b/>
          <w:sz w:val="24"/>
        </w:rPr>
        <w:t>S4 Text: Survey Instruments, Scales, and Experimental Materials</w:t>
      </w:r>
    </w:p>
    <w:p w14:paraId="1A63C1F8">
      <w:pPr>
        <w:spacing w:before="240" w:after="120" w:line="480" w:lineRule="auto"/>
      </w:pPr>
      <w:r>
        <w:rPr>
          <w:rFonts w:ascii="Times New Roman" w:hAnsi="Times New Roman"/>
          <w:b/>
          <w:sz w:val="24"/>
        </w:rPr>
        <w:t>S4.1 Aesthetic Boundary Perceptual Inventory (ABPI) — Complete Items</w:t>
      </w:r>
    </w:p>
    <w:p w14:paraId="399CB096">
      <w:pPr>
        <w:spacing w:before="0" w:after="120" w:line="480" w:lineRule="auto"/>
      </w:pPr>
      <w:r>
        <w:rPr>
          <w:rFonts w:ascii="Times New Roman" w:hAnsi="Times New Roman"/>
          <w:b/>
          <w:i w:val="0"/>
          <w:sz w:val="24"/>
        </w:rPr>
        <w:t>Scale development and structure.</w:t>
      </w:r>
      <w:r>
        <w:rPr>
          <w:rFonts w:ascii="Times New Roman" w:hAnsi="Times New Roman"/>
          <w:b w:val="0"/>
          <w:i w:val="0"/>
          <w:sz w:val="24"/>
        </w:rPr>
        <w:t xml:space="preserve"> The ABPI was developed based on the Art Attributes assessment framework by Chatterjee et al. (2010) and the museum experience framework by Packer and Ballantyne (2002). An initial item pool was generated through literature review and interviews with seven experts (covering art psychology, museology, and measurement methodology). The final 22 items were determined through two rounds of Delphi consultation (consensus threshold ≥ 80%). A pilot test (n = 30) included item analysis and exploratory factor analysis.</w:t>
      </w:r>
    </w:p>
    <w:p w14:paraId="0D2A1E53">
      <w:pPr>
        <w:spacing w:before="0" w:after="120" w:line="480" w:lineRule="auto"/>
      </w:pPr>
      <w:r>
        <w:rPr>
          <w:rFonts w:ascii="Times New Roman" w:hAnsi="Times New Roman"/>
          <w:b/>
          <w:i w:val="0"/>
          <w:sz w:val="24"/>
        </w:rPr>
        <w:t>Scoring.</w:t>
      </w:r>
      <w:r>
        <w:rPr>
          <w:rFonts w:ascii="Times New Roman" w:hAnsi="Times New Roman"/>
          <w:b w:val="0"/>
          <w:i w:val="0"/>
          <w:sz w:val="24"/>
        </w:rPr>
        <w:t xml:space="preserve"> 7-point Likert scale (1 = strongly disagree, 7 = strongly agree). Each dimension score is the mean of all items within that dimension. The total scale score is the sum of the four dimension means.</w:t>
      </w:r>
    </w:p>
    <w:p w14:paraId="4450E5B7">
      <w:pPr>
        <w:spacing w:before="240" w:after="120" w:line="480" w:lineRule="auto"/>
      </w:pPr>
      <w:r>
        <w:rPr>
          <w:rFonts w:ascii="Times New Roman" w:hAnsi="Times New Roman"/>
          <w:b/>
          <w:i/>
          <w:sz w:val="24"/>
        </w:rPr>
        <w:t>PV Dimension: Perceptual Vividness (Q1–Q6, 6 items)</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8685"/>
      </w:tblGrid>
      <w:tr w14:paraId="56D7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66994E61">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Item</w:t>
            </w:r>
          </w:p>
        </w:tc>
        <w:tc>
          <w:tcPr>
            <w:tcW w:w="8685" w:type="dxa"/>
            <w:vAlign w:val="center"/>
          </w:tcPr>
          <w:p w14:paraId="77626BFB">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Content</w:t>
            </w:r>
          </w:p>
        </w:tc>
      </w:tr>
      <w:tr w14:paraId="3422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DD6392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w:t>
            </w:r>
          </w:p>
        </w:tc>
        <w:tc>
          <w:tcPr>
            <w:tcW w:w="8685" w:type="dxa"/>
            <w:vAlign w:val="center"/>
          </w:tcPr>
          <w:p w14:paraId="4F7CB41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When viewing the projection mapping-enhanced display, I found it difficult to discern where the boundary of the physical object ended and where the boundary of the projected image began.</w:t>
            </w:r>
          </w:p>
        </w:tc>
      </w:tr>
      <w:tr w14:paraId="354A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B9FC25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Q2</w:t>
            </w:r>
          </w:p>
        </w:tc>
        <w:tc>
          <w:tcPr>
            <w:tcW w:w="8685" w:type="dxa"/>
            <w:vAlign w:val="center"/>
          </w:tcPr>
          <w:p w14:paraId="08ED0E7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The projection appeared to extend beyond the surface of the object, making me feel as though the physical boundary was expanded.</w:t>
            </w:r>
          </w:p>
        </w:tc>
      </w:tr>
      <w:tr w14:paraId="2AF2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2B2367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Q3</w:t>
            </w:r>
          </w:p>
        </w:tc>
        <w:tc>
          <w:tcPr>
            <w:tcW w:w="8685" w:type="dxa"/>
            <w:vAlign w:val="center"/>
          </w:tcPr>
          <w:p w14:paraId="248A3B4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I perceived the projected light as part of the object rather than a separate add-on.</w:t>
            </w:r>
          </w:p>
        </w:tc>
      </w:tr>
      <w:tr w14:paraId="1183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90F2BF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Q4</w:t>
            </w:r>
          </w:p>
        </w:tc>
        <w:tc>
          <w:tcPr>
            <w:tcW w:w="8685" w:type="dxa"/>
            <w:vAlign w:val="center"/>
          </w:tcPr>
          <w:p w14:paraId="4F2954B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The sense of boundary between the physical object and the virtual projection became blurred.</w:t>
            </w:r>
          </w:p>
        </w:tc>
      </w:tr>
      <w:tr w14:paraId="121E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D4CE19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Q5</w:t>
            </w:r>
          </w:p>
        </w:tc>
        <w:tc>
          <w:tcPr>
            <w:tcW w:w="8685" w:type="dxa"/>
            <w:vAlign w:val="center"/>
          </w:tcPr>
          <w:p w14:paraId="2FD77E9F">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The projection made the solid object appear dynamic and fluid.</w:t>
            </w:r>
          </w:p>
        </w:tc>
      </w:tr>
      <w:tr w14:paraId="7E85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vAlign w:val="center"/>
          </w:tcPr>
          <w:p w14:paraId="50C9623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Q6</w:t>
            </w:r>
          </w:p>
        </w:tc>
        <w:tc>
          <w:tcPr>
            <w:tcW w:w="8685" w:type="dxa"/>
            <w:vAlign w:val="center"/>
          </w:tcPr>
          <w:p w14:paraId="2CBF44D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I experienced the object and its projection as a unified visual whole.</w:t>
            </w:r>
          </w:p>
        </w:tc>
      </w:tr>
    </w:tbl>
    <w:p w14:paraId="2EF9A308">
      <w:pPr>
        <w:spacing w:before="0" w:after="120" w:line="480" w:lineRule="auto"/>
      </w:pPr>
    </w:p>
    <w:p w14:paraId="475C546C">
      <w:pPr>
        <w:spacing w:before="240" w:after="120" w:line="480" w:lineRule="auto"/>
      </w:pPr>
      <w:r>
        <w:rPr>
          <w:rFonts w:ascii="Times New Roman" w:hAnsi="Times New Roman"/>
          <w:b/>
          <w:i/>
          <w:sz w:val="24"/>
        </w:rPr>
        <w:t>TN Dimension: Temporal Narration (Q7–Q12, 6 items)</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8600"/>
      </w:tblGrid>
      <w:tr w14:paraId="74EB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60" w:type="dxa"/>
            <w:vAlign w:val="center"/>
          </w:tcPr>
          <w:p w14:paraId="72D89430">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Item</w:t>
            </w:r>
          </w:p>
        </w:tc>
        <w:tc>
          <w:tcPr>
            <w:tcW w:w="8600" w:type="dxa"/>
            <w:vAlign w:val="center"/>
          </w:tcPr>
          <w:p w14:paraId="2250D176">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Content</w:t>
            </w:r>
          </w:p>
        </w:tc>
      </w:tr>
      <w:tr w14:paraId="7251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60D9BA8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Q7</w:t>
            </w:r>
          </w:p>
        </w:tc>
        <w:tc>
          <w:tcPr>
            <w:tcW w:w="8600" w:type="dxa"/>
            <w:vAlign w:val="center"/>
          </w:tcPr>
          <w:p w14:paraId="655845E8">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The projection gave the object a sense of temporal movement, as if time were flowing within it.</w:t>
            </w:r>
          </w:p>
        </w:tc>
      </w:tr>
      <w:tr w14:paraId="4B6F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0F87C52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Q8</w:t>
            </w:r>
          </w:p>
        </w:tc>
        <w:tc>
          <w:tcPr>
            <w:tcW w:w="8600" w:type="dxa"/>
            <w:vAlign w:val="center"/>
          </w:tcPr>
          <w:p w14:paraId="3D8A367C">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I felt that the object was telling a story through the dynamic projection.</w:t>
            </w:r>
          </w:p>
        </w:tc>
      </w:tr>
      <w:tr w14:paraId="2B98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29EAB50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Q9</w:t>
            </w:r>
          </w:p>
        </w:tc>
        <w:tc>
          <w:tcPr>
            <w:tcW w:w="8600" w:type="dxa"/>
            <w:vAlign w:val="center"/>
          </w:tcPr>
          <w:p w14:paraId="7D7A00EE">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The projection content altered my perception of the object's relationship to time.</w:t>
            </w:r>
          </w:p>
        </w:tc>
      </w:tr>
      <w:tr w14:paraId="1BAA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41D89C1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Q10</w:t>
            </w:r>
          </w:p>
        </w:tc>
        <w:tc>
          <w:tcPr>
            <w:tcW w:w="8600" w:type="dxa"/>
            <w:vAlign w:val="center"/>
          </w:tcPr>
          <w:p w14:paraId="3B49A2A8">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The narrative implied by the projection extended the object's meaning beyond its static form.</w:t>
            </w:r>
          </w:p>
        </w:tc>
      </w:tr>
      <w:tr w14:paraId="326A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09D7B1F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Q11</w:t>
            </w:r>
          </w:p>
        </w:tc>
        <w:tc>
          <w:tcPr>
            <w:tcW w:w="8600" w:type="dxa"/>
            <w:vAlign w:val="center"/>
          </w:tcPr>
          <w:p w14:paraId="225910C4">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I experienced a sense of temporal layering — the past (the original object) and the present (the projection) coexisting.</w:t>
            </w:r>
          </w:p>
        </w:tc>
      </w:tr>
      <w:tr w14:paraId="3F0D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454B5294">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Q12</w:t>
            </w:r>
          </w:p>
        </w:tc>
        <w:tc>
          <w:tcPr>
            <w:tcW w:w="8600" w:type="dxa"/>
            <w:vAlign w:val="center"/>
          </w:tcPr>
          <w:p w14:paraId="36EBE3D9">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The projection added a narrative dimension that the object alone could not convey.</w:t>
            </w:r>
          </w:p>
        </w:tc>
      </w:tr>
    </w:tbl>
    <w:p w14:paraId="015A8BDD">
      <w:pPr>
        <w:spacing w:before="0" w:after="120" w:line="480" w:lineRule="auto"/>
      </w:pPr>
    </w:p>
    <w:p w14:paraId="6E820BDD">
      <w:pPr>
        <w:spacing w:before="240" w:after="120" w:line="480" w:lineRule="auto"/>
      </w:pPr>
      <w:r>
        <w:rPr>
          <w:rFonts w:ascii="Times New Roman" w:hAnsi="Times New Roman"/>
          <w:b/>
          <w:i/>
          <w:sz w:val="24"/>
        </w:rPr>
        <w:t>SO Dimension: Social Occupancy (Q13–Q17, 5 items)</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8600"/>
      </w:tblGrid>
      <w:tr w14:paraId="2360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60" w:type="dxa"/>
            <w:vAlign w:val="center"/>
          </w:tcPr>
          <w:p w14:paraId="4F20AFD4">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Item</w:t>
            </w:r>
          </w:p>
        </w:tc>
        <w:tc>
          <w:tcPr>
            <w:tcW w:w="8600" w:type="dxa"/>
            <w:vAlign w:val="center"/>
          </w:tcPr>
          <w:p w14:paraId="43F74B36">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Content</w:t>
            </w:r>
          </w:p>
        </w:tc>
      </w:tr>
      <w:tr w14:paraId="34AA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569C26A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Q13</w:t>
            </w:r>
          </w:p>
        </w:tc>
        <w:tc>
          <w:tcPr>
            <w:tcW w:w="8600" w:type="dxa"/>
            <w:vAlign w:val="center"/>
          </w:tcPr>
          <w:p w14:paraId="4B21DBD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I felt myself drawn into the space constituted by the object and its projection.</w:t>
            </w:r>
          </w:p>
        </w:tc>
      </w:tr>
      <w:tr w14:paraId="4379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015D52CE">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Q14</w:t>
            </w:r>
          </w:p>
        </w:tc>
        <w:tc>
          <w:tcPr>
            <w:tcW w:w="8600" w:type="dxa"/>
            <w:vAlign w:val="center"/>
          </w:tcPr>
          <w:p w14:paraId="7B69B10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This experience made me feel like a participant rather than a passive bystander.</w:t>
            </w:r>
          </w:p>
        </w:tc>
      </w:tr>
      <w:tr w14:paraId="3635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2416BD4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Q15</w:t>
            </w:r>
          </w:p>
        </w:tc>
        <w:tc>
          <w:tcPr>
            <w:tcW w:w="8600" w:type="dxa"/>
            <w:vAlign w:val="center"/>
          </w:tcPr>
          <w:p w14:paraId="69D2D2E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While viewing the projection mapping, I experienced bodily reactions (e.g., tension, warmth, or a sense of movement).</w:t>
            </w:r>
          </w:p>
        </w:tc>
      </w:tr>
      <w:tr w14:paraId="4CD7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112AB85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Q16</w:t>
            </w:r>
          </w:p>
        </w:tc>
        <w:tc>
          <w:tcPr>
            <w:tcW w:w="8600" w:type="dxa"/>
            <w:vAlign w:val="center"/>
          </w:tcPr>
          <w:p w14:paraId="2991EE20">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Under the enhanced display condition, the boundary between the artwork and myself became less distinct.</w:t>
            </w:r>
          </w:p>
        </w:tc>
      </w:tr>
      <w:tr w14:paraId="0D34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0" w:type="dxa"/>
            <w:vAlign w:val="center"/>
          </w:tcPr>
          <w:p w14:paraId="387E1B9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Q17</w:t>
            </w:r>
          </w:p>
        </w:tc>
        <w:tc>
          <w:tcPr>
            <w:tcW w:w="8600" w:type="dxa"/>
            <w:vAlign w:val="center"/>
          </w:tcPr>
          <w:p w14:paraId="6FE5883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Through the projection, I felt an emotional connection with the object.</w:t>
            </w:r>
          </w:p>
        </w:tc>
      </w:tr>
    </w:tbl>
    <w:p w14:paraId="3F785898">
      <w:pPr>
        <w:spacing w:before="0" w:after="120" w:line="480" w:lineRule="auto"/>
      </w:pPr>
    </w:p>
    <w:p w14:paraId="6E2918C8">
      <w:pPr>
        <w:spacing w:before="240" w:after="120" w:line="480" w:lineRule="auto"/>
      </w:pPr>
      <w:r>
        <w:rPr>
          <w:rFonts w:ascii="Times New Roman" w:hAnsi="Times New Roman"/>
          <w:b/>
          <w:i/>
          <w:sz w:val="24"/>
        </w:rPr>
        <w:t>AG Dimension: Aesthetic Kinesthetic Grounding (Q18–Q22, 5 items)</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8599"/>
      </w:tblGrid>
      <w:tr w14:paraId="305A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61" w:type="dxa"/>
            <w:vAlign w:val="center"/>
          </w:tcPr>
          <w:p w14:paraId="0F64D953">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Item</w:t>
            </w:r>
          </w:p>
        </w:tc>
        <w:tc>
          <w:tcPr>
            <w:tcW w:w="8599" w:type="dxa"/>
            <w:vAlign w:val="center"/>
          </w:tcPr>
          <w:p w14:paraId="7391D343">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Content</w:t>
            </w:r>
          </w:p>
        </w:tc>
      </w:tr>
      <w:tr w14:paraId="5D0C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 w:type="dxa"/>
            <w:vAlign w:val="center"/>
          </w:tcPr>
          <w:p w14:paraId="3AAF67F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Q18</w:t>
            </w:r>
          </w:p>
        </w:tc>
        <w:tc>
          <w:tcPr>
            <w:tcW w:w="8599" w:type="dxa"/>
            <w:vAlign w:val="center"/>
          </w:tcPr>
          <w:p w14:paraId="661B48A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The projection blurred the boundary between the object and other art forms (e.g., video, performance).</w:t>
            </w:r>
          </w:p>
        </w:tc>
      </w:tr>
      <w:tr w14:paraId="1C86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 w:type="dxa"/>
            <w:vAlign w:val="center"/>
          </w:tcPr>
          <w:p w14:paraId="758FD4A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Q19</w:t>
            </w:r>
          </w:p>
        </w:tc>
        <w:tc>
          <w:tcPr>
            <w:tcW w:w="8599" w:type="dxa"/>
            <w:vAlign w:val="center"/>
          </w:tcPr>
          <w:p w14:paraId="18299C0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This experience challenged my traditional understanding of "what an exhibit can be."</w:t>
            </w:r>
          </w:p>
        </w:tc>
      </w:tr>
      <w:tr w14:paraId="1800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 w:type="dxa"/>
            <w:vAlign w:val="center"/>
          </w:tcPr>
          <w:p w14:paraId="5EBD746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Q20</w:t>
            </w:r>
          </w:p>
        </w:tc>
        <w:tc>
          <w:tcPr>
            <w:tcW w:w="8599" w:type="dxa"/>
            <w:vAlign w:val="center"/>
          </w:tcPr>
          <w:p w14:paraId="7F69F91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The combination of the physical object and the projection created a new hybrid art form.</w:t>
            </w:r>
          </w:p>
        </w:tc>
      </w:tr>
      <w:tr w14:paraId="7120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 w:type="dxa"/>
            <w:vAlign w:val="center"/>
          </w:tcPr>
          <w:p w14:paraId="43ACDC7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Q21</w:t>
            </w:r>
          </w:p>
        </w:tc>
        <w:tc>
          <w:tcPr>
            <w:tcW w:w="8599" w:type="dxa"/>
            <w:vAlign w:val="center"/>
          </w:tcPr>
          <w:p w14:paraId="2145ADD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The enhanced display prompted me to rethink the relationships between different artistic media.</w:t>
            </w:r>
          </w:p>
        </w:tc>
      </w:tr>
      <w:tr w14:paraId="3FFA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1" w:type="dxa"/>
            <w:vAlign w:val="center"/>
          </w:tcPr>
          <w:p w14:paraId="336D1BC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Q22</w:t>
            </w:r>
          </w:p>
        </w:tc>
        <w:tc>
          <w:tcPr>
            <w:tcW w:w="8599" w:type="dxa"/>
            <w:vAlign w:val="center"/>
          </w:tcPr>
          <w:p w14:paraId="50ED211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The projection transformed the object into something that transcends traditional art classifications.</w:t>
            </w:r>
          </w:p>
        </w:tc>
      </w:tr>
    </w:tbl>
    <w:p w14:paraId="526FD4AC">
      <w:pPr>
        <w:spacing w:before="0" w:after="120" w:line="480" w:lineRule="auto"/>
      </w:pPr>
    </w:p>
    <w:p w14:paraId="291C7345">
      <w:pPr>
        <w:spacing w:before="240" w:after="120" w:line="480" w:lineRule="auto"/>
      </w:pPr>
      <w:r>
        <w:rPr>
          <w:rFonts w:ascii="Times New Roman" w:hAnsi="Times New Roman"/>
          <w:b/>
          <w:sz w:val="24"/>
        </w:rPr>
        <w:t>S4.2 Background Screening Questionnaire</w:t>
      </w:r>
    </w:p>
    <w:p w14:paraId="454694C8">
      <w:pPr>
        <w:spacing w:before="0" w:after="120" w:line="480" w:lineRule="auto"/>
      </w:pPr>
      <w:r>
        <w:rPr>
          <w:rFonts w:ascii="Times New Roman" w:hAnsi="Times New Roman"/>
          <w:b/>
          <w:i w:val="0"/>
          <w:sz w:val="24"/>
        </w:rPr>
        <w:t>Instructions:</w:t>
      </w:r>
      <w:r>
        <w:rPr>
          <w:rFonts w:ascii="Times New Roman" w:hAnsi="Times New Roman"/>
          <w:b w:val="0"/>
          <w:i w:val="0"/>
          <w:sz w:val="24"/>
        </w:rPr>
        <w:t xml:space="preserve"> Please respond based on your actual circumstances and level of agreement.</w:t>
      </w:r>
    </w:p>
    <w:p w14:paraId="31F7613E">
      <w:pPr>
        <w:spacing w:before="0" w:after="120" w:line="480" w:lineRule="auto"/>
      </w:pPr>
      <w:r>
        <w:rPr>
          <w:rFonts w:ascii="Times New Roman" w:hAnsi="Times New Roman"/>
          <w:b/>
          <w:i w:val="0"/>
          <w:sz w:val="24"/>
        </w:rPr>
        <w:t>Artistic Literacy (3 items, 7-point scale, 1 = strongly disagree, 7 = strongly agree):</w:t>
      </w:r>
    </w:p>
    <w:p w14:paraId="26EA1891">
      <w:pPr>
        <w:spacing w:before="0" w:after="120" w:line="480" w:lineRule="auto"/>
      </w:pPr>
      <w:r>
        <w:rPr>
          <w:rFonts w:ascii="Times New Roman" w:hAnsi="Times New Roman"/>
          <w:b w:val="0"/>
          <w:i w:val="0"/>
          <w:sz w:val="24"/>
        </w:rPr>
        <w:t>1. I am familiar with the characteristics of major art movements from classical to contemporary.</w:t>
      </w:r>
    </w:p>
    <w:p w14:paraId="3E1F6200">
      <w:pPr>
        <w:spacing w:before="0" w:after="120" w:line="480" w:lineRule="auto"/>
      </w:pPr>
      <w:r>
        <w:rPr>
          <w:rFonts w:ascii="Times New Roman" w:hAnsi="Times New Roman"/>
          <w:b w:val="0"/>
          <w:i w:val="0"/>
          <w:sz w:val="24"/>
        </w:rPr>
        <w:t>2. I possess knowledge of art history and aesthetic theory.</w:t>
      </w:r>
    </w:p>
    <w:p w14:paraId="3D65D62C">
      <w:pPr>
        <w:spacing w:before="0" w:after="120" w:line="480" w:lineRule="auto"/>
      </w:pPr>
      <w:r>
        <w:rPr>
          <w:rFonts w:ascii="Times New Roman" w:hAnsi="Times New Roman"/>
          <w:b w:val="0"/>
          <w:i w:val="0"/>
          <w:sz w:val="24"/>
        </w:rPr>
        <w:t>3. I frequently participate in art criticism or academic discussions.</w:t>
      </w:r>
    </w:p>
    <w:p w14:paraId="78C04FE7">
      <w:pPr>
        <w:spacing w:before="0" w:after="120" w:line="480" w:lineRule="auto"/>
      </w:pPr>
      <w:r>
        <w:rPr>
          <w:rFonts w:ascii="Times New Roman" w:hAnsi="Times New Roman"/>
          <w:b/>
          <w:i w:val="0"/>
          <w:sz w:val="24"/>
        </w:rPr>
        <w:t>Digital Literacy (3 items, 7-point scale, 1 = strongly disagree, 7 = strongly agree):</w:t>
      </w:r>
    </w:p>
    <w:p w14:paraId="5A5CF2DE">
      <w:pPr>
        <w:spacing w:before="0" w:after="120" w:line="480" w:lineRule="auto"/>
      </w:pPr>
      <w:r>
        <w:rPr>
          <w:rFonts w:ascii="Times New Roman" w:hAnsi="Times New Roman"/>
          <w:b w:val="0"/>
          <w:i w:val="0"/>
          <w:sz w:val="24"/>
        </w:rPr>
        <w:t>1. I understand the technical principles of projection mapping (e.g., geometric correction, edge blending).</w:t>
      </w:r>
    </w:p>
    <w:p w14:paraId="4823433D">
      <w:pPr>
        <w:spacing w:before="0" w:after="120" w:line="480" w:lineRule="auto"/>
      </w:pPr>
      <w:r>
        <w:rPr>
          <w:rFonts w:ascii="Times New Roman" w:hAnsi="Times New Roman"/>
          <w:b w:val="0"/>
          <w:i w:val="0"/>
          <w:sz w:val="24"/>
        </w:rPr>
        <w:t>2. I am familiar with virtual reality (VR), augmented reality (AR), or other digital media technologies.</w:t>
      </w:r>
    </w:p>
    <w:p w14:paraId="5F50D90C">
      <w:pPr>
        <w:spacing w:before="0" w:after="120" w:line="480" w:lineRule="auto"/>
      </w:pPr>
      <w:r>
        <w:rPr>
          <w:rFonts w:ascii="Times New Roman" w:hAnsi="Times New Roman"/>
          <w:b w:val="0"/>
          <w:i w:val="0"/>
          <w:sz w:val="24"/>
        </w:rPr>
        <w:t>3. I have experience using 3D modeling or digital art software.</w:t>
      </w:r>
    </w:p>
    <w:p w14:paraId="241BDAC2">
      <w:pPr>
        <w:spacing w:before="0" w:after="120" w:line="480" w:lineRule="auto"/>
      </w:pPr>
      <w:r>
        <w:rPr>
          <w:rFonts w:ascii="Times New Roman" w:hAnsi="Times New Roman"/>
          <w:b/>
          <w:i w:val="0"/>
          <w:sz w:val="24"/>
        </w:rPr>
        <w:t>Demographic Information:</w:t>
      </w:r>
      <w:r>
        <w:rPr>
          <w:rFonts w:ascii="Times New Roman" w:hAnsi="Times New Roman"/>
          <w:b w:val="0"/>
          <w:i w:val="0"/>
          <w:sz w:val="24"/>
        </w:rPr>
        <w:t xml:space="preserve"> Age, gender, highest education level, occupation/field.</w:t>
      </w:r>
    </w:p>
    <w:p w14:paraId="02A284E8">
      <w:pPr>
        <w:spacing w:before="0" w:after="120" w:line="480" w:lineRule="auto"/>
      </w:pPr>
      <w:r>
        <w:rPr>
          <w:rFonts w:ascii="Times New Roman" w:hAnsi="Times New Roman"/>
          <w:b/>
          <w:i w:val="0"/>
          <w:sz w:val="24"/>
        </w:rPr>
        <w:t>Grouping Criteria:</w:t>
      </w:r>
      <w:r>
        <w:rPr>
          <w:rFonts w:ascii="Times New Roman" w:hAnsi="Times New Roman"/>
          <w:b w:val="0"/>
          <w:i w:val="0"/>
          <w:sz w:val="24"/>
        </w:rPr>
        <w:t xml:space="preserve"> Based on scores on the artistic–digital literacy dual dimensions, participants were assigned to three groups: the AP group (high artistic literacy / low digital literacy), the GP group (moderate literacy in both domains), and the TP group (high digital literacy / low artistic literacy). Individuals scoring high on both artistic and digital literacy were excluded to ensure clear between-group classification.</w:t>
      </w:r>
    </w:p>
    <w:p w14:paraId="06958287">
      <w:pPr>
        <w:spacing w:before="240" w:after="120" w:line="480" w:lineRule="auto"/>
      </w:pPr>
      <w:r>
        <w:rPr>
          <w:rFonts w:ascii="Times New Roman" w:hAnsi="Times New Roman"/>
          <w:b/>
          <w:sz w:val="24"/>
        </w:rPr>
        <w:t>S4.3 Semi-Structured Interview Guide</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7659"/>
      </w:tblGrid>
      <w:tr w14:paraId="1543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336F2FDD">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Theme</w:t>
            </w:r>
          </w:p>
        </w:tc>
        <w:tc>
          <w:tcPr>
            <w:tcW w:w="7659" w:type="dxa"/>
            <w:vAlign w:val="center"/>
          </w:tcPr>
          <w:p w14:paraId="419BCEB0">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Example Questions</w:t>
            </w:r>
          </w:p>
        </w:tc>
      </w:tr>
      <w:tr w14:paraId="5C93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7F1D3DB">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Perceived Boundary Changes</w:t>
            </w:r>
          </w:p>
        </w:tc>
        <w:tc>
          <w:tcPr>
            <w:tcW w:w="7659" w:type="dxa"/>
            <w:vAlign w:val="center"/>
          </w:tcPr>
          <w:p w14:paraId="2D31341D">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When viewing the projection mapping, did you feel the projection and the object were separate or fused? Please describe this sensation. Was there a particular moment when you felt the boundary between the real and the virtual became blurred? What was that like?</w:t>
            </w:r>
          </w:p>
        </w:tc>
      </w:tr>
      <w:tr w14:paraId="5CBA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5F9ECD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Experience Interpretation</w:t>
            </w:r>
          </w:p>
        </w:tc>
        <w:tc>
          <w:tcPr>
            <w:tcW w:w="7659" w:type="dxa"/>
            <w:vAlign w:val="center"/>
          </w:tcPr>
          <w:p w14:paraId="7EFC4CF0">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What did this experience mean to you personally? Did it change your view of the object or of digital art? How so?</w:t>
            </w:r>
          </w:p>
        </w:tc>
      </w:tr>
      <w:tr w14:paraId="49C1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D39328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Perceived Role of Technology</w:t>
            </w:r>
          </w:p>
        </w:tc>
        <w:tc>
          <w:tcPr>
            <w:tcW w:w="7659" w:type="dxa"/>
            <w:vAlign w:val="center"/>
          </w:tcPr>
          <w:p w14:paraId="6D69C716">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How do you view the role of projection technology in this artwork? Did you think about how the technology works, or were you more focused on the visual effects? Why?</w:t>
            </w:r>
          </w:p>
        </w:tc>
      </w:tr>
      <w:tr w14:paraId="4B28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B420E81">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Emotional and Bodily Reactions</w:t>
            </w:r>
          </w:p>
        </w:tc>
        <w:tc>
          <w:tcPr>
            <w:tcW w:w="7659" w:type="dxa"/>
            <w:vAlign w:val="center"/>
          </w:tcPr>
          <w:p w14:paraId="5AA15A83">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Did you have any bodily sensations while viewing (e.g., goosebumps, relaxation, tension)? Were there any particularly salient emotions?</w:t>
            </w:r>
          </w:p>
        </w:tc>
      </w:tr>
      <w:tr w14:paraId="59D9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01" w:type="dxa"/>
            <w:vAlign w:val="center"/>
          </w:tcPr>
          <w:p w14:paraId="35ADEDE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Closing</w:t>
            </w:r>
          </w:p>
        </w:tc>
        <w:tc>
          <w:tcPr>
            <w:tcW w:w="7659" w:type="dxa"/>
            <w:vAlign w:val="center"/>
          </w:tcPr>
          <w:p w14:paraId="07CD52A5">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Is there anything else you would like to add about your experience?</w:t>
            </w:r>
          </w:p>
        </w:tc>
      </w:tr>
    </w:tbl>
    <w:p w14:paraId="0C30D7EA">
      <w:pPr>
        <w:spacing w:before="0" w:after="120" w:line="480" w:lineRule="auto"/>
      </w:pPr>
    </w:p>
    <w:p w14:paraId="247F7DB9">
      <w:pPr>
        <w:spacing w:before="240" w:after="120" w:line="480" w:lineRule="auto"/>
      </w:pPr>
      <w:r>
        <w:rPr>
          <w:rFonts w:ascii="Times New Roman" w:hAnsi="Times New Roman"/>
          <w:b/>
          <w:sz w:val="24"/>
        </w:rPr>
        <w:t>S4.4 Interview Theme Rating Scale</w:t>
      </w:r>
    </w:p>
    <w:p w14:paraId="1DF3F948">
      <w:pPr>
        <w:spacing w:before="0" w:after="120" w:line="480" w:lineRule="auto"/>
      </w:pPr>
      <w:r>
        <w:rPr>
          <w:rFonts w:ascii="Times New Roman" w:hAnsi="Times New Roman"/>
          <w:b w:val="0"/>
          <w:i w:val="0"/>
          <w:sz w:val="24"/>
        </w:rPr>
        <w:t>Based on the thematic analysis results, an "Experiential Focus Rating Scale" was developed to rate each participant on the three core thematic dimensions using a 5-point Likert scale (1 = completely inconsistent, 5 = completely consistent):</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9"/>
        <w:gridCol w:w="4846"/>
        <w:gridCol w:w="2495"/>
      </w:tblGrid>
      <w:tr w14:paraId="0BF2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2019" w:type="dxa"/>
            <w:vAlign w:val="center"/>
          </w:tcPr>
          <w:p w14:paraId="794724A8">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Thematic Dimension</w:t>
            </w:r>
          </w:p>
        </w:tc>
        <w:tc>
          <w:tcPr>
            <w:tcW w:w="4846" w:type="dxa"/>
            <w:vAlign w:val="center"/>
          </w:tcPr>
          <w:p w14:paraId="5135880F">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Rating Content</w:t>
            </w:r>
          </w:p>
        </w:tc>
        <w:tc>
          <w:tcPr>
            <w:tcW w:w="2495" w:type="dxa"/>
            <w:vAlign w:val="center"/>
          </w:tcPr>
          <w:p w14:paraId="09A02AFD">
            <w:pPr>
              <w:snapToGrid w:val="0"/>
              <w:spacing w:before="20" w:after="20" w:line="240" w:lineRule="auto"/>
              <w:ind w:left="0" w:leftChars="0" w:right="0" w:rightChars="0" w:firstLine="0" w:firstLineChars="0"/>
              <w:jc w:val="center"/>
              <w:rPr>
                <w:rFonts w:ascii="Times New Roman" w:hAnsi="Times New Roman" w:eastAsia="ＭＳ 明朝"/>
                <w:b/>
                <w:i w:val="0"/>
                <w:sz w:val="18"/>
              </w:rPr>
            </w:pPr>
            <w:r>
              <w:rPr>
                <w:rFonts w:ascii="Times New Roman" w:hAnsi="Times New Roman" w:eastAsia="ＭＳ 明朝"/>
                <w:b/>
                <w:i w:val="0"/>
                <w:sz w:val="18"/>
              </w:rPr>
              <w:t>Inter-Rater Agreement ICC</w:t>
            </w:r>
          </w:p>
          <w:p w14:paraId="0A46FA1C">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(2,2)</w:t>
            </w:r>
          </w:p>
        </w:tc>
      </w:tr>
      <w:tr w14:paraId="0F1F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19" w:type="dxa"/>
            <w:vAlign w:val="center"/>
          </w:tcPr>
          <w:p w14:paraId="66A838F2">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Immersive Field</w:t>
            </w:r>
          </w:p>
        </w:tc>
        <w:tc>
          <w:tcPr>
            <w:tcW w:w="4846" w:type="dxa"/>
            <w:vAlign w:val="center"/>
          </w:tcPr>
          <w:p w14:paraId="776D26B0">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Intensity of the participant's immersive experience and sense of spatial presence</w:t>
            </w:r>
          </w:p>
        </w:tc>
        <w:tc>
          <w:tcPr>
            <w:tcW w:w="2495" w:type="dxa"/>
            <w:vAlign w:val="center"/>
          </w:tcPr>
          <w:p w14:paraId="4ED4777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0.84</w:t>
            </w:r>
          </w:p>
        </w:tc>
      </w:tr>
      <w:tr w14:paraId="5E6E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19" w:type="dxa"/>
            <w:vAlign w:val="center"/>
          </w:tcPr>
          <w:p w14:paraId="5BF0410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Bodily Empathy</w:t>
            </w:r>
          </w:p>
        </w:tc>
        <w:tc>
          <w:tcPr>
            <w:tcW w:w="4846" w:type="dxa"/>
            <w:vAlign w:val="center"/>
          </w:tcPr>
          <w:p w14:paraId="3B4D96A4">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Degree to which the participant established a connection with the artwork through bodily perception</w:t>
            </w:r>
          </w:p>
        </w:tc>
        <w:tc>
          <w:tcPr>
            <w:tcW w:w="2495" w:type="dxa"/>
            <w:vAlign w:val="center"/>
          </w:tcPr>
          <w:p w14:paraId="1771F88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0.81</w:t>
            </w:r>
          </w:p>
        </w:tc>
      </w:tr>
      <w:tr w14:paraId="1A34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19" w:type="dxa"/>
            <w:vAlign w:val="center"/>
          </w:tcPr>
          <w:p w14:paraId="2A539765">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Open Interpretation</w:t>
            </w:r>
          </w:p>
        </w:tc>
        <w:tc>
          <w:tcPr>
            <w:tcW w:w="4846" w:type="dxa"/>
            <w:vAlign w:val="center"/>
          </w:tcPr>
          <w:p w14:paraId="3D905A44">
            <w:pPr>
              <w:snapToGrid w:val="0"/>
              <w:spacing w:before="20" w:after="20" w:line="240" w:lineRule="auto"/>
              <w:ind w:left="0" w:leftChars="0" w:right="0" w:rightChars="0" w:firstLine="0" w:firstLineChars="0"/>
              <w:jc w:val="left"/>
              <w:rPr>
                <w:rFonts w:ascii="Times New Roman" w:eastAsia="ＭＳ 明朝"/>
                <w:sz w:val="18"/>
              </w:rPr>
            </w:pPr>
            <w:r>
              <w:rPr>
                <w:rFonts w:ascii="Times New Roman" w:hAnsi="Times New Roman" w:eastAsia="ＭＳ 明朝"/>
                <w:b w:val="0"/>
                <w:i w:val="0"/>
                <w:sz w:val="18"/>
              </w:rPr>
              <w:t>Degree to which the participant actively created and interpreted the meaning of the artwork</w:t>
            </w:r>
          </w:p>
        </w:tc>
        <w:tc>
          <w:tcPr>
            <w:tcW w:w="2495" w:type="dxa"/>
            <w:vAlign w:val="center"/>
          </w:tcPr>
          <w:p w14:paraId="1B0B6E0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0.79</w:t>
            </w:r>
          </w:p>
        </w:tc>
      </w:tr>
    </w:tbl>
    <w:p w14:paraId="5E586824">
      <w:pPr>
        <w:spacing w:before="0" w:after="120" w:line="480" w:lineRule="auto"/>
      </w:pPr>
    </w:p>
    <w:p w14:paraId="2B1C0EA3">
      <w:pPr>
        <w:spacing w:before="0" w:after="120" w:line="480" w:lineRule="auto"/>
      </w:pPr>
      <w:r>
        <w:rPr>
          <w:rFonts w:ascii="Times New Roman" w:hAnsi="Times New Roman"/>
          <w:b w:val="0"/>
          <w:i w:val="0"/>
          <w:sz w:val="24"/>
        </w:rPr>
        <w:t>When rating discrepancies exceeded 2 points, resolution was achieved through discussion or third-party adjudication; the mean was taken as the final score.</w:t>
      </w:r>
    </w:p>
    <w:p w14:paraId="21464879">
      <w:pPr>
        <w:spacing w:before="360" w:after="120" w:line="480" w:lineRule="auto"/>
      </w:pPr>
      <w:r>
        <w:rPr>
          <w:rFonts w:ascii="Times New Roman" w:hAnsi="Times New Roman"/>
          <w:b/>
          <w:sz w:val="24"/>
        </w:rPr>
        <w:t>S5 Note: Harman's Single-Factor Test and Comparison with CFA</w:t>
      </w:r>
    </w:p>
    <w:p w14:paraId="6B960AD7">
      <w:pPr>
        <w:spacing w:before="0" w:after="120" w:line="480" w:lineRule="auto"/>
      </w:pPr>
      <w:r>
        <w:rPr>
          <w:rFonts w:ascii="Times New Roman" w:hAnsi="Times New Roman"/>
          <w:b/>
          <w:i w:val="0"/>
          <w:sz w:val="24"/>
        </w:rPr>
        <w:t>Table S5.1 Harman's Single-Factor Test: Top Five Eigenvalues</w:t>
      </w:r>
    </w:p>
    <w:tbl>
      <w:tblPr>
        <w:tblStyle w:val="3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1871"/>
        <w:gridCol w:w="3653"/>
        <w:gridCol w:w="2561"/>
      </w:tblGrid>
      <w:tr w14:paraId="1868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275" w:type="dxa"/>
            <w:vAlign w:val="center"/>
          </w:tcPr>
          <w:p w14:paraId="6D4D6249">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Factor</w:t>
            </w:r>
          </w:p>
        </w:tc>
        <w:tc>
          <w:tcPr>
            <w:tcW w:w="1871" w:type="dxa"/>
            <w:vAlign w:val="center"/>
          </w:tcPr>
          <w:p w14:paraId="319C22EB">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Eigenvalue</w:t>
            </w:r>
          </w:p>
        </w:tc>
        <w:tc>
          <w:tcPr>
            <w:tcW w:w="3653" w:type="dxa"/>
            <w:vAlign w:val="center"/>
          </w:tcPr>
          <w:p w14:paraId="4BC5A70F">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Variance Explained (%)</w:t>
            </w:r>
          </w:p>
        </w:tc>
        <w:tc>
          <w:tcPr>
            <w:tcW w:w="2561" w:type="dxa"/>
            <w:vAlign w:val="center"/>
          </w:tcPr>
          <w:p w14:paraId="3B1F3E79">
            <w:pPr>
              <w:snapToGrid w:val="0"/>
              <w:spacing w:before="20" w:after="20" w:line="240" w:lineRule="auto"/>
              <w:ind w:left="0" w:leftChars="0" w:right="0" w:rightChars="0" w:firstLine="0" w:firstLineChars="0"/>
              <w:jc w:val="center"/>
              <w:rPr>
                <w:rFonts w:ascii="Times New Roman" w:eastAsia="ＭＳ 明朝"/>
                <w:b/>
                <w:sz w:val="18"/>
              </w:rPr>
            </w:pPr>
            <w:r>
              <w:rPr>
                <w:rFonts w:ascii="Times New Roman" w:hAnsi="Times New Roman" w:eastAsia="ＭＳ 明朝"/>
                <w:b/>
                <w:i w:val="0"/>
                <w:sz w:val="18"/>
              </w:rPr>
              <w:t>Cumulative (%)</w:t>
            </w:r>
          </w:p>
        </w:tc>
      </w:tr>
      <w:tr w14:paraId="7433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5" w:type="dxa"/>
            <w:vAlign w:val="center"/>
          </w:tcPr>
          <w:p w14:paraId="02B23F3D">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w:t>
            </w:r>
          </w:p>
        </w:tc>
        <w:tc>
          <w:tcPr>
            <w:tcW w:w="1871" w:type="dxa"/>
            <w:vAlign w:val="center"/>
          </w:tcPr>
          <w:p w14:paraId="287DCA33">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2.022</w:t>
            </w:r>
          </w:p>
        </w:tc>
        <w:tc>
          <w:tcPr>
            <w:tcW w:w="3653" w:type="dxa"/>
            <w:vAlign w:val="center"/>
          </w:tcPr>
          <w:p w14:paraId="7BAFEA94">
            <w:pPr>
              <w:snapToGrid w:val="0"/>
              <w:spacing w:before="20" w:after="20" w:line="240" w:lineRule="auto"/>
              <w:ind w:left="0" w:leftChars="0" w:right="0" w:rightChars="0" w:firstLine="0" w:firstLineChars="0"/>
              <w:jc w:val="right"/>
              <w:rPr>
                <w:rFonts w:ascii="Times New Roman" w:eastAsia="ＭＳ 明朝"/>
                <w:sz w:val="18"/>
              </w:rPr>
            </w:pPr>
            <w:r>
              <w:rPr>
                <w:rFonts w:ascii="Times New Roman" w:hAnsi="Times New Roman" w:eastAsia="ＭＳ 明朝"/>
                <w:b w:val="0"/>
                <w:i w:val="0"/>
                <w:sz w:val="18"/>
              </w:rPr>
              <w:t>9.19</w:t>
            </w:r>
          </w:p>
        </w:tc>
        <w:tc>
          <w:tcPr>
            <w:tcW w:w="2561" w:type="dxa"/>
            <w:vAlign w:val="center"/>
          </w:tcPr>
          <w:p w14:paraId="4F32D01D">
            <w:pPr>
              <w:snapToGrid w:val="0"/>
              <w:spacing w:before="20" w:after="20" w:line="240" w:lineRule="auto"/>
              <w:ind w:left="0" w:leftChars="0" w:right="0" w:rightChars="0" w:firstLine="0" w:firstLineChars="0"/>
              <w:jc w:val="right"/>
              <w:rPr>
                <w:rFonts w:ascii="Times New Roman" w:eastAsia="ＭＳ 明朝"/>
                <w:sz w:val="18"/>
              </w:rPr>
            </w:pPr>
            <w:r>
              <w:rPr>
                <w:rFonts w:ascii="Times New Roman" w:hAnsi="Times New Roman" w:eastAsia="ＭＳ 明朝"/>
                <w:b w:val="0"/>
                <w:i w:val="0"/>
                <w:sz w:val="18"/>
              </w:rPr>
              <w:t>9.19</w:t>
            </w:r>
          </w:p>
        </w:tc>
      </w:tr>
      <w:tr w14:paraId="7999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5" w:type="dxa"/>
            <w:vAlign w:val="center"/>
          </w:tcPr>
          <w:p w14:paraId="4FEC8F79">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2</w:t>
            </w:r>
          </w:p>
        </w:tc>
        <w:tc>
          <w:tcPr>
            <w:tcW w:w="1871" w:type="dxa"/>
            <w:vAlign w:val="center"/>
          </w:tcPr>
          <w:p w14:paraId="76713E06">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1.826</w:t>
            </w:r>
          </w:p>
        </w:tc>
        <w:tc>
          <w:tcPr>
            <w:tcW w:w="3653" w:type="dxa"/>
            <w:vAlign w:val="center"/>
          </w:tcPr>
          <w:p w14:paraId="46C1D5BC">
            <w:pPr>
              <w:snapToGrid w:val="0"/>
              <w:spacing w:before="20" w:after="20" w:line="240" w:lineRule="auto"/>
              <w:ind w:left="0" w:leftChars="0" w:right="0" w:rightChars="0" w:firstLine="0" w:firstLineChars="0"/>
              <w:jc w:val="right"/>
              <w:rPr>
                <w:rFonts w:ascii="Times New Roman" w:eastAsia="ＭＳ 明朝"/>
                <w:sz w:val="18"/>
              </w:rPr>
            </w:pPr>
            <w:r>
              <w:rPr>
                <w:rFonts w:ascii="Times New Roman" w:hAnsi="Times New Roman" w:eastAsia="ＭＳ 明朝"/>
                <w:b w:val="0"/>
                <w:i w:val="0"/>
                <w:sz w:val="18"/>
              </w:rPr>
              <w:t>8.30</w:t>
            </w:r>
          </w:p>
        </w:tc>
        <w:tc>
          <w:tcPr>
            <w:tcW w:w="2561" w:type="dxa"/>
            <w:vAlign w:val="center"/>
          </w:tcPr>
          <w:p w14:paraId="7358C45A">
            <w:pPr>
              <w:snapToGrid w:val="0"/>
              <w:spacing w:before="20" w:after="20" w:line="240" w:lineRule="auto"/>
              <w:ind w:left="0" w:leftChars="0" w:right="0" w:rightChars="0" w:firstLine="0" w:firstLineChars="0"/>
              <w:jc w:val="right"/>
              <w:rPr>
                <w:rFonts w:ascii="Times New Roman" w:eastAsia="ＭＳ 明朝"/>
                <w:sz w:val="18"/>
              </w:rPr>
            </w:pPr>
            <w:r>
              <w:rPr>
                <w:rFonts w:ascii="Times New Roman" w:hAnsi="Times New Roman" w:eastAsia="ＭＳ 明朝"/>
                <w:b w:val="0"/>
                <w:i w:val="0"/>
                <w:sz w:val="18"/>
              </w:rPr>
              <w:t>17.49</w:t>
            </w:r>
          </w:p>
        </w:tc>
      </w:tr>
      <w:tr w14:paraId="6230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5" w:type="dxa"/>
            <w:vAlign w:val="center"/>
          </w:tcPr>
          <w:p w14:paraId="6200445E">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3</w:t>
            </w:r>
          </w:p>
        </w:tc>
        <w:tc>
          <w:tcPr>
            <w:tcW w:w="1871" w:type="dxa"/>
            <w:vAlign w:val="center"/>
          </w:tcPr>
          <w:p w14:paraId="777AC4C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1.620</w:t>
            </w:r>
          </w:p>
        </w:tc>
        <w:tc>
          <w:tcPr>
            <w:tcW w:w="3653" w:type="dxa"/>
            <w:vAlign w:val="center"/>
          </w:tcPr>
          <w:p w14:paraId="67AE1E4E">
            <w:pPr>
              <w:snapToGrid w:val="0"/>
              <w:spacing w:before="20" w:after="20" w:line="240" w:lineRule="auto"/>
              <w:ind w:left="0" w:leftChars="0" w:right="0" w:rightChars="0" w:firstLine="0" w:firstLineChars="0"/>
              <w:jc w:val="right"/>
              <w:rPr>
                <w:rFonts w:ascii="Times New Roman" w:eastAsia="ＭＳ 明朝"/>
                <w:sz w:val="18"/>
              </w:rPr>
            </w:pPr>
            <w:r>
              <w:rPr>
                <w:rFonts w:ascii="Times New Roman" w:hAnsi="Times New Roman" w:eastAsia="ＭＳ 明朝"/>
                <w:b w:val="0"/>
                <w:i w:val="0"/>
                <w:sz w:val="18"/>
              </w:rPr>
              <w:t>7.36</w:t>
            </w:r>
          </w:p>
        </w:tc>
        <w:tc>
          <w:tcPr>
            <w:tcW w:w="2561" w:type="dxa"/>
            <w:vAlign w:val="center"/>
          </w:tcPr>
          <w:p w14:paraId="20BC91DF">
            <w:pPr>
              <w:snapToGrid w:val="0"/>
              <w:spacing w:before="20" w:after="20" w:line="240" w:lineRule="auto"/>
              <w:ind w:left="0" w:leftChars="0" w:right="0" w:rightChars="0" w:firstLine="0" w:firstLineChars="0"/>
              <w:jc w:val="right"/>
              <w:rPr>
                <w:rFonts w:ascii="Times New Roman" w:eastAsia="ＭＳ 明朝"/>
                <w:sz w:val="18"/>
              </w:rPr>
            </w:pPr>
            <w:r>
              <w:rPr>
                <w:rFonts w:ascii="Times New Roman" w:hAnsi="Times New Roman" w:eastAsia="ＭＳ 明朝"/>
                <w:b w:val="0"/>
                <w:i w:val="0"/>
                <w:sz w:val="18"/>
              </w:rPr>
              <w:t>24.85</w:t>
            </w:r>
          </w:p>
        </w:tc>
      </w:tr>
      <w:tr w14:paraId="3DE8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5" w:type="dxa"/>
            <w:vAlign w:val="center"/>
          </w:tcPr>
          <w:p w14:paraId="5BB2A8B8">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4</w:t>
            </w:r>
          </w:p>
        </w:tc>
        <w:tc>
          <w:tcPr>
            <w:tcW w:w="1871" w:type="dxa"/>
            <w:vAlign w:val="center"/>
          </w:tcPr>
          <w:p w14:paraId="560A86DA">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1.583</w:t>
            </w:r>
          </w:p>
        </w:tc>
        <w:tc>
          <w:tcPr>
            <w:tcW w:w="3653" w:type="dxa"/>
            <w:vAlign w:val="center"/>
          </w:tcPr>
          <w:p w14:paraId="75775D0D">
            <w:pPr>
              <w:snapToGrid w:val="0"/>
              <w:spacing w:before="20" w:after="20" w:line="240" w:lineRule="auto"/>
              <w:ind w:left="0" w:leftChars="0" w:right="0" w:rightChars="0" w:firstLine="0" w:firstLineChars="0"/>
              <w:jc w:val="right"/>
              <w:rPr>
                <w:rFonts w:ascii="Times New Roman" w:eastAsia="ＭＳ 明朝"/>
                <w:sz w:val="18"/>
              </w:rPr>
            </w:pPr>
            <w:r>
              <w:rPr>
                <w:rFonts w:ascii="Times New Roman" w:hAnsi="Times New Roman" w:eastAsia="ＭＳ 明朝"/>
                <w:b w:val="0"/>
                <w:i w:val="0"/>
                <w:sz w:val="18"/>
              </w:rPr>
              <w:t>7.20</w:t>
            </w:r>
          </w:p>
        </w:tc>
        <w:tc>
          <w:tcPr>
            <w:tcW w:w="2561" w:type="dxa"/>
            <w:vAlign w:val="center"/>
          </w:tcPr>
          <w:p w14:paraId="434E48A7">
            <w:pPr>
              <w:snapToGrid w:val="0"/>
              <w:spacing w:before="20" w:after="20" w:line="240" w:lineRule="auto"/>
              <w:ind w:left="0" w:leftChars="0" w:right="0" w:rightChars="0" w:firstLine="0" w:firstLineChars="0"/>
              <w:jc w:val="right"/>
              <w:rPr>
                <w:rFonts w:ascii="Times New Roman" w:eastAsia="ＭＳ 明朝"/>
                <w:sz w:val="18"/>
              </w:rPr>
            </w:pPr>
            <w:r>
              <w:rPr>
                <w:rFonts w:ascii="Times New Roman" w:hAnsi="Times New Roman" w:eastAsia="ＭＳ 明朝"/>
                <w:b w:val="0"/>
                <w:i w:val="0"/>
                <w:sz w:val="18"/>
              </w:rPr>
              <w:t>32.05</w:t>
            </w:r>
          </w:p>
        </w:tc>
      </w:tr>
      <w:tr w14:paraId="1309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75" w:type="dxa"/>
            <w:vAlign w:val="center"/>
          </w:tcPr>
          <w:p w14:paraId="29D3F23C">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5</w:t>
            </w:r>
          </w:p>
        </w:tc>
        <w:tc>
          <w:tcPr>
            <w:tcW w:w="1871" w:type="dxa"/>
            <w:vAlign w:val="center"/>
          </w:tcPr>
          <w:p w14:paraId="20ED96A7">
            <w:pPr>
              <w:snapToGrid w:val="0"/>
              <w:spacing w:before="20" w:after="20" w:line="240" w:lineRule="auto"/>
              <w:ind w:left="0" w:leftChars="0" w:right="0" w:rightChars="0" w:firstLine="0" w:firstLineChars="0"/>
              <w:jc w:val="center"/>
              <w:rPr>
                <w:rFonts w:ascii="Times New Roman" w:eastAsia="ＭＳ 明朝"/>
                <w:sz w:val="18"/>
              </w:rPr>
            </w:pPr>
            <w:r>
              <w:rPr>
                <w:rFonts w:ascii="Times New Roman" w:hAnsi="Times New Roman" w:eastAsia="ＭＳ 明朝"/>
                <w:b w:val="0"/>
                <w:i w:val="0"/>
                <w:sz w:val="18"/>
              </w:rPr>
              <w:t>1.517</w:t>
            </w:r>
          </w:p>
        </w:tc>
        <w:tc>
          <w:tcPr>
            <w:tcW w:w="3653" w:type="dxa"/>
            <w:vAlign w:val="center"/>
          </w:tcPr>
          <w:p w14:paraId="2E27FC12">
            <w:pPr>
              <w:snapToGrid w:val="0"/>
              <w:spacing w:before="20" w:after="20" w:line="240" w:lineRule="auto"/>
              <w:ind w:left="0" w:leftChars="0" w:right="0" w:rightChars="0" w:firstLine="0" w:firstLineChars="0"/>
              <w:jc w:val="right"/>
              <w:rPr>
                <w:rFonts w:ascii="Times New Roman" w:eastAsia="ＭＳ 明朝"/>
                <w:sz w:val="18"/>
              </w:rPr>
            </w:pPr>
            <w:r>
              <w:rPr>
                <w:rFonts w:ascii="Times New Roman" w:hAnsi="Times New Roman" w:eastAsia="ＭＳ 明朝"/>
                <w:b w:val="0"/>
                <w:i w:val="0"/>
                <w:sz w:val="18"/>
              </w:rPr>
              <w:t>6.89</w:t>
            </w:r>
          </w:p>
        </w:tc>
        <w:tc>
          <w:tcPr>
            <w:tcW w:w="2561" w:type="dxa"/>
            <w:vAlign w:val="center"/>
          </w:tcPr>
          <w:p w14:paraId="5640678C">
            <w:pPr>
              <w:snapToGrid w:val="0"/>
              <w:spacing w:before="20" w:after="20" w:line="240" w:lineRule="auto"/>
              <w:ind w:left="0" w:leftChars="0" w:right="0" w:rightChars="0" w:firstLine="0" w:firstLineChars="0"/>
              <w:jc w:val="right"/>
              <w:rPr>
                <w:rFonts w:ascii="Times New Roman" w:eastAsia="ＭＳ 明朝"/>
                <w:sz w:val="18"/>
              </w:rPr>
            </w:pPr>
            <w:r>
              <w:rPr>
                <w:rFonts w:ascii="Times New Roman" w:hAnsi="Times New Roman" w:eastAsia="ＭＳ 明朝"/>
                <w:b w:val="0"/>
                <w:i w:val="0"/>
                <w:sz w:val="18"/>
              </w:rPr>
              <w:t>38.94</w:t>
            </w:r>
          </w:p>
        </w:tc>
      </w:tr>
    </w:tbl>
    <w:p w14:paraId="4258CF9A">
      <w:pPr>
        <w:spacing w:before="0" w:after="120" w:line="480" w:lineRule="auto"/>
      </w:pPr>
    </w:p>
    <w:p w14:paraId="29197B38">
      <w:pPr>
        <w:spacing w:before="0" w:after="120" w:line="480" w:lineRule="auto"/>
      </w:pPr>
      <w:r>
        <w:rPr>
          <w:rFonts w:ascii="Times New Roman" w:hAnsi="Times New Roman"/>
          <w:b w:val="0"/>
          <w:i w:val="0"/>
          <w:sz w:val="24"/>
        </w:rPr>
        <w:t>The first factor accounted for only 9.19% of the total variance, which is well below the 40% critical threshold, indicating that common method bias does not constitute a serious threat.</w:t>
      </w:r>
      <w:bookmarkStart w:id="0" w:name="_GoBack"/>
      <w:bookmarkEnd w:id="0"/>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3F9C0">
    <w:pPr>
      <w:pStyle w:val="24"/>
      <w:jc w:val="cente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17820CB"/>
    <w:rsid w:val="6A7501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line="480" w:lineRule="auto"/>
    </w:pPr>
    <w:rPr>
      <w:rFonts w:ascii="Times New Roman" w:hAnsi="Times New Roman" w:eastAsiaTheme="minorEastAsia"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1385</Words>
  <Characters>7560</Characters>
  <Lines>0</Lines>
  <Paragraphs>0</Paragraphs>
  <TotalTime>1</TotalTime>
  <ScaleCrop>false</ScaleCrop>
  <LinksUpToDate>false</LinksUpToDate>
  <CharactersWithSpaces>8568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Sun</cp:lastModifiedBy>
  <dcterms:modified xsi:type="dcterms:W3CDTF">2026-08-04T02:16:28Z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1347382570925908_0-data_volume/7667401526985638190-files/所有对话/主对话/博物馆论文_补充材料_V42_EN_PLOS_ONE.docx","ReservedCode1":"","ContentPropagator":"001191110102MACQD9K64028705","PropagateID":"1347382570925908#1785807669599","ReservedCode2":""}</vt:lpwstr>
  </property>
  <property fmtid="{D5CDD505-2E9C-101B-9397-08002B2CF9AE}" pid="3" name="KSOTemplateDocerSaveRecord">
    <vt:lpwstr>eyJoZGlkIjoiODUzMGJkMWQyNGYzOWI1ODc0OWRjNzBjOWE0MTJkMzYiLCJ1c2VySWQiOiIyNjEwODgyNDkifQ==</vt:lpwstr>
  </property>
  <property fmtid="{D5CDD505-2E9C-101B-9397-08002B2CF9AE}" pid="4" name="KSOProductBuildVer">
    <vt:lpwstr>2052-12.1.0.26375</vt:lpwstr>
  </property>
  <property fmtid="{D5CDD505-2E9C-101B-9397-08002B2CF9AE}" pid="5" name="ICV">
    <vt:lpwstr>5F675DF064DB4974A28FFF904147B967_12</vt:lpwstr>
  </property>
</Properties>
</file>