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3571" w14:textId="372F94FE" w:rsidR="00FD5B17" w:rsidRPr="00DB655D" w:rsidRDefault="00E1678A" w:rsidP="00FD5B17">
      <w:pPr>
        <w:spacing w:after="120"/>
        <w:rPr>
          <w:rFonts w:ascii="Arial" w:hAnsi="Arial" w:cs="Arial"/>
          <w:color w:val="0070C0"/>
          <w:szCs w:val="32"/>
          <w:lang w:val="en-AU"/>
        </w:rPr>
      </w:pPr>
      <w:r w:rsidRPr="00DB655D">
        <w:rPr>
          <w:rFonts w:ascii="Arial" w:hAnsi="Arial" w:cs="Arial"/>
          <w:color w:val="0070C0"/>
          <w:szCs w:val="32"/>
        </w:rPr>
        <w:t>Supplementary Table S2. Complete-case sensitivity analysis</w:t>
      </w:r>
      <w:r w:rsidR="00FD5B17" w:rsidRPr="00DB655D">
        <w:rPr>
          <w:rFonts w:ascii="Arial" w:hAnsi="Arial" w:cs="Arial" w:hint="eastAsia"/>
          <w:color w:val="0070C0"/>
          <w:szCs w:val="32"/>
          <w:lang w:val="en-AU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541"/>
        <w:gridCol w:w="1052"/>
        <w:gridCol w:w="1052"/>
        <w:gridCol w:w="1052"/>
        <w:gridCol w:w="1063"/>
        <w:gridCol w:w="753"/>
        <w:gridCol w:w="2364"/>
      </w:tblGrid>
      <w:tr w:rsidR="00FD5B17" w:rsidRPr="000C718C" w14:paraId="15EFE123" w14:textId="77777777" w:rsidTr="00DB655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B11917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1C87DC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Complete-case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94CA2D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2023 EMM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1D1695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2024 EMM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F84418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2025 EMM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593120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Overall year effect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BE5B62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C4B8BD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Comparison with main analysis</w:t>
            </w:r>
          </w:p>
        </w:tc>
      </w:tr>
      <w:tr w:rsidR="00FD5B17" w:rsidRPr="000C718C" w14:paraId="78F174E5" w14:textId="77777777" w:rsidTr="00DB655D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E9CB137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HBA-FAQ mean score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C47647B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9E6AE8A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0.45 (0.35–0.54)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1C2E336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0.62 (0.52–0.71)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C936ADB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0.62 (0.52–0.71)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E771E09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0C718C">
              <w:rPr>
                <w:rFonts w:ascii="Arial" w:hAnsi="Arial" w:cs="Arial"/>
                <w:sz w:val="20"/>
                <w:szCs w:val="20"/>
              </w:rPr>
              <w:t>F(</w:t>
            </w:r>
            <w:proofErr w:type="gramEnd"/>
            <w:r w:rsidRPr="000C718C">
              <w:rPr>
                <w:rFonts w:ascii="Arial" w:hAnsi="Arial" w:cs="Arial"/>
                <w:sz w:val="20"/>
                <w:szCs w:val="20"/>
              </w:rPr>
              <w:t>2, 212) = 6.95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AC82E3D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CA2B473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hAnsi="Arial" w:cs="Arial"/>
                <w:sz w:val="20"/>
                <w:szCs w:val="20"/>
              </w:rPr>
              <w:t>Similar; 2024 and 2025 remained significantly higher than 2023</w:t>
            </w:r>
          </w:p>
        </w:tc>
      </w:tr>
      <w:tr w:rsidR="00FD5B17" w:rsidRPr="000C718C" w14:paraId="327EF8CD" w14:textId="77777777" w:rsidTr="00DB655D">
        <w:tc>
          <w:tcPr>
            <w:tcW w:w="0" w:type="auto"/>
            <w:hideMark/>
          </w:tcPr>
          <w:p w14:paraId="621E5C37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AD8 total score</w:t>
            </w:r>
          </w:p>
        </w:tc>
        <w:tc>
          <w:tcPr>
            <w:tcW w:w="0" w:type="auto"/>
            <w:hideMark/>
          </w:tcPr>
          <w:p w14:paraId="41C4A0E4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109</w:t>
            </w:r>
          </w:p>
        </w:tc>
        <w:tc>
          <w:tcPr>
            <w:tcW w:w="0" w:type="auto"/>
            <w:hideMark/>
          </w:tcPr>
          <w:p w14:paraId="2F5D2EC9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1.57 (1.13–2.01)</w:t>
            </w:r>
          </w:p>
        </w:tc>
        <w:tc>
          <w:tcPr>
            <w:tcW w:w="0" w:type="auto"/>
            <w:hideMark/>
          </w:tcPr>
          <w:p w14:paraId="24D89456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2.74 (2.30–3.19)</w:t>
            </w:r>
          </w:p>
        </w:tc>
        <w:tc>
          <w:tcPr>
            <w:tcW w:w="0" w:type="auto"/>
            <w:hideMark/>
          </w:tcPr>
          <w:p w14:paraId="23BF6D61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2.73 (2.28–3.17)</w:t>
            </w:r>
          </w:p>
        </w:tc>
        <w:tc>
          <w:tcPr>
            <w:tcW w:w="0" w:type="auto"/>
            <w:hideMark/>
          </w:tcPr>
          <w:p w14:paraId="01D3D651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220) = 13.41</w:t>
            </w:r>
          </w:p>
        </w:tc>
        <w:tc>
          <w:tcPr>
            <w:tcW w:w="0" w:type="auto"/>
            <w:hideMark/>
          </w:tcPr>
          <w:p w14:paraId="36D19E1E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22ABC3B0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Similar; 2024 and 2025 remained significantly higher than 2023</w:t>
            </w:r>
          </w:p>
        </w:tc>
      </w:tr>
      <w:tr w:rsidR="00FD5B17" w:rsidRPr="000C718C" w14:paraId="122D15B7" w14:textId="77777777" w:rsidTr="00DB655D">
        <w:tc>
          <w:tcPr>
            <w:tcW w:w="0" w:type="auto"/>
            <w:hideMark/>
          </w:tcPr>
          <w:p w14:paraId="4C1B9D59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FRAIL score</w:t>
            </w:r>
          </w:p>
        </w:tc>
        <w:tc>
          <w:tcPr>
            <w:tcW w:w="0" w:type="auto"/>
            <w:hideMark/>
          </w:tcPr>
          <w:p w14:paraId="5A70471B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106</w:t>
            </w:r>
          </w:p>
        </w:tc>
        <w:tc>
          <w:tcPr>
            <w:tcW w:w="0" w:type="auto"/>
            <w:hideMark/>
          </w:tcPr>
          <w:p w14:paraId="2064C69B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0.90 (0.68–1.11)</w:t>
            </w:r>
          </w:p>
        </w:tc>
        <w:tc>
          <w:tcPr>
            <w:tcW w:w="0" w:type="auto"/>
            <w:hideMark/>
          </w:tcPr>
          <w:p w14:paraId="5523DC15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0.87 (0.65–1.08)</w:t>
            </w:r>
          </w:p>
        </w:tc>
        <w:tc>
          <w:tcPr>
            <w:tcW w:w="0" w:type="auto"/>
            <w:hideMark/>
          </w:tcPr>
          <w:p w14:paraId="5BBEFF2C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1.51 (1.29–1.73)</w:t>
            </w:r>
          </w:p>
        </w:tc>
        <w:tc>
          <w:tcPr>
            <w:tcW w:w="0" w:type="auto"/>
            <w:hideMark/>
          </w:tcPr>
          <w:p w14:paraId="49502A41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214) = 21.38</w:t>
            </w:r>
          </w:p>
        </w:tc>
        <w:tc>
          <w:tcPr>
            <w:tcW w:w="0" w:type="auto"/>
            <w:hideMark/>
          </w:tcPr>
          <w:p w14:paraId="2371CF57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602BFA45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Similar; 2025 remained significantly higher than both 2023 and 2024</w:t>
            </w:r>
          </w:p>
        </w:tc>
      </w:tr>
      <w:tr w:rsidR="00FD5B17" w:rsidRPr="000C718C" w14:paraId="664BFB6F" w14:textId="77777777" w:rsidTr="00DB655D">
        <w:tc>
          <w:tcPr>
            <w:tcW w:w="0" w:type="auto"/>
            <w:hideMark/>
          </w:tcPr>
          <w:p w14:paraId="66A6CF7E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GDS-5 total score</w:t>
            </w:r>
          </w:p>
        </w:tc>
        <w:tc>
          <w:tcPr>
            <w:tcW w:w="0" w:type="auto"/>
            <w:hideMark/>
          </w:tcPr>
          <w:p w14:paraId="2872EF97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105</w:t>
            </w:r>
          </w:p>
        </w:tc>
        <w:tc>
          <w:tcPr>
            <w:tcW w:w="0" w:type="auto"/>
            <w:hideMark/>
          </w:tcPr>
          <w:p w14:paraId="5C5E2D06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1.87 (1.65–2.09)</w:t>
            </w:r>
          </w:p>
        </w:tc>
        <w:tc>
          <w:tcPr>
            <w:tcW w:w="0" w:type="auto"/>
            <w:hideMark/>
          </w:tcPr>
          <w:p w14:paraId="23F22FB9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1.87 (1.65–2.09)</w:t>
            </w:r>
          </w:p>
        </w:tc>
        <w:tc>
          <w:tcPr>
            <w:tcW w:w="0" w:type="auto"/>
            <w:hideMark/>
          </w:tcPr>
          <w:p w14:paraId="1D1D9F4E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1.90 (1.68–2.11)</w:t>
            </w:r>
          </w:p>
        </w:tc>
        <w:tc>
          <w:tcPr>
            <w:tcW w:w="0" w:type="auto"/>
            <w:hideMark/>
          </w:tcPr>
          <w:p w14:paraId="147537AC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212) = 0.03</w:t>
            </w:r>
          </w:p>
        </w:tc>
        <w:tc>
          <w:tcPr>
            <w:tcW w:w="0" w:type="auto"/>
            <w:hideMark/>
          </w:tcPr>
          <w:p w14:paraId="6FE58E22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.971</w:t>
            </w:r>
          </w:p>
        </w:tc>
        <w:tc>
          <w:tcPr>
            <w:tcW w:w="0" w:type="auto"/>
            <w:hideMark/>
          </w:tcPr>
          <w:p w14:paraId="548AA796" w14:textId="77777777" w:rsidR="00FD5B17" w:rsidRPr="000C718C" w:rsidRDefault="00FD5B17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0C718C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Similar; no significant year effect</w:t>
            </w:r>
          </w:p>
        </w:tc>
      </w:tr>
    </w:tbl>
    <w:p w14:paraId="59088DD8" w14:textId="77777777" w:rsidR="000C718C" w:rsidRPr="000C718C" w:rsidRDefault="00FD5B17" w:rsidP="000C718C">
      <w:pPr>
        <w:spacing w:before="120" w:after="120" w:line="240" w:lineRule="auto"/>
        <w:rPr>
          <w:rFonts w:ascii="Arial" w:eastAsia="SimSun" w:hAnsi="Arial" w:cs="Arial"/>
          <w:sz w:val="20"/>
          <w:szCs w:val="20"/>
          <w:lang w:val="en-AU" w:eastAsia="zh-CN"/>
        </w:rPr>
      </w:pPr>
      <w:r w:rsidRPr="000C718C">
        <w:rPr>
          <w:rFonts w:ascii="Arial" w:eastAsia="SimSun" w:hAnsi="Arial" w:cs="Arial"/>
          <w:sz w:val="20"/>
          <w:szCs w:val="20"/>
          <w:lang w:eastAsia="zh-CN"/>
        </w:rPr>
        <w:t xml:space="preserve">Note. </w:t>
      </w:r>
      <w:r w:rsidR="000C718C" w:rsidRPr="000C718C">
        <w:rPr>
          <w:rFonts w:ascii="Arial" w:eastAsia="SimSun" w:hAnsi="Arial" w:cs="Arial"/>
          <w:sz w:val="20"/>
          <w:szCs w:val="20"/>
          <w:lang w:val="en-AU" w:eastAsia="zh-CN"/>
        </w:rPr>
        <w:t>EMM = estimated marginal mean; CI = confidence interval. Complete-case participants were defined as those with valid data for the relevant outcome across all three survey years.</w:t>
      </w:r>
    </w:p>
    <w:p w14:paraId="38366E50" w14:textId="77777777" w:rsidR="000C718C" w:rsidRPr="000C718C" w:rsidRDefault="000C718C" w:rsidP="000C718C">
      <w:pPr>
        <w:spacing w:before="120" w:after="120" w:line="240" w:lineRule="auto"/>
        <w:rPr>
          <w:rFonts w:ascii="Arial" w:eastAsia="SimSun" w:hAnsi="Arial" w:cs="Arial"/>
          <w:sz w:val="20"/>
          <w:szCs w:val="20"/>
          <w:lang w:val="en-AU" w:eastAsia="zh-CN"/>
        </w:rPr>
      </w:pPr>
      <w:r w:rsidRPr="000C718C">
        <w:rPr>
          <w:rFonts w:ascii="Arial" w:eastAsia="SimSun" w:hAnsi="Arial" w:cs="Arial"/>
          <w:sz w:val="20"/>
          <w:szCs w:val="20"/>
          <w:lang w:val="en-AU" w:eastAsia="zh-CN"/>
        </w:rPr>
        <w:t>Complete-case sensitivity analyses produced findings consistent with the main mixed-model results. HBA-FAQ and AD8 scores remained significantly higher in 2024 and 2025 than in 2023. FRAIL scores remained stable from 2023 to 2024 but increased significantly in 2025. GDS-5 scores remained stable across all three survey years.</w:t>
      </w:r>
    </w:p>
    <w:p w14:paraId="78B255B7" w14:textId="1B32BA8C" w:rsidR="00FD5B17" w:rsidRPr="00B95F5D" w:rsidRDefault="00FD5B17" w:rsidP="000C718C">
      <w:pPr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</w:p>
    <w:p w14:paraId="3C2EF92B" w14:textId="77777777" w:rsidR="00C177DD" w:rsidRDefault="00C177DD"/>
    <w:sectPr w:rsidR="00C177DD" w:rsidSect="00DB655D">
      <w:pgSz w:w="11906" w:h="16838"/>
      <w:pgMar w:top="1440" w:right="873" w:bottom="1440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710B2" w14:textId="77777777" w:rsidR="005B2EEF" w:rsidRDefault="005B2EEF" w:rsidP="00DB655D">
      <w:pPr>
        <w:spacing w:after="0" w:line="240" w:lineRule="auto"/>
      </w:pPr>
      <w:r>
        <w:separator/>
      </w:r>
    </w:p>
  </w:endnote>
  <w:endnote w:type="continuationSeparator" w:id="0">
    <w:p w14:paraId="4D834774" w14:textId="77777777" w:rsidR="005B2EEF" w:rsidRDefault="005B2EEF" w:rsidP="00DB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C3D4" w14:textId="77777777" w:rsidR="005B2EEF" w:rsidRDefault="005B2EEF" w:rsidP="00DB655D">
      <w:pPr>
        <w:spacing w:after="0" w:line="240" w:lineRule="auto"/>
      </w:pPr>
      <w:r>
        <w:separator/>
      </w:r>
    </w:p>
  </w:footnote>
  <w:footnote w:type="continuationSeparator" w:id="0">
    <w:p w14:paraId="64D15A24" w14:textId="77777777" w:rsidR="005B2EEF" w:rsidRDefault="005B2EEF" w:rsidP="00DB6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41"/>
    <w:rsid w:val="000C718C"/>
    <w:rsid w:val="000D63B6"/>
    <w:rsid w:val="00180241"/>
    <w:rsid w:val="001E1D36"/>
    <w:rsid w:val="003A0788"/>
    <w:rsid w:val="004F6317"/>
    <w:rsid w:val="005B2EEF"/>
    <w:rsid w:val="00657F9B"/>
    <w:rsid w:val="007B65C1"/>
    <w:rsid w:val="00A46647"/>
    <w:rsid w:val="00C177DD"/>
    <w:rsid w:val="00DB655D"/>
    <w:rsid w:val="00E1678A"/>
    <w:rsid w:val="00F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87E54"/>
  <w15:chartTrackingRefBased/>
  <w15:docId w15:val="{C63CEC60-E606-4A41-8879-AD9404AB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B17"/>
    <w:pPr>
      <w:spacing w:before="0" w:after="200" w:line="276" w:lineRule="auto"/>
    </w:pPr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24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24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4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24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24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24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24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24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24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0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241"/>
    <w:pPr>
      <w:numPr>
        <w:ilvl w:val="1"/>
      </w:numPr>
      <w:spacing w:before="240"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0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241"/>
    <w:pPr>
      <w:spacing w:before="160" w:after="160" w:line="24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val="en-AU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0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241"/>
    <w:pPr>
      <w:spacing w:before="240" w:after="0" w:line="240" w:lineRule="auto"/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val="en-AU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0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2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718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55D"/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55D"/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cp:keywords/>
  <dc:description/>
  <cp:lastModifiedBy>Wenpeng</cp:lastModifiedBy>
  <cp:revision>5</cp:revision>
  <dcterms:created xsi:type="dcterms:W3CDTF">2026-06-23T02:06:00Z</dcterms:created>
  <dcterms:modified xsi:type="dcterms:W3CDTF">2026-06-27T03:08:00Z</dcterms:modified>
</cp:coreProperties>
</file>