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0CEAE" w14:textId="7660745D" w:rsidR="000A487C" w:rsidRPr="00CB033A" w:rsidRDefault="00846C83" w:rsidP="005F0D2B">
      <w:pPr>
        <w:rPr>
          <w:rFonts w:ascii="Arial" w:hAnsi="Arial" w:cs="Arial"/>
          <w:sz w:val="28"/>
          <w:szCs w:val="28"/>
        </w:rPr>
      </w:pPr>
      <w:r w:rsidRPr="00CB033A">
        <w:rPr>
          <w:rFonts w:ascii="Arial" w:hAnsi="Arial" w:cs="Arial"/>
          <w:b/>
          <w:bCs/>
          <w:color w:val="0070C0"/>
          <w:szCs w:val="32"/>
        </w:rPr>
        <w:t>Supplementary Table S1</w:t>
      </w:r>
      <w:r w:rsidR="005F0D2B" w:rsidRPr="00CB033A">
        <w:rPr>
          <w:rFonts w:ascii="Arial" w:hAnsi="Arial" w:cs="Arial"/>
          <w:b/>
          <w:bCs/>
          <w:color w:val="0070C0"/>
          <w:szCs w:val="32"/>
          <w:lang w:val="en-AU"/>
        </w:rPr>
        <w:t>. Bonferroni-adjusted pairwise comparisons between survey years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6"/>
        <w:gridCol w:w="1417"/>
        <w:gridCol w:w="1739"/>
        <w:gridCol w:w="1612"/>
        <w:gridCol w:w="906"/>
        <w:gridCol w:w="2129"/>
      </w:tblGrid>
      <w:tr w:rsidR="000A487C" w:rsidRPr="00316D4F" w14:paraId="4B50CEB5" w14:textId="77777777" w:rsidTr="00CB033A">
        <w:tc>
          <w:tcPr>
            <w:tcW w:w="0" w:type="auto"/>
            <w:tcBorders>
              <w:top w:val="single" w:sz="4" w:space="0" w:color="auto"/>
              <w:bottom w:val="single" w:sz="4" w:space="0" w:color="auto"/>
            </w:tcBorders>
            <w:hideMark/>
          </w:tcPr>
          <w:p w14:paraId="4B50CEAF" w14:textId="77777777" w:rsidR="000A487C" w:rsidRPr="00316D4F" w:rsidRDefault="000A487C" w:rsidP="00316D4F">
            <w:pPr>
              <w:spacing w:before="60"/>
              <w:rPr>
                <w:rFonts w:ascii="Arial" w:hAnsi="Arial" w:cs="Arial"/>
                <w:b/>
                <w:bCs/>
                <w:sz w:val="20"/>
                <w:szCs w:val="20"/>
                <w:lang w:val="en-AU"/>
              </w:rPr>
            </w:pPr>
            <w:r w:rsidRPr="00316D4F">
              <w:rPr>
                <w:rFonts w:ascii="Arial" w:hAnsi="Arial" w:cs="Arial"/>
                <w:b/>
                <w:bCs/>
                <w:sz w:val="20"/>
                <w:szCs w:val="20"/>
                <w:lang w:val="en-AU"/>
              </w:rPr>
              <w:t>Outcome</w:t>
            </w:r>
          </w:p>
        </w:tc>
        <w:tc>
          <w:tcPr>
            <w:tcW w:w="0" w:type="auto"/>
            <w:tcBorders>
              <w:top w:val="single" w:sz="4" w:space="0" w:color="auto"/>
              <w:bottom w:val="single" w:sz="4" w:space="0" w:color="auto"/>
            </w:tcBorders>
            <w:hideMark/>
          </w:tcPr>
          <w:p w14:paraId="4B50CEB0" w14:textId="77777777" w:rsidR="000A487C" w:rsidRPr="00316D4F" w:rsidRDefault="000A487C" w:rsidP="00316D4F">
            <w:pPr>
              <w:spacing w:before="60"/>
              <w:rPr>
                <w:rFonts w:ascii="Arial" w:hAnsi="Arial" w:cs="Arial"/>
                <w:b/>
                <w:bCs/>
                <w:sz w:val="20"/>
                <w:szCs w:val="20"/>
                <w:lang w:val="en-AU"/>
              </w:rPr>
            </w:pPr>
            <w:r w:rsidRPr="00316D4F">
              <w:rPr>
                <w:rFonts w:ascii="Arial" w:hAnsi="Arial" w:cs="Arial"/>
                <w:b/>
                <w:bCs/>
                <w:sz w:val="20"/>
                <w:szCs w:val="20"/>
                <w:lang w:val="en-AU"/>
              </w:rPr>
              <w:t>Comparison</w:t>
            </w:r>
          </w:p>
        </w:tc>
        <w:tc>
          <w:tcPr>
            <w:tcW w:w="0" w:type="auto"/>
            <w:tcBorders>
              <w:top w:val="single" w:sz="4" w:space="0" w:color="auto"/>
              <w:bottom w:val="single" w:sz="4" w:space="0" w:color="auto"/>
            </w:tcBorders>
            <w:hideMark/>
          </w:tcPr>
          <w:p w14:paraId="4B50CEB1" w14:textId="77777777" w:rsidR="000A487C" w:rsidRPr="00316D4F" w:rsidRDefault="000A487C" w:rsidP="00316D4F">
            <w:pPr>
              <w:spacing w:before="60"/>
              <w:rPr>
                <w:rFonts w:ascii="Arial" w:hAnsi="Arial" w:cs="Arial"/>
                <w:b/>
                <w:bCs/>
                <w:sz w:val="20"/>
                <w:szCs w:val="20"/>
                <w:lang w:val="en-AU"/>
              </w:rPr>
            </w:pPr>
            <w:r w:rsidRPr="00316D4F">
              <w:rPr>
                <w:rFonts w:ascii="Arial" w:hAnsi="Arial" w:cs="Arial"/>
                <w:b/>
                <w:bCs/>
                <w:sz w:val="20"/>
                <w:szCs w:val="20"/>
                <w:lang w:val="en-AU"/>
              </w:rPr>
              <w:t>Mean difference</w:t>
            </w:r>
          </w:p>
        </w:tc>
        <w:tc>
          <w:tcPr>
            <w:tcW w:w="0" w:type="auto"/>
            <w:tcBorders>
              <w:top w:val="single" w:sz="4" w:space="0" w:color="auto"/>
              <w:bottom w:val="single" w:sz="4" w:space="0" w:color="auto"/>
            </w:tcBorders>
            <w:hideMark/>
          </w:tcPr>
          <w:p w14:paraId="4B50CEB2" w14:textId="77777777" w:rsidR="000A487C" w:rsidRPr="00316D4F" w:rsidRDefault="000A487C" w:rsidP="00316D4F">
            <w:pPr>
              <w:spacing w:before="60"/>
              <w:rPr>
                <w:rFonts w:ascii="Arial" w:hAnsi="Arial" w:cs="Arial"/>
                <w:b/>
                <w:bCs/>
                <w:sz w:val="20"/>
                <w:szCs w:val="20"/>
                <w:lang w:val="en-AU"/>
              </w:rPr>
            </w:pPr>
            <w:r w:rsidRPr="00316D4F">
              <w:rPr>
                <w:rFonts w:ascii="Arial" w:hAnsi="Arial" w:cs="Arial"/>
                <w:b/>
                <w:bCs/>
                <w:sz w:val="20"/>
                <w:szCs w:val="20"/>
                <w:lang w:val="en-AU"/>
              </w:rPr>
              <w:t>95% CI</w:t>
            </w:r>
          </w:p>
        </w:tc>
        <w:tc>
          <w:tcPr>
            <w:tcW w:w="0" w:type="auto"/>
            <w:tcBorders>
              <w:top w:val="single" w:sz="4" w:space="0" w:color="auto"/>
              <w:bottom w:val="single" w:sz="4" w:space="0" w:color="auto"/>
            </w:tcBorders>
            <w:hideMark/>
          </w:tcPr>
          <w:p w14:paraId="4B50CEB3" w14:textId="77777777" w:rsidR="000A487C" w:rsidRPr="00316D4F" w:rsidRDefault="000A487C" w:rsidP="00316D4F">
            <w:pPr>
              <w:spacing w:before="60"/>
              <w:rPr>
                <w:rFonts w:ascii="Arial" w:hAnsi="Arial" w:cs="Arial"/>
                <w:b/>
                <w:bCs/>
                <w:sz w:val="20"/>
                <w:szCs w:val="20"/>
                <w:lang w:val="en-AU"/>
              </w:rPr>
            </w:pPr>
            <w:r w:rsidRPr="00316D4F">
              <w:rPr>
                <w:rFonts w:ascii="Arial" w:hAnsi="Arial" w:cs="Arial"/>
                <w:b/>
                <w:bCs/>
                <w:sz w:val="20"/>
                <w:szCs w:val="20"/>
                <w:lang w:val="en-AU"/>
              </w:rPr>
              <w:t>p value</w:t>
            </w:r>
          </w:p>
        </w:tc>
        <w:tc>
          <w:tcPr>
            <w:tcW w:w="0" w:type="auto"/>
            <w:tcBorders>
              <w:top w:val="single" w:sz="4" w:space="0" w:color="auto"/>
              <w:bottom w:val="single" w:sz="4" w:space="0" w:color="auto"/>
            </w:tcBorders>
            <w:hideMark/>
          </w:tcPr>
          <w:p w14:paraId="4B50CEB4" w14:textId="77777777" w:rsidR="000A487C" w:rsidRPr="00316D4F" w:rsidRDefault="000A487C" w:rsidP="00316D4F">
            <w:pPr>
              <w:spacing w:before="60"/>
              <w:rPr>
                <w:rFonts w:ascii="Arial" w:hAnsi="Arial" w:cs="Arial"/>
                <w:b/>
                <w:bCs/>
                <w:sz w:val="20"/>
                <w:szCs w:val="20"/>
                <w:lang w:val="en-AU"/>
              </w:rPr>
            </w:pPr>
            <w:r w:rsidRPr="00316D4F">
              <w:rPr>
                <w:rFonts w:ascii="Arial" w:hAnsi="Arial" w:cs="Arial"/>
                <w:b/>
                <w:bCs/>
                <w:sz w:val="20"/>
                <w:szCs w:val="20"/>
                <w:lang w:val="en-AU"/>
              </w:rPr>
              <w:t>Interpretation</w:t>
            </w:r>
          </w:p>
        </w:tc>
      </w:tr>
      <w:tr w:rsidR="000A487C" w:rsidRPr="00316D4F" w14:paraId="4B50CEBC" w14:textId="77777777" w:rsidTr="00CB033A">
        <w:tc>
          <w:tcPr>
            <w:tcW w:w="0" w:type="auto"/>
            <w:tcBorders>
              <w:top w:val="single" w:sz="4" w:space="0" w:color="auto"/>
            </w:tcBorders>
            <w:hideMark/>
          </w:tcPr>
          <w:p w14:paraId="4B50CEB6"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HBA-FAQ mean score</w:t>
            </w:r>
          </w:p>
        </w:tc>
        <w:tc>
          <w:tcPr>
            <w:tcW w:w="0" w:type="auto"/>
            <w:tcBorders>
              <w:top w:val="single" w:sz="4" w:space="0" w:color="auto"/>
            </w:tcBorders>
            <w:hideMark/>
          </w:tcPr>
          <w:p w14:paraId="4B50CEB7"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2024 vs 2023</w:t>
            </w:r>
          </w:p>
        </w:tc>
        <w:tc>
          <w:tcPr>
            <w:tcW w:w="0" w:type="auto"/>
            <w:tcBorders>
              <w:top w:val="single" w:sz="4" w:space="0" w:color="auto"/>
            </w:tcBorders>
            <w:hideMark/>
          </w:tcPr>
          <w:p w14:paraId="4B50CEB8"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0.163</w:t>
            </w:r>
          </w:p>
        </w:tc>
        <w:tc>
          <w:tcPr>
            <w:tcW w:w="0" w:type="auto"/>
            <w:tcBorders>
              <w:top w:val="single" w:sz="4" w:space="0" w:color="auto"/>
            </w:tcBorders>
            <w:hideMark/>
          </w:tcPr>
          <w:p w14:paraId="4B50CEB9"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0.038 to 0.287</w:t>
            </w:r>
          </w:p>
        </w:tc>
        <w:tc>
          <w:tcPr>
            <w:tcW w:w="0" w:type="auto"/>
            <w:tcBorders>
              <w:top w:val="single" w:sz="4" w:space="0" w:color="auto"/>
            </w:tcBorders>
            <w:hideMark/>
          </w:tcPr>
          <w:p w14:paraId="4B50CEBA"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.005</w:t>
            </w:r>
          </w:p>
        </w:tc>
        <w:tc>
          <w:tcPr>
            <w:tcW w:w="0" w:type="auto"/>
            <w:tcBorders>
              <w:top w:val="single" w:sz="4" w:space="0" w:color="auto"/>
            </w:tcBorders>
            <w:hideMark/>
          </w:tcPr>
          <w:p w14:paraId="4B50CEBB"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Significant increase</w:t>
            </w:r>
          </w:p>
        </w:tc>
      </w:tr>
      <w:tr w:rsidR="000A487C" w:rsidRPr="00316D4F" w14:paraId="4B50CEC3" w14:textId="77777777" w:rsidTr="00CB033A">
        <w:tc>
          <w:tcPr>
            <w:tcW w:w="0" w:type="auto"/>
            <w:hideMark/>
          </w:tcPr>
          <w:p w14:paraId="4B50CEBD"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HBA-FAQ mean score</w:t>
            </w:r>
          </w:p>
        </w:tc>
        <w:tc>
          <w:tcPr>
            <w:tcW w:w="0" w:type="auto"/>
            <w:hideMark/>
          </w:tcPr>
          <w:p w14:paraId="4B50CEBE"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2025 vs 2023</w:t>
            </w:r>
          </w:p>
        </w:tc>
        <w:tc>
          <w:tcPr>
            <w:tcW w:w="0" w:type="auto"/>
            <w:hideMark/>
          </w:tcPr>
          <w:p w14:paraId="4B50CEBF"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0.166</w:t>
            </w:r>
          </w:p>
        </w:tc>
        <w:tc>
          <w:tcPr>
            <w:tcW w:w="0" w:type="auto"/>
            <w:hideMark/>
          </w:tcPr>
          <w:p w14:paraId="4B50CEC0"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0.043 to 0.290</w:t>
            </w:r>
          </w:p>
        </w:tc>
        <w:tc>
          <w:tcPr>
            <w:tcW w:w="0" w:type="auto"/>
            <w:hideMark/>
          </w:tcPr>
          <w:p w14:paraId="4B50CEC1"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.004</w:t>
            </w:r>
          </w:p>
        </w:tc>
        <w:tc>
          <w:tcPr>
            <w:tcW w:w="0" w:type="auto"/>
            <w:hideMark/>
          </w:tcPr>
          <w:p w14:paraId="4B50CEC2"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Significant increase</w:t>
            </w:r>
          </w:p>
        </w:tc>
      </w:tr>
      <w:tr w:rsidR="000A487C" w:rsidRPr="00316D4F" w14:paraId="4B50CECA" w14:textId="77777777" w:rsidTr="00CB033A">
        <w:tc>
          <w:tcPr>
            <w:tcW w:w="0" w:type="auto"/>
            <w:hideMark/>
          </w:tcPr>
          <w:p w14:paraId="4B50CEC4"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HBA-FAQ mean score</w:t>
            </w:r>
          </w:p>
        </w:tc>
        <w:tc>
          <w:tcPr>
            <w:tcW w:w="0" w:type="auto"/>
            <w:hideMark/>
          </w:tcPr>
          <w:p w14:paraId="4B50CEC5"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2025 vs 2024</w:t>
            </w:r>
          </w:p>
        </w:tc>
        <w:tc>
          <w:tcPr>
            <w:tcW w:w="0" w:type="auto"/>
            <w:hideMark/>
          </w:tcPr>
          <w:p w14:paraId="4B50CEC6"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0.004</w:t>
            </w:r>
          </w:p>
        </w:tc>
        <w:tc>
          <w:tcPr>
            <w:tcW w:w="0" w:type="auto"/>
            <w:hideMark/>
          </w:tcPr>
          <w:p w14:paraId="4B50CEC7"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−0.122 to 0.129</w:t>
            </w:r>
          </w:p>
        </w:tc>
        <w:tc>
          <w:tcPr>
            <w:tcW w:w="0" w:type="auto"/>
            <w:hideMark/>
          </w:tcPr>
          <w:p w14:paraId="4B50CEC8"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1.000</w:t>
            </w:r>
          </w:p>
        </w:tc>
        <w:tc>
          <w:tcPr>
            <w:tcW w:w="0" w:type="auto"/>
            <w:hideMark/>
          </w:tcPr>
          <w:p w14:paraId="4B50CEC9"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rPr>
              <w:t>No significant change</w:t>
            </w:r>
          </w:p>
        </w:tc>
      </w:tr>
      <w:tr w:rsidR="000A487C" w:rsidRPr="00316D4F" w14:paraId="4B50CED1" w14:textId="77777777" w:rsidTr="00CB033A">
        <w:tc>
          <w:tcPr>
            <w:tcW w:w="0" w:type="auto"/>
            <w:hideMark/>
          </w:tcPr>
          <w:p w14:paraId="4B50CECB"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AD8 total score</w:t>
            </w:r>
          </w:p>
        </w:tc>
        <w:tc>
          <w:tcPr>
            <w:tcW w:w="0" w:type="auto"/>
            <w:hideMark/>
          </w:tcPr>
          <w:p w14:paraId="4B50CECC"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2024 vs 2023</w:t>
            </w:r>
          </w:p>
        </w:tc>
        <w:tc>
          <w:tcPr>
            <w:tcW w:w="0" w:type="auto"/>
            <w:hideMark/>
          </w:tcPr>
          <w:p w14:paraId="4B50CECD"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1.143</w:t>
            </w:r>
          </w:p>
        </w:tc>
        <w:tc>
          <w:tcPr>
            <w:tcW w:w="0" w:type="auto"/>
            <w:hideMark/>
          </w:tcPr>
          <w:p w14:paraId="4B50CECE"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0.525 to 1.762</w:t>
            </w:r>
          </w:p>
        </w:tc>
        <w:tc>
          <w:tcPr>
            <w:tcW w:w="0" w:type="auto"/>
            <w:hideMark/>
          </w:tcPr>
          <w:p w14:paraId="4B50CECF"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&lt;.001</w:t>
            </w:r>
          </w:p>
        </w:tc>
        <w:tc>
          <w:tcPr>
            <w:tcW w:w="0" w:type="auto"/>
            <w:hideMark/>
          </w:tcPr>
          <w:p w14:paraId="4B50CED0"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Significant increase</w:t>
            </w:r>
          </w:p>
        </w:tc>
      </w:tr>
      <w:tr w:rsidR="000A487C" w:rsidRPr="00316D4F" w14:paraId="4B50CED8" w14:textId="77777777" w:rsidTr="00CB033A">
        <w:tc>
          <w:tcPr>
            <w:tcW w:w="0" w:type="auto"/>
            <w:hideMark/>
          </w:tcPr>
          <w:p w14:paraId="4B50CED2"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AD8 total score</w:t>
            </w:r>
          </w:p>
        </w:tc>
        <w:tc>
          <w:tcPr>
            <w:tcW w:w="0" w:type="auto"/>
            <w:hideMark/>
          </w:tcPr>
          <w:p w14:paraId="4B50CED3"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2025 vs 2023</w:t>
            </w:r>
          </w:p>
        </w:tc>
        <w:tc>
          <w:tcPr>
            <w:tcW w:w="0" w:type="auto"/>
            <w:hideMark/>
          </w:tcPr>
          <w:p w14:paraId="4B50CED4"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1.088</w:t>
            </w:r>
          </w:p>
        </w:tc>
        <w:tc>
          <w:tcPr>
            <w:tcW w:w="0" w:type="auto"/>
            <w:hideMark/>
          </w:tcPr>
          <w:p w14:paraId="4B50CED5"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0.478 to 1.698</w:t>
            </w:r>
          </w:p>
        </w:tc>
        <w:tc>
          <w:tcPr>
            <w:tcW w:w="0" w:type="auto"/>
            <w:hideMark/>
          </w:tcPr>
          <w:p w14:paraId="4B50CED6"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&lt;.001</w:t>
            </w:r>
          </w:p>
        </w:tc>
        <w:tc>
          <w:tcPr>
            <w:tcW w:w="0" w:type="auto"/>
            <w:hideMark/>
          </w:tcPr>
          <w:p w14:paraId="4B50CED7"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Significant increase</w:t>
            </w:r>
          </w:p>
        </w:tc>
      </w:tr>
      <w:tr w:rsidR="000A487C" w:rsidRPr="00316D4F" w14:paraId="4B50CEDF" w14:textId="77777777" w:rsidTr="00CB033A">
        <w:tc>
          <w:tcPr>
            <w:tcW w:w="0" w:type="auto"/>
            <w:hideMark/>
          </w:tcPr>
          <w:p w14:paraId="4B50CED9"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AD8 total score</w:t>
            </w:r>
          </w:p>
        </w:tc>
        <w:tc>
          <w:tcPr>
            <w:tcW w:w="0" w:type="auto"/>
            <w:hideMark/>
          </w:tcPr>
          <w:p w14:paraId="4B50CEDA"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2025 vs 2024</w:t>
            </w:r>
          </w:p>
        </w:tc>
        <w:tc>
          <w:tcPr>
            <w:tcW w:w="0" w:type="auto"/>
            <w:hideMark/>
          </w:tcPr>
          <w:p w14:paraId="4B50CEDB"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−0.056</w:t>
            </w:r>
          </w:p>
        </w:tc>
        <w:tc>
          <w:tcPr>
            <w:tcW w:w="0" w:type="auto"/>
            <w:hideMark/>
          </w:tcPr>
          <w:p w14:paraId="4B50CEDC"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−0.674 to 0.563</w:t>
            </w:r>
          </w:p>
        </w:tc>
        <w:tc>
          <w:tcPr>
            <w:tcW w:w="0" w:type="auto"/>
            <w:hideMark/>
          </w:tcPr>
          <w:p w14:paraId="4B50CEDD"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1.000</w:t>
            </w:r>
          </w:p>
        </w:tc>
        <w:tc>
          <w:tcPr>
            <w:tcW w:w="0" w:type="auto"/>
            <w:hideMark/>
          </w:tcPr>
          <w:p w14:paraId="4B50CEDE"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No significant change</w:t>
            </w:r>
          </w:p>
        </w:tc>
      </w:tr>
      <w:tr w:rsidR="000A487C" w:rsidRPr="00316D4F" w14:paraId="4B50CEE6" w14:textId="77777777" w:rsidTr="00CB033A">
        <w:tc>
          <w:tcPr>
            <w:tcW w:w="0" w:type="auto"/>
            <w:hideMark/>
          </w:tcPr>
          <w:p w14:paraId="4B50CEE0"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FRAIL score</w:t>
            </w:r>
          </w:p>
        </w:tc>
        <w:tc>
          <w:tcPr>
            <w:tcW w:w="0" w:type="auto"/>
            <w:hideMark/>
          </w:tcPr>
          <w:p w14:paraId="4B50CEE1"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2024 vs 2023</w:t>
            </w:r>
          </w:p>
        </w:tc>
        <w:tc>
          <w:tcPr>
            <w:tcW w:w="0" w:type="auto"/>
            <w:hideMark/>
          </w:tcPr>
          <w:p w14:paraId="4B50CEE2"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−0.035</w:t>
            </w:r>
          </w:p>
        </w:tc>
        <w:tc>
          <w:tcPr>
            <w:tcW w:w="0" w:type="auto"/>
            <w:hideMark/>
          </w:tcPr>
          <w:p w14:paraId="4B50CEE3"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−0.295 to 0.226</w:t>
            </w:r>
          </w:p>
        </w:tc>
        <w:tc>
          <w:tcPr>
            <w:tcW w:w="0" w:type="auto"/>
            <w:hideMark/>
          </w:tcPr>
          <w:p w14:paraId="4B50CEE4"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1.000</w:t>
            </w:r>
          </w:p>
        </w:tc>
        <w:tc>
          <w:tcPr>
            <w:tcW w:w="0" w:type="auto"/>
            <w:hideMark/>
          </w:tcPr>
          <w:p w14:paraId="4B50CEE5"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No significant change</w:t>
            </w:r>
          </w:p>
        </w:tc>
      </w:tr>
      <w:tr w:rsidR="000A487C" w:rsidRPr="00316D4F" w14:paraId="4B50CEED" w14:textId="77777777" w:rsidTr="00CB033A">
        <w:tc>
          <w:tcPr>
            <w:tcW w:w="0" w:type="auto"/>
            <w:hideMark/>
          </w:tcPr>
          <w:p w14:paraId="4B50CEE7"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FRAIL score</w:t>
            </w:r>
          </w:p>
        </w:tc>
        <w:tc>
          <w:tcPr>
            <w:tcW w:w="0" w:type="auto"/>
            <w:hideMark/>
          </w:tcPr>
          <w:p w14:paraId="4B50CEE8"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2025 vs 2023</w:t>
            </w:r>
          </w:p>
        </w:tc>
        <w:tc>
          <w:tcPr>
            <w:tcW w:w="0" w:type="auto"/>
            <w:hideMark/>
          </w:tcPr>
          <w:p w14:paraId="4B50CEE9"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0.585</w:t>
            </w:r>
          </w:p>
        </w:tc>
        <w:tc>
          <w:tcPr>
            <w:tcW w:w="0" w:type="auto"/>
            <w:hideMark/>
          </w:tcPr>
          <w:p w14:paraId="4B50CEEA"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0.325 to 0.845</w:t>
            </w:r>
          </w:p>
        </w:tc>
        <w:tc>
          <w:tcPr>
            <w:tcW w:w="0" w:type="auto"/>
            <w:hideMark/>
          </w:tcPr>
          <w:p w14:paraId="4B50CEEB"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&lt;.001</w:t>
            </w:r>
          </w:p>
        </w:tc>
        <w:tc>
          <w:tcPr>
            <w:tcW w:w="0" w:type="auto"/>
            <w:hideMark/>
          </w:tcPr>
          <w:p w14:paraId="4B50CEEC"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Significant increase</w:t>
            </w:r>
          </w:p>
        </w:tc>
      </w:tr>
      <w:tr w:rsidR="000A487C" w:rsidRPr="00316D4F" w14:paraId="4B50CEF4" w14:textId="77777777" w:rsidTr="00CB033A">
        <w:tc>
          <w:tcPr>
            <w:tcW w:w="0" w:type="auto"/>
            <w:hideMark/>
          </w:tcPr>
          <w:p w14:paraId="4B50CEEE"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FRAIL score</w:t>
            </w:r>
          </w:p>
        </w:tc>
        <w:tc>
          <w:tcPr>
            <w:tcW w:w="0" w:type="auto"/>
            <w:hideMark/>
          </w:tcPr>
          <w:p w14:paraId="4B50CEEF"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2025 vs 2024</w:t>
            </w:r>
          </w:p>
        </w:tc>
        <w:tc>
          <w:tcPr>
            <w:tcW w:w="0" w:type="auto"/>
            <w:hideMark/>
          </w:tcPr>
          <w:p w14:paraId="4B50CEF0"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0.620</w:t>
            </w:r>
          </w:p>
        </w:tc>
        <w:tc>
          <w:tcPr>
            <w:tcW w:w="0" w:type="auto"/>
            <w:hideMark/>
          </w:tcPr>
          <w:p w14:paraId="4B50CEF1"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0.357 to 0.883</w:t>
            </w:r>
          </w:p>
        </w:tc>
        <w:tc>
          <w:tcPr>
            <w:tcW w:w="0" w:type="auto"/>
            <w:hideMark/>
          </w:tcPr>
          <w:p w14:paraId="4B50CEF2"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&lt;.001</w:t>
            </w:r>
          </w:p>
        </w:tc>
        <w:tc>
          <w:tcPr>
            <w:tcW w:w="0" w:type="auto"/>
            <w:hideMark/>
          </w:tcPr>
          <w:p w14:paraId="4B50CEF3"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Significant increase</w:t>
            </w:r>
          </w:p>
        </w:tc>
      </w:tr>
      <w:tr w:rsidR="000A487C" w:rsidRPr="00316D4F" w14:paraId="4B50CEFB" w14:textId="77777777" w:rsidTr="00CB033A">
        <w:tc>
          <w:tcPr>
            <w:tcW w:w="0" w:type="auto"/>
            <w:hideMark/>
          </w:tcPr>
          <w:p w14:paraId="4B50CEF5"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GDS-5 total score</w:t>
            </w:r>
          </w:p>
        </w:tc>
        <w:tc>
          <w:tcPr>
            <w:tcW w:w="0" w:type="auto"/>
            <w:hideMark/>
          </w:tcPr>
          <w:p w14:paraId="4B50CEF6"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2024 vs 2023</w:t>
            </w:r>
          </w:p>
        </w:tc>
        <w:tc>
          <w:tcPr>
            <w:tcW w:w="0" w:type="auto"/>
            <w:hideMark/>
          </w:tcPr>
          <w:p w14:paraId="4B50CEF7"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−0.021</w:t>
            </w:r>
          </w:p>
        </w:tc>
        <w:tc>
          <w:tcPr>
            <w:tcW w:w="0" w:type="auto"/>
            <w:hideMark/>
          </w:tcPr>
          <w:p w14:paraId="4B50CEF8"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−0.340 to 0.298</w:t>
            </w:r>
          </w:p>
        </w:tc>
        <w:tc>
          <w:tcPr>
            <w:tcW w:w="0" w:type="auto"/>
            <w:hideMark/>
          </w:tcPr>
          <w:p w14:paraId="4B50CEF9"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1.000</w:t>
            </w:r>
          </w:p>
        </w:tc>
        <w:tc>
          <w:tcPr>
            <w:tcW w:w="0" w:type="auto"/>
            <w:hideMark/>
          </w:tcPr>
          <w:p w14:paraId="4B50CEFA"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No significant change</w:t>
            </w:r>
          </w:p>
        </w:tc>
      </w:tr>
      <w:tr w:rsidR="000A487C" w:rsidRPr="00316D4F" w14:paraId="4B50CF02" w14:textId="77777777" w:rsidTr="00CB033A">
        <w:tc>
          <w:tcPr>
            <w:tcW w:w="0" w:type="auto"/>
            <w:hideMark/>
          </w:tcPr>
          <w:p w14:paraId="4B50CEFC"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GDS-5 total score</w:t>
            </w:r>
          </w:p>
        </w:tc>
        <w:tc>
          <w:tcPr>
            <w:tcW w:w="0" w:type="auto"/>
            <w:hideMark/>
          </w:tcPr>
          <w:p w14:paraId="4B50CEFD"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2025 vs 2023</w:t>
            </w:r>
          </w:p>
        </w:tc>
        <w:tc>
          <w:tcPr>
            <w:tcW w:w="0" w:type="auto"/>
            <w:hideMark/>
          </w:tcPr>
          <w:p w14:paraId="4B50CEFE"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0.006</w:t>
            </w:r>
          </w:p>
        </w:tc>
        <w:tc>
          <w:tcPr>
            <w:tcW w:w="0" w:type="auto"/>
            <w:hideMark/>
          </w:tcPr>
          <w:p w14:paraId="4B50CEFF"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−0.312 to 0.323</w:t>
            </w:r>
          </w:p>
        </w:tc>
        <w:tc>
          <w:tcPr>
            <w:tcW w:w="0" w:type="auto"/>
            <w:hideMark/>
          </w:tcPr>
          <w:p w14:paraId="4B50CF00"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1.000</w:t>
            </w:r>
          </w:p>
        </w:tc>
        <w:tc>
          <w:tcPr>
            <w:tcW w:w="0" w:type="auto"/>
            <w:hideMark/>
          </w:tcPr>
          <w:p w14:paraId="4B50CF01"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No significant change</w:t>
            </w:r>
          </w:p>
        </w:tc>
      </w:tr>
      <w:tr w:rsidR="000A487C" w:rsidRPr="00316D4F" w14:paraId="4B50CF09" w14:textId="77777777" w:rsidTr="00CB033A">
        <w:tc>
          <w:tcPr>
            <w:tcW w:w="0" w:type="auto"/>
            <w:hideMark/>
          </w:tcPr>
          <w:p w14:paraId="4B50CF03"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GDS-5 total score</w:t>
            </w:r>
          </w:p>
        </w:tc>
        <w:tc>
          <w:tcPr>
            <w:tcW w:w="0" w:type="auto"/>
            <w:hideMark/>
          </w:tcPr>
          <w:p w14:paraId="4B50CF04"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2025 vs 2024</w:t>
            </w:r>
          </w:p>
        </w:tc>
        <w:tc>
          <w:tcPr>
            <w:tcW w:w="0" w:type="auto"/>
            <w:hideMark/>
          </w:tcPr>
          <w:p w14:paraId="4B50CF05"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0.027</w:t>
            </w:r>
          </w:p>
        </w:tc>
        <w:tc>
          <w:tcPr>
            <w:tcW w:w="0" w:type="auto"/>
            <w:hideMark/>
          </w:tcPr>
          <w:p w14:paraId="4B50CF06"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−0.295 to 0.349</w:t>
            </w:r>
          </w:p>
        </w:tc>
        <w:tc>
          <w:tcPr>
            <w:tcW w:w="0" w:type="auto"/>
            <w:hideMark/>
          </w:tcPr>
          <w:p w14:paraId="4B50CF07"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1.000</w:t>
            </w:r>
          </w:p>
        </w:tc>
        <w:tc>
          <w:tcPr>
            <w:tcW w:w="0" w:type="auto"/>
            <w:hideMark/>
          </w:tcPr>
          <w:p w14:paraId="4B50CF08" w14:textId="77777777" w:rsidR="000A487C" w:rsidRPr="00316D4F" w:rsidRDefault="000A487C" w:rsidP="00316D4F">
            <w:pPr>
              <w:spacing w:before="60"/>
              <w:rPr>
                <w:rFonts w:ascii="Arial" w:hAnsi="Arial" w:cs="Arial"/>
                <w:sz w:val="20"/>
                <w:szCs w:val="20"/>
                <w:lang w:val="en-AU"/>
              </w:rPr>
            </w:pPr>
            <w:r w:rsidRPr="00316D4F">
              <w:rPr>
                <w:rFonts w:ascii="Arial" w:hAnsi="Arial" w:cs="Arial"/>
                <w:sz w:val="20"/>
                <w:szCs w:val="20"/>
                <w:lang w:val="en-AU"/>
              </w:rPr>
              <w:t>No significant change</w:t>
            </w:r>
          </w:p>
        </w:tc>
      </w:tr>
    </w:tbl>
    <w:p w14:paraId="4B50CF0C" w14:textId="080C98C3" w:rsidR="00C177DD" w:rsidRPr="000A487C" w:rsidRDefault="000A487C" w:rsidP="00217C70">
      <w:pPr>
        <w:rPr>
          <w:lang w:val="en-AU"/>
        </w:rPr>
      </w:pPr>
      <w:r w:rsidRPr="00CB033A">
        <w:rPr>
          <w:rFonts w:ascii="Arial" w:hAnsi="Arial" w:cs="Arial"/>
          <w:sz w:val="20"/>
          <w:szCs w:val="20"/>
        </w:rPr>
        <w:t xml:space="preserve">Note. </w:t>
      </w:r>
      <w:r w:rsidR="00217C70" w:rsidRPr="00217C70">
        <w:rPr>
          <w:rFonts w:ascii="Arial" w:hAnsi="Arial" w:cs="Arial"/>
          <w:sz w:val="20"/>
          <w:szCs w:val="20"/>
        </w:rPr>
        <w:t>Bonferroni-adjusted pairwise comparisons showed that HBA-FAQ and AD8 scores were significantly higher in both 2024 and 2025 compared with 2023, with no significant difference between 2024 and 2025. FRAIL scores did not differ significantly between 2023 and 2024 but were significantly higher in 2025 than in both earlier years. GDS-5 scores showed no significant pairwise differences across the three survey years.</w:t>
      </w:r>
    </w:p>
    <w:sectPr w:rsidR="00C177DD" w:rsidRPr="000A487C" w:rsidSect="00CB033A">
      <w:pgSz w:w="11906" w:h="16838"/>
      <w:pgMar w:top="1440" w:right="873" w:bottom="1440"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0CF0F" w14:textId="77777777" w:rsidR="002B50CF" w:rsidRDefault="002B50CF" w:rsidP="000A487C">
      <w:pPr>
        <w:spacing w:after="0" w:line="240" w:lineRule="auto"/>
      </w:pPr>
      <w:r>
        <w:separator/>
      </w:r>
    </w:p>
  </w:endnote>
  <w:endnote w:type="continuationSeparator" w:id="0">
    <w:p w14:paraId="4B50CF10" w14:textId="77777777" w:rsidR="002B50CF" w:rsidRDefault="002B50CF" w:rsidP="000A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CF0D" w14:textId="77777777" w:rsidR="002B50CF" w:rsidRDefault="002B50CF" w:rsidP="000A487C">
      <w:pPr>
        <w:spacing w:after="0" w:line="240" w:lineRule="auto"/>
      </w:pPr>
      <w:r>
        <w:separator/>
      </w:r>
    </w:p>
  </w:footnote>
  <w:footnote w:type="continuationSeparator" w:id="0">
    <w:p w14:paraId="4B50CF0E" w14:textId="77777777" w:rsidR="002B50CF" w:rsidRDefault="002B50CF" w:rsidP="000A48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020"/>
    <w:rsid w:val="000A487C"/>
    <w:rsid w:val="000C7020"/>
    <w:rsid w:val="000D63B6"/>
    <w:rsid w:val="001E1D36"/>
    <w:rsid w:val="00217C70"/>
    <w:rsid w:val="002B50CF"/>
    <w:rsid w:val="00316D4F"/>
    <w:rsid w:val="003A0788"/>
    <w:rsid w:val="004F6317"/>
    <w:rsid w:val="005F0D2B"/>
    <w:rsid w:val="00657F9B"/>
    <w:rsid w:val="007B65C1"/>
    <w:rsid w:val="00846C83"/>
    <w:rsid w:val="00A46647"/>
    <w:rsid w:val="00A678CB"/>
    <w:rsid w:val="00BA7DC6"/>
    <w:rsid w:val="00C177DD"/>
    <w:rsid w:val="00C21716"/>
    <w:rsid w:val="00CB033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0CEAD"/>
  <w15:chartTrackingRefBased/>
  <w15:docId w15:val="{324ADC2D-45E0-4037-B896-F596A622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87C"/>
    <w:pPr>
      <w:spacing w:before="0" w:after="200" w:line="276" w:lineRule="auto"/>
    </w:pPr>
    <w:rPr>
      <w:rFonts w:ascii="Times New Roman" w:eastAsia="Times New Roman" w:hAnsi="Times New Roman"/>
      <w:kern w:val="0"/>
      <w:sz w:val="22"/>
      <w:szCs w:val="22"/>
      <w:lang w:val="en-US" w:eastAsia="en-US"/>
      <w14:ligatures w14:val="none"/>
    </w:rPr>
  </w:style>
  <w:style w:type="paragraph" w:styleId="Heading1">
    <w:name w:val="heading 1"/>
    <w:basedOn w:val="Normal"/>
    <w:next w:val="Normal"/>
    <w:link w:val="Heading1Char"/>
    <w:uiPriority w:val="9"/>
    <w:qFormat/>
    <w:rsid w:val="000C7020"/>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AU" w:eastAsia="zh-CN"/>
      <w14:ligatures w14:val="standardContextual"/>
    </w:rPr>
  </w:style>
  <w:style w:type="paragraph" w:styleId="Heading2">
    <w:name w:val="heading 2"/>
    <w:basedOn w:val="Normal"/>
    <w:next w:val="Normal"/>
    <w:link w:val="Heading2Char"/>
    <w:uiPriority w:val="9"/>
    <w:semiHidden/>
    <w:unhideWhenUsed/>
    <w:qFormat/>
    <w:rsid w:val="000C7020"/>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AU" w:eastAsia="zh-CN"/>
      <w14:ligatures w14:val="standardContextual"/>
    </w:rPr>
  </w:style>
  <w:style w:type="paragraph" w:styleId="Heading3">
    <w:name w:val="heading 3"/>
    <w:basedOn w:val="Normal"/>
    <w:next w:val="Normal"/>
    <w:link w:val="Heading3Char"/>
    <w:uiPriority w:val="9"/>
    <w:semiHidden/>
    <w:unhideWhenUsed/>
    <w:qFormat/>
    <w:rsid w:val="000C7020"/>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AU" w:eastAsia="zh-CN"/>
      <w14:ligatures w14:val="standardContextual"/>
    </w:rPr>
  </w:style>
  <w:style w:type="paragraph" w:styleId="Heading4">
    <w:name w:val="heading 4"/>
    <w:basedOn w:val="Normal"/>
    <w:next w:val="Normal"/>
    <w:link w:val="Heading4Char"/>
    <w:uiPriority w:val="9"/>
    <w:semiHidden/>
    <w:unhideWhenUsed/>
    <w:qFormat/>
    <w:rsid w:val="000C7020"/>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en-AU" w:eastAsia="zh-CN"/>
      <w14:ligatures w14:val="standardContextual"/>
    </w:rPr>
  </w:style>
  <w:style w:type="paragraph" w:styleId="Heading5">
    <w:name w:val="heading 5"/>
    <w:basedOn w:val="Normal"/>
    <w:next w:val="Normal"/>
    <w:link w:val="Heading5Char"/>
    <w:uiPriority w:val="9"/>
    <w:semiHidden/>
    <w:unhideWhenUsed/>
    <w:qFormat/>
    <w:rsid w:val="000C7020"/>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en-AU" w:eastAsia="zh-CN"/>
      <w14:ligatures w14:val="standardContextual"/>
    </w:rPr>
  </w:style>
  <w:style w:type="paragraph" w:styleId="Heading6">
    <w:name w:val="heading 6"/>
    <w:basedOn w:val="Normal"/>
    <w:next w:val="Normal"/>
    <w:link w:val="Heading6Char"/>
    <w:uiPriority w:val="9"/>
    <w:semiHidden/>
    <w:unhideWhenUsed/>
    <w:qFormat/>
    <w:rsid w:val="000C7020"/>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4"/>
      <w:lang w:val="en-AU" w:eastAsia="zh-CN"/>
      <w14:ligatures w14:val="standardContextual"/>
    </w:rPr>
  </w:style>
  <w:style w:type="paragraph" w:styleId="Heading7">
    <w:name w:val="heading 7"/>
    <w:basedOn w:val="Normal"/>
    <w:next w:val="Normal"/>
    <w:link w:val="Heading7Char"/>
    <w:uiPriority w:val="9"/>
    <w:semiHidden/>
    <w:unhideWhenUsed/>
    <w:qFormat/>
    <w:rsid w:val="000C7020"/>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4"/>
      <w:lang w:val="en-AU" w:eastAsia="zh-CN"/>
      <w14:ligatures w14:val="standardContextual"/>
    </w:rPr>
  </w:style>
  <w:style w:type="paragraph" w:styleId="Heading8">
    <w:name w:val="heading 8"/>
    <w:basedOn w:val="Normal"/>
    <w:next w:val="Normal"/>
    <w:link w:val="Heading8Char"/>
    <w:uiPriority w:val="9"/>
    <w:semiHidden/>
    <w:unhideWhenUsed/>
    <w:qFormat/>
    <w:rsid w:val="000C7020"/>
    <w:pPr>
      <w:keepNext/>
      <w:keepLines/>
      <w:spacing w:after="0" w:line="240" w:lineRule="auto"/>
      <w:outlineLvl w:val="7"/>
    </w:pPr>
    <w:rPr>
      <w:rFonts w:asciiTheme="minorHAnsi" w:eastAsiaTheme="majorEastAsia" w:hAnsiTheme="minorHAnsi" w:cstheme="majorBidi"/>
      <w:i/>
      <w:iCs/>
      <w:color w:val="272727" w:themeColor="text1" w:themeTint="D8"/>
      <w:kern w:val="2"/>
      <w:sz w:val="24"/>
      <w:szCs w:val="24"/>
      <w:lang w:val="en-AU" w:eastAsia="zh-CN"/>
      <w14:ligatures w14:val="standardContextual"/>
    </w:rPr>
  </w:style>
  <w:style w:type="paragraph" w:styleId="Heading9">
    <w:name w:val="heading 9"/>
    <w:basedOn w:val="Normal"/>
    <w:next w:val="Normal"/>
    <w:link w:val="Heading9Char"/>
    <w:uiPriority w:val="9"/>
    <w:semiHidden/>
    <w:unhideWhenUsed/>
    <w:qFormat/>
    <w:rsid w:val="000C7020"/>
    <w:pPr>
      <w:keepNext/>
      <w:keepLines/>
      <w:spacing w:after="0" w:line="240" w:lineRule="auto"/>
      <w:outlineLvl w:val="8"/>
    </w:pPr>
    <w:rPr>
      <w:rFonts w:asciiTheme="minorHAnsi" w:eastAsiaTheme="majorEastAsia" w:hAnsiTheme="minorHAnsi" w:cstheme="majorBidi"/>
      <w:color w:val="272727" w:themeColor="text1" w:themeTint="D8"/>
      <w:kern w:val="2"/>
      <w:sz w:val="24"/>
      <w:szCs w:val="24"/>
      <w:lang w:val="en-AU"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0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70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0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0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0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0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0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0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020"/>
    <w:rPr>
      <w:rFonts w:eastAsiaTheme="majorEastAsia" w:cstheme="majorBidi"/>
      <w:color w:val="272727" w:themeColor="text1" w:themeTint="D8"/>
    </w:rPr>
  </w:style>
  <w:style w:type="paragraph" w:styleId="Title">
    <w:name w:val="Title"/>
    <w:basedOn w:val="Normal"/>
    <w:next w:val="Normal"/>
    <w:link w:val="TitleChar"/>
    <w:uiPriority w:val="10"/>
    <w:qFormat/>
    <w:rsid w:val="000C7020"/>
    <w:pPr>
      <w:spacing w:after="80" w:line="240" w:lineRule="auto"/>
      <w:contextualSpacing/>
    </w:pPr>
    <w:rPr>
      <w:rFonts w:asciiTheme="majorHAnsi" w:eastAsiaTheme="majorEastAsia" w:hAnsiTheme="majorHAnsi" w:cstheme="majorBidi"/>
      <w:spacing w:val="-10"/>
      <w:kern w:val="28"/>
      <w:sz w:val="56"/>
      <w:szCs w:val="56"/>
      <w:lang w:val="en-AU" w:eastAsia="zh-CN"/>
      <w14:ligatures w14:val="standardContextual"/>
    </w:rPr>
  </w:style>
  <w:style w:type="character" w:customStyle="1" w:styleId="TitleChar">
    <w:name w:val="Title Char"/>
    <w:basedOn w:val="DefaultParagraphFont"/>
    <w:link w:val="Title"/>
    <w:uiPriority w:val="10"/>
    <w:rsid w:val="000C70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020"/>
    <w:pPr>
      <w:numPr>
        <w:ilvl w:val="1"/>
      </w:numPr>
      <w:spacing w:before="240" w:after="160" w:line="240" w:lineRule="auto"/>
    </w:pPr>
    <w:rPr>
      <w:rFonts w:asciiTheme="minorHAnsi" w:eastAsiaTheme="majorEastAsia" w:hAnsiTheme="minorHAnsi" w:cstheme="majorBidi"/>
      <w:color w:val="595959" w:themeColor="text1" w:themeTint="A6"/>
      <w:spacing w:val="15"/>
      <w:kern w:val="2"/>
      <w:sz w:val="28"/>
      <w:szCs w:val="28"/>
      <w:lang w:val="en-AU" w:eastAsia="zh-CN"/>
      <w14:ligatures w14:val="standardContextual"/>
    </w:rPr>
  </w:style>
  <w:style w:type="character" w:customStyle="1" w:styleId="SubtitleChar">
    <w:name w:val="Subtitle Char"/>
    <w:basedOn w:val="DefaultParagraphFont"/>
    <w:link w:val="Subtitle"/>
    <w:uiPriority w:val="11"/>
    <w:rsid w:val="000C70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020"/>
    <w:pPr>
      <w:spacing w:before="160" w:after="160" w:line="240" w:lineRule="auto"/>
      <w:jc w:val="center"/>
    </w:pPr>
    <w:rPr>
      <w:rFonts w:asciiTheme="minorHAnsi" w:eastAsiaTheme="minorEastAsia" w:hAnsiTheme="minorHAnsi"/>
      <w:i/>
      <w:iCs/>
      <w:color w:val="404040" w:themeColor="text1" w:themeTint="BF"/>
      <w:kern w:val="2"/>
      <w:sz w:val="24"/>
      <w:szCs w:val="24"/>
      <w:lang w:val="en-AU" w:eastAsia="zh-CN"/>
      <w14:ligatures w14:val="standardContextual"/>
    </w:rPr>
  </w:style>
  <w:style w:type="character" w:customStyle="1" w:styleId="QuoteChar">
    <w:name w:val="Quote Char"/>
    <w:basedOn w:val="DefaultParagraphFont"/>
    <w:link w:val="Quote"/>
    <w:uiPriority w:val="29"/>
    <w:rsid w:val="000C7020"/>
    <w:rPr>
      <w:i/>
      <w:iCs/>
      <w:color w:val="404040" w:themeColor="text1" w:themeTint="BF"/>
    </w:rPr>
  </w:style>
  <w:style w:type="paragraph" w:styleId="ListParagraph">
    <w:name w:val="List Paragraph"/>
    <w:basedOn w:val="Normal"/>
    <w:uiPriority w:val="34"/>
    <w:qFormat/>
    <w:rsid w:val="000C7020"/>
    <w:pPr>
      <w:spacing w:before="240" w:after="0" w:line="240" w:lineRule="auto"/>
      <w:ind w:left="720"/>
      <w:contextualSpacing/>
    </w:pPr>
    <w:rPr>
      <w:rFonts w:asciiTheme="minorHAnsi" w:eastAsiaTheme="minorEastAsia" w:hAnsiTheme="minorHAnsi"/>
      <w:kern w:val="2"/>
      <w:sz w:val="24"/>
      <w:szCs w:val="24"/>
      <w:lang w:val="en-AU" w:eastAsia="zh-CN"/>
      <w14:ligatures w14:val="standardContextual"/>
    </w:rPr>
  </w:style>
  <w:style w:type="character" w:styleId="IntenseEmphasis">
    <w:name w:val="Intense Emphasis"/>
    <w:basedOn w:val="DefaultParagraphFont"/>
    <w:uiPriority w:val="21"/>
    <w:qFormat/>
    <w:rsid w:val="000C7020"/>
    <w:rPr>
      <w:i/>
      <w:iCs/>
      <w:color w:val="0F4761" w:themeColor="accent1" w:themeShade="BF"/>
    </w:rPr>
  </w:style>
  <w:style w:type="paragraph" w:styleId="IntenseQuote">
    <w:name w:val="Intense Quote"/>
    <w:basedOn w:val="Normal"/>
    <w:next w:val="Normal"/>
    <w:link w:val="IntenseQuoteChar"/>
    <w:uiPriority w:val="30"/>
    <w:qFormat/>
    <w:rsid w:val="000C7020"/>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i/>
      <w:iCs/>
      <w:color w:val="0F4761" w:themeColor="accent1" w:themeShade="BF"/>
      <w:kern w:val="2"/>
      <w:sz w:val="24"/>
      <w:szCs w:val="24"/>
      <w:lang w:val="en-AU" w:eastAsia="zh-CN"/>
      <w14:ligatures w14:val="standardContextual"/>
    </w:rPr>
  </w:style>
  <w:style w:type="character" w:customStyle="1" w:styleId="IntenseQuoteChar">
    <w:name w:val="Intense Quote Char"/>
    <w:basedOn w:val="DefaultParagraphFont"/>
    <w:link w:val="IntenseQuote"/>
    <w:uiPriority w:val="30"/>
    <w:rsid w:val="000C7020"/>
    <w:rPr>
      <w:i/>
      <w:iCs/>
      <w:color w:val="0F4761" w:themeColor="accent1" w:themeShade="BF"/>
    </w:rPr>
  </w:style>
  <w:style w:type="character" w:styleId="IntenseReference">
    <w:name w:val="Intense Reference"/>
    <w:basedOn w:val="DefaultParagraphFont"/>
    <w:uiPriority w:val="32"/>
    <w:qFormat/>
    <w:rsid w:val="000C7020"/>
    <w:rPr>
      <w:b/>
      <w:bCs/>
      <w:smallCaps/>
      <w:color w:val="0F4761" w:themeColor="accent1" w:themeShade="BF"/>
      <w:spacing w:val="5"/>
    </w:rPr>
  </w:style>
  <w:style w:type="paragraph" w:styleId="Header">
    <w:name w:val="header"/>
    <w:basedOn w:val="Normal"/>
    <w:link w:val="HeaderChar"/>
    <w:uiPriority w:val="99"/>
    <w:unhideWhenUsed/>
    <w:rsid w:val="000A487C"/>
    <w:pPr>
      <w:tabs>
        <w:tab w:val="center" w:pos="4513"/>
        <w:tab w:val="right" w:pos="9026"/>
      </w:tabs>
      <w:spacing w:after="0" w:line="240" w:lineRule="auto"/>
    </w:pPr>
    <w:rPr>
      <w:rFonts w:asciiTheme="minorHAnsi" w:eastAsiaTheme="minorEastAsia" w:hAnsiTheme="minorHAnsi"/>
      <w:kern w:val="2"/>
      <w:sz w:val="24"/>
      <w:szCs w:val="24"/>
      <w:lang w:val="en-AU" w:eastAsia="zh-CN"/>
      <w14:ligatures w14:val="standardContextual"/>
    </w:rPr>
  </w:style>
  <w:style w:type="character" w:customStyle="1" w:styleId="HeaderChar">
    <w:name w:val="Header Char"/>
    <w:basedOn w:val="DefaultParagraphFont"/>
    <w:link w:val="Header"/>
    <w:uiPriority w:val="99"/>
    <w:rsid w:val="000A487C"/>
  </w:style>
  <w:style w:type="paragraph" w:styleId="Footer">
    <w:name w:val="footer"/>
    <w:basedOn w:val="Normal"/>
    <w:link w:val="FooterChar"/>
    <w:uiPriority w:val="99"/>
    <w:unhideWhenUsed/>
    <w:rsid w:val="000A487C"/>
    <w:pPr>
      <w:tabs>
        <w:tab w:val="center" w:pos="4513"/>
        <w:tab w:val="right" w:pos="9026"/>
      </w:tabs>
      <w:spacing w:after="0" w:line="240" w:lineRule="auto"/>
    </w:pPr>
    <w:rPr>
      <w:rFonts w:asciiTheme="minorHAnsi" w:eastAsiaTheme="minorEastAsia" w:hAnsiTheme="minorHAnsi"/>
      <w:kern w:val="2"/>
      <w:sz w:val="24"/>
      <w:szCs w:val="24"/>
      <w:lang w:val="en-AU" w:eastAsia="zh-CN"/>
      <w14:ligatures w14:val="standardContextual"/>
    </w:rPr>
  </w:style>
  <w:style w:type="character" w:customStyle="1" w:styleId="FooterChar">
    <w:name w:val="Footer Char"/>
    <w:basedOn w:val="DefaultParagraphFont"/>
    <w:link w:val="Footer"/>
    <w:uiPriority w:val="99"/>
    <w:rsid w:val="000A487C"/>
  </w:style>
  <w:style w:type="table" w:styleId="TableGrid">
    <w:name w:val="Table Grid"/>
    <w:basedOn w:val="TableNormal"/>
    <w:uiPriority w:val="59"/>
    <w:rsid w:val="000A487C"/>
    <w:pPr>
      <w:spacing w:before="0" w:after="0"/>
    </w:pPr>
    <w:rPr>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dc:creator>
  <cp:keywords/>
  <dc:description/>
  <cp:lastModifiedBy>Wenpeng</cp:lastModifiedBy>
  <cp:revision>9</cp:revision>
  <dcterms:created xsi:type="dcterms:W3CDTF">2026-06-23T02:04:00Z</dcterms:created>
  <dcterms:modified xsi:type="dcterms:W3CDTF">2026-06-27T03:07:00Z</dcterms:modified>
</cp:coreProperties>
</file>