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D4256" w14:textId="77777777" w:rsidR="004A0142" w:rsidRPr="008441CD" w:rsidRDefault="004A0142" w:rsidP="004A0142">
      <w:pPr>
        <w:spacing w:line="480" w:lineRule="auto"/>
        <w:rPr>
          <w:rFonts w:ascii="Arial" w:hAnsi="Arial" w:cs="Arial"/>
          <w:b/>
          <w:bCs/>
        </w:rPr>
      </w:pPr>
      <w:r w:rsidRPr="008441CD">
        <w:rPr>
          <w:rFonts w:ascii="Arial" w:hAnsi="Arial" w:cs="Arial"/>
          <w:b/>
          <w:bCs/>
        </w:rPr>
        <w:t>Maternal Antibody Interference and Hybrid Immune Responses to COVID-19 Vaccination in Young Children</w:t>
      </w:r>
    </w:p>
    <w:p w14:paraId="5686A420" w14:textId="77777777" w:rsidR="004A0142" w:rsidRPr="008441CD" w:rsidRDefault="004A0142" w:rsidP="004A0142">
      <w:pPr>
        <w:spacing w:line="480" w:lineRule="auto"/>
        <w:rPr>
          <w:rFonts w:ascii="Arial" w:hAnsi="Arial" w:cs="Arial"/>
        </w:rPr>
      </w:pPr>
      <w:r w:rsidRPr="008441CD">
        <w:rPr>
          <w:rFonts w:ascii="Arial" w:hAnsi="Arial" w:cs="Arial"/>
        </w:rPr>
        <w:t xml:space="preserve">Authors: </w:t>
      </w:r>
    </w:p>
    <w:p w14:paraId="06533306" w14:textId="77777777" w:rsidR="004A0142" w:rsidRPr="008441CD" w:rsidRDefault="004A0142" w:rsidP="004A0142">
      <w:pPr>
        <w:spacing w:line="480" w:lineRule="auto"/>
        <w:rPr>
          <w:rFonts w:ascii="Arial" w:hAnsi="Arial" w:cs="Arial"/>
        </w:rPr>
      </w:pPr>
      <w:r w:rsidRPr="008441CD">
        <w:rPr>
          <w:rFonts w:ascii="Arial" w:hAnsi="Arial" w:cs="Arial"/>
          <w:color w:val="000000"/>
        </w:rPr>
        <w:t>Srividhya Swaminathan, PhD</w:t>
      </w:r>
      <w:r w:rsidRPr="008441CD">
        <w:rPr>
          <w:rFonts w:ascii="Arial" w:hAnsi="Arial" w:cs="Arial"/>
          <w:color w:val="000000"/>
          <w:vertAlign w:val="superscript"/>
        </w:rPr>
        <w:t>1</w:t>
      </w:r>
      <w:r w:rsidRPr="008441CD">
        <w:rPr>
          <w:rFonts w:ascii="Arial" w:hAnsi="Arial" w:cs="Arial"/>
          <w:color w:val="000000"/>
        </w:rPr>
        <w:t>; Nadia Bourdoud, MPH</w:t>
      </w:r>
      <w:r w:rsidRPr="008441CD">
        <w:rPr>
          <w:rFonts w:ascii="Arial" w:hAnsi="Arial" w:cs="Arial"/>
          <w:color w:val="000000"/>
          <w:vertAlign w:val="superscript"/>
        </w:rPr>
        <w:t xml:space="preserve"> 1</w:t>
      </w:r>
      <w:r w:rsidRPr="008441CD">
        <w:rPr>
          <w:rFonts w:ascii="Arial" w:hAnsi="Arial" w:cs="Arial"/>
          <w:color w:val="000000"/>
        </w:rPr>
        <w:t>; Danny Hoi Tsun Chu, MS</w:t>
      </w:r>
      <w:r w:rsidRPr="008441CD">
        <w:rPr>
          <w:rFonts w:ascii="Arial" w:hAnsi="Arial" w:cs="Arial"/>
          <w:color w:val="000000"/>
          <w:vertAlign w:val="superscript"/>
        </w:rPr>
        <w:t>2</w:t>
      </w:r>
      <w:r w:rsidRPr="008441CD">
        <w:rPr>
          <w:rFonts w:ascii="Arial" w:hAnsi="Arial" w:cs="Arial"/>
          <w:color w:val="000000"/>
        </w:rPr>
        <w:t>; Suchaya Osatis, MS</w:t>
      </w:r>
      <w:r w:rsidRPr="008441CD">
        <w:rPr>
          <w:rFonts w:ascii="Arial" w:hAnsi="Arial" w:cs="Arial"/>
          <w:color w:val="000000"/>
          <w:vertAlign w:val="superscript"/>
        </w:rPr>
        <w:t>1,4</w:t>
      </w:r>
      <w:r w:rsidRPr="008441CD">
        <w:rPr>
          <w:rFonts w:ascii="Arial" w:hAnsi="Arial" w:cs="Arial"/>
          <w:color w:val="000000"/>
        </w:rPr>
        <w:t>; Karissa Choi, BS</w:t>
      </w:r>
      <w:r w:rsidRPr="008441CD">
        <w:rPr>
          <w:rFonts w:ascii="Arial" w:hAnsi="Arial" w:cs="Arial"/>
          <w:color w:val="000000"/>
          <w:vertAlign w:val="superscript"/>
        </w:rPr>
        <w:t>1</w:t>
      </w:r>
      <w:r w:rsidRPr="008441CD">
        <w:rPr>
          <w:rFonts w:ascii="Arial" w:hAnsi="Arial" w:cs="Arial"/>
          <w:color w:val="000000"/>
        </w:rPr>
        <w:t>; Caryl L. Gay, PhD</w:t>
      </w:r>
      <w:r w:rsidRPr="008441CD">
        <w:rPr>
          <w:rFonts w:ascii="Arial" w:hAnsi="Arial" w:cs="Arial"/>
          <w:color w:val="000000"/>
          <w:vertAlign w:val="superscript"/>
        </w:rPr>
        <w:t>3</w:t>
      </w:r>
      <w:r w:rsidRPr="008441CD">
        <w:rPr>
          <w:rFonts w:ascii="Arial" w:hAnsi="Arial" w:cs="Arial"/>
          <w:color w:val="000000"/>
        </w:rPr>
        <w:t>; Lakshmi Warrier, BS</w:t>
      </w:r>
      <w:r w:rsidRPr="008441CD">
        <w:rPr>
          <w:rFonts w:ascii="Arial" w:hAnsi="Arial" w:cs="Arial"/>
          <w:color w:val="000000"/>
          <w:vertAlign w:val="superscript"/>
        </w:rPr>
        <w:t>4</w:t>
      </w:r>
      <w:r w:rsidRPr="008441CD">
        <w:rPr>
          <w:rFonts w:ascii="Arial" w:hAnsi="Arial" w:cs="Arial"/>
          <w:color w:val="000000"/>
        </w:rPr>
        <w:t>; Lin Li, MD, PhD</w:t>
      </w:r>
      <w:r w:rsidRPr="008441CD">
        <w:rPr>
          <w:rFonts w:ascii="Arial" w:hAnsi="Arial" w:cs="Arial"/>
          <w:color w:val="000000"/>
          <w:vertAlign w:val="superscript"/>
        </w:rPr>
        <w:t>5,6</w:t>
      </w:r>
      <w:r w:rsidRPr="008441CD">
        <w:rPr>
          <w:rFonts w:ascii="Arial" w:hAnsi="Arial" w:cs="Arial"/>
          <w:color w:val="000000"/>
        </w:rPr>
        <w:t>; Corina Mong, BS</w:t>
      </w:r>
      <w:r w:rsidRPr="008441CD">
        <w:rPr>
          <w:rFonts w:ascii="Arial" w:hAnsi="Arial" w:cs="Arial"/>
          <w:color w:val="000000"/>
          <w:vertAlign w:val="superscript"/>
        </w:rPr>
        <w:t>1,5</w:t>
      </w:r>
      <w:r w:rsidRPr="008441CD">
        <w:rPr>
          <w:rFonts w:ascii="Arial" w:hAnsi="Arial" w:cs="Arial"/>
          <w:color w:val="000000"/>
        </w:rPr>
        <w:t>; Megan A. Chidboy, BS</w:t>
      </w:r>
      <w:r w:rsidRPr="008441CD">
        <w:rPr>
          <w:rFonts w:ascii="Arial" w:hAnsi="Arial" w:cs="Arial"/>
          <w:color w:val="000000"/>
          <w:vertAlign w:val="superscript"/>
        </w:rPr>
        <w:t>5</w:t>
      </w:r>
      <w:r w:rsidRPr="008441CD">
        <w:rPr>
          <w:rFonts w:ascii="Arial" w:hAnsi="Arial" w:cs="Arial"/>
          <w:color w:val="000000"/>
        </w:rPr>
        <w:t>; Christine Lin, BS</w:t>
      </w:r>
      <w:r w:rsidRPr="008441CD">
        <w:rPr>
          <w:rFonts w:ascii="Arial" w:hAnsi="Arial" w:cs="Arial"/>
          <w:color w:val="000000"/>
          <w:vertAlign w:val="superscript"/>
        </w:rPr>
        <w:t>5</w:t>
      </w:r>
      <w:r w:rsidRPr="008441CD">
        <w:rPr>
          <w:rFonts w:ascii="Arial" w:hAnsi="Arial" w:cs="Arial"/>
          <w:color w:val="000000"/>
        </w:rPr>
        <w:t>; Amayrani Morales, BS</w:t>
      </w:r>
      <w:r w:rsidRPr="008441CD">
        <w:rPr>
          <w:rFonts w:ascii="Arial" w:hAnsi="Arial" w:cs="Arial"/>
          <w:color w:val="000000"/>
          <w:vertAlign w:val="superscript"/>
        </w:rPr>
        <w:t>5</w:t>
      </w:r>
      <w:r w:rsidRPr="008441CD">
        <w:rPr>
          <w:rFonts w:ascii="Arial" w:hAnsi="Arial" w:cs="Arial"/>
          <w:color w:val="000000"/>
        </w:rPr>
        <w:t>; Christine Blauvelt, MD</w:t>
      </w:r>
      <w:r w:rsidRPr="008441CD">
        <w:rPr>
          <w:rFonts w:ascii="Arial" w:hAnsi="Arial" w:cs="Arial"/>
          <w:color w:val="000000"/>
          <w:vertAlign w:val="superscript"/>
        </w:rPr>
        <w:t>5</w:t>
      </w:r>
      <w:r w:rsidRPr="008441CD">
        <w:rPr>
          <w:rFonts w:ascii="Arial" w:hAnsi="Arial" w:cs="Arial"/>
          <w:color w:val="000000"/>
        </w:rPr>
        <w:t>; Gillian Q. Rush, BA</w:t>
      </w:r>
      <w:r w:rsidRPr="008441CD">
        <w:rPr>
          <w:rFonts w:ascii="Arial" w:hAnsi="Arial" w:cs="Arial"/>
          <w:color w:val="000000"/>
          <w:vertAlign w:val="superscript"/>
        </w:rPr>
        <w:t>1</w:t>
      </w:r>
      <w:r w:rsidRPr="008441CD">
        <w:rPr>
          <w:rFonts w:ascii="Arial" w:hAnsi="Arial" w:cs="Arial"/>
          <w:color w:val="000000"/>
        </w:rPr>
        <w:t>; Sirirak Buarpung, DVM, PhD</w:t>
      </w:r>
      <w:r w:rsidRPr="008441CD">
        <w:rPr>
          <w:rFonts w:ascii="Arial" w:hAnsi="Arial" w:cs="Arial"/>
          <w:color w:val="000000"/>
          <w:vertAlign w:val="superscript"/>
        </w:rPr>
        <w:t>5,6</w:t>
      </w:r>
      <w:r w:rsidRPr="008441CD">
        <w:rPr>
          <w:rFonts w:ascii="Arial" w:hAnsi="Arial" w:cs="Arial"/>
          <w:color w:val="000000"/>
        </w:rPr>
        <w:t>; Nida Ozarslan, MD</w:t>
      </w:r>
      <w:r w:rsidRPr="008441CD">
        <w:rPr>
          <w:rFonts w:ascii="Arial" w:hAnsi="Arial" w:cs="Arial"/>
          <w:color w:val="000000"/>
          <w:vertAlign w:val="superscript"/>
        </w:rPr>
        <w:t>5,6</w:t>
      </w:r>
      <w:r w:rsidRPr="008441CD">
        <w:rPr>
          <w:rFonts w:ascii="Arial" w:hAnsi="Arial" w:cs="Arial"/>
          <w:color w:val="000000"/>
        </w:rPr>
        <w:t>; Amelia N. Deitchman, PharmD, PhD</w:t>
      </w:r>
      <w:r w:rsidRPr="008441CD">
        <w:rPr>
          <w:rFonts w:ascii="Arial" w:hAnsi="Arial" w:cs="Arial"/>
          <w:color w:val="000000"/>
          <w:vertAlign w:val="superscript"/>
        </w:rPr>
        <w:t>2</w:t>
      </w:r>
      <w:r w:rsidRPr="008441CD">
        <w:rPr>
          <w:rFonts w:ascii="Arial" w:hAnsi="Arial" w:cs="Arial"/>
          <w:color w:val="000000"/>
        </w:rPr>
        <w:t>; Stephanie L. Gaw, MD, PhD</w:t>
      </w:r>
      <w:r w:rsidRPr="008441CD">
        <w:rPr>
          <w:rFonts w:ascii="Arial" w:hAnsi="Arial" w:cs="Arial"/>
          <w:color w:val="000000"/>
          <w:vertAlign w:val="superscript"/>
        </w:rPr>
        <w:t>5,6</w:t>
      </w:r>
      <w:r w:rsidRPr="008441CD">
        <w:rPr>
          <w:rFonts w:ascii="Arial" w:hAnsi="Arial" w:cs="Arial"/>
          <w:color w:val="000000"/>
        </w:rPr>
        <w:t>; *Mary K. Prahl, MD</w:t>
      </w:r>
      <w:r w:rsidRPr="008441CD">
        <w:rPr>
          <w:rFonts w:ascii="Arial" w:hAnsi="Arial" w:cs="Arial"/>
          <w:color w:val="000000"/>
          <w:vertAlign w:val="superscript"/>
        </w:rPr>
        <w:t>1</w:t>
      </w:r>
    </w:p>
    <w:p w14:paraId="40D92706" w14:textId="77777777" w:rsidR="004A0142" w:rsidRPr="008441CD" w:rsidRDefault="004A0142" w:rsidP="004A0142">
      <w:pPr>
        <w:spacing w:after="0" w:line="480" w:lineRule="auto"/>
        <w:rPr>
          <w:rFonts w:ascii="Arial" w:hAnsi="Arial" w:cs="Arial"/>
        </w:rPr>
      </w:pPr>
      <w:r w:rsidRPr="008441CD">
        <w:rPr>
          <w:rFonts w:ascii="Arial" w:hAnsi="Arial" w:cs="Arial"/>
        </w:rPr>
        <w:t>Affiliations:</w:t>
      </w:r>
    </w:p>
    <w:p w14:paraId="65BAF3B5" w14:textId="77777777" w:rsidR="004A0142" w:rsidRPr="008441CD" w:rsidRDefault="004A0142" w:rsidP="004A0142">
      <w:pPr>
        <w:pStyle w:val="ListParagraph"/>
        <w:numPr>
          <w:ilvl w:val="0"/>
          <w:numId w:val="1"/>
        </w:numPr>
        <w:spacing w:after="0" w:line="480" w:lineRule="auto"/>
        <w:ind w:left="360"/>
        <w:rPr>
          <w:rFonts w:ascii="Arial" w:hAnsi="Arial" w:cs="Arial"/>
          <w:color w:val="000000" w:themeColor="text1"/>
        </w:rPr>
      </w:pPr>
      <w:r w:rsidRPr="008441CD">
        <w:rPr>
          <w:rFonts w:ascii="Arial" w:hAnsi="Arial" w:cs="Arial"/>
          <w:color w:val="000000" w:themeColor="text1"/>
          <w:shd w:val="clear" w:color="auto" w:fill="FFFFFF"/>
        </w:rPr>
        <w:t>Department of Pediatrics, Division of Pediatric Infectious Disease and Global Health, University of California, San Francisco, CA, United States</w:t>
      </w:r>
    </w:p>
    <w:p w14:paraId="5024617C" w14:textId="77777777" w:rsidR="004A0142" w:rsidRPr="008441CD" w:rsidRDefault="004A0142" w:rsidP="004A0142">
      <w:pPr>
        <w:numPr>
          <w:ilvl w:val="0"/>
          <w:numId w:val="1"/>
        </w:numPr>
        <w:shd w:val="clear" w:color="auto" w:fill="FFFFFF"/>
        <w:spacing w:before="100" w:beforeAutospacing="1" w:after="0" w:line="480" w:lineRule="auto"/>
        <w:ind w:left="360"/>
        <w:rPr>
          <w:rFonts w:ascii="Arial" w:hAnsi="Arial" w:cs="Arial"/>
          <w:color w:val="000000" w:themeColor="text1"/>
        </w:rPr>
      </w:pPr>
      <w:r w:rsidRPr="008441CD">
        <w:rPr>
          <w:rFonts w:ascii="Arial" w:hAnsi="Arial" w:cs="Arial"/>
          <w:color w:val="000000" w:themeColor="text1"/>
        </w:rPr>
        <w:t xml:space="preserve">Department of Clinical Pharmacy, University of California, San Francisco, CA, </w:t>
      </w:r>
      <w:r w:rsidRPr="008441CD">
        <w:rPr>
          <w:rFonts w:ascii="Arial" w:hAnsi="Arial" w:cs="Arial"/>
          <w:color w:val="000000" w:themeColor="text1"/>
          <w:shd w:val="clear" w:color="auto" w:fill="FFFFFF"/>
        </w:rPr>
        <w:t>United States</w:t>
      </w:r>
    </w:p>
    <w:p w14:paraId="1EBCC01E" w14:textId="77777777" w:rsidR="004A0142" w:rsidRPr="008441CD" w:rsidRDefault="004A0142" w:rsidP="004A0142">
      <w:pPr>
        <w:pStyle w:val="ListParagraph"/>
        <w:numPr>
          <w:ilvl w:val="0"/>
          <w:numId w:val="1"/>
        </w:numPr>
        <w:spacing w:after="0" w:line="480" w:lineRule="auto"/>
        <w:ind w:left="360"/>
        <w:rPr>
          <w:rFonts w:ascii="Arial" w:hAnsi="Arial" w:cs="Arial"/>
          <w:color w:val="000000" w:themeColor="text1"/>
        </w:rPr>
      </w:pPr>
      <w:r w:rsidRPr="008441CD">
        <w:rPr>
          <w:rFonts w:ascii="Arial" w:hAnsi="Arial" w:cs="Arial"/>
          <w:color w:val="000000" w:themeColor="text1"/>
        </w:rPr>
        <w:t xml:space="preserve">Department of Family Health Care Nursing, University of California, San Francisco, San Francisco, CA, </w:t>
      </w:r>
      <w:r w:rsidRPr="008441CD">
        <w:rPr>
          <w:rFonts w:ascii="Arial" w:hAnsi="Arial" w:cs="Arial"/>
          <w:color w:val="000000" w:themeColor="text1"/>
          <w:shd w:val="clear" w:color="auto" w:fill="FFFFFF"/>
        </w:rPr>
        <w:t>United States</w:t>
      </w:r>
    </w:p>
    <w:p w14:paraId="4A231238" w14:textId="77777777" w:rsidR="004A0142" w:rsidRPr="008441CD" w:rsidRDefault="004A0142" w:rsidP="004A0142">
      <w:pPr>
        <w:pStyle w:val="ListParagraph"/>
        <w:numPr>
          <w:ilvl w:val="0"/>
          <w:numId w:val="1"/>
        </w:numPr>
        <w:spacing w:after="0" w:line="480" w:lineRule="auto"/>
        <w:ind w:left="360"/>
        <w:rPr>
          <w:rFonts w:ascii="Arial" w:hAnsi="Arial" w:cs="Arial"/>
          <w:color w:val="000000" w:themeColor="text1"/>
        </w:rPr>
      </w:pPr>
      <w:r w:rsidRPr="008441CD">
        <w:rPr>
          <w:rFonts w:ascii="Arial" w:hAnsi="Arial" w:cs="Arial"/>
          <w:color w:val="000000" w:themeColor="text1"/>
        </w:rPr>
        <w:t xml:space="preserve">Department of Experimental Medicine, University of California, San Francisco, San Francisco, CA, </w:t>
      </w:r>
      <w:r w:rsidRPr="008441CD">
        <w:rPr>
          <w:rFonts w:ascii="Arial" w:hAnsi="Arial" w:cs="Arial"/>
          <w:color w:val="000000" w:themeColor="text1"/>
          <w:shd w:val="clear" w:color="auto" w:fill="FFFFFF"/>
        </w:rPr>
        <w:t>United States</w:t>
      </w:r>
    </w:p>
    <w:p w14:paraId="3E7EC795" w14:textId="77777777" w:rsidR="004A0142" w:rsidRPr="008441CD" w:rsidRDefault="004A0142" w:rsidP="004A0142">
      <w:pPr>
        <w:pStyle w:val="ListParagraph"/>
        <w:numPr>
          <w:ilvl w:val="0"/>
          <w:numId w:val="1"/>
        </w:numPr>
        <w:spacing w:after="0" w:line="480" w:lineRule="auto"/>
        <w:ind w:left="360"/>
        <w:rPr>
          <w:rFonts w:ascii="Arial" w:hAnsi="Arial" w:cs="Arial"/>
          <w:color w:val="000000" w:themeColor="text1"/>
        </w:rPr>
      </w:pPr>
      <w:r w:rsidRPr="008441CD">
        <w:rPr>
          <w:rFonts w:ascii="Arial" w:hAnsi="Arial" w:cs="Arial"/>
          <w:color w:val="000000" w:themeColor="text1"/>
          <w:shd w:val="clear" w:color="auto" w:fill="FFFFFF"/>
        </w:rPr>
        <w:t>Division of Maternal-Fetal Medicine, Department of Obstetrics, Gynecology, and Reproductive Sciences, University of California San Francisco, San Francisco, CA, United States</w:t>
      </w:r>
    </w:p>
    <w:p w14:paraId="20BB85C8" w14:textId="77777777" w:rsidR="004A0142" w:rsidRPr="008441CD" w:rsidRDefault="004A0142" w:rsidP="004A0142">
      <w:pPr>
        <w:pStyle w:val="ListParagraph"/>
        <w:numPr>
          <w:ilvl w:val="0"/>
          <w:numId w:val="1"/>
        </w:numPr>
        <w:spacing w:after="0" w:line="480" w:lineRule="auto"/>
        <w:ind w:left="360"/>
        <w:rPr>
          <w:rFonts w:ascii="Arial" w:hAnsi="Arial" w:cs="Arial"/>
          <w:color w:val="000000" w:themeColor="text1"/>
        </w:rPr>
      </w:pPr>
      <w:r w:rsidRPr="008441CD">
        <w:rPr>
          <w:rFonts w:ascii="Arial" w:hAnsi="Arial" w:cs="Arial"/>
          <w:color w:val="000000" w:themeColor="text1"/>
          <w:shd w:val="clear" w:color="auto" w:fill="FFFFFF"/>
        </w:rPr>
        <w:lastRenderedPageBreak/>
        <w:t>Center for Reproductive Sciences, Department of Obstetrics, Gynecology, and Reproductive Sciences, University of California San Francisco, San Francisco, CA, United States</w:t>
      </w:r>
    </w:p>
    <w:p w14:paraId="55081DA6" w14:textId="77777777" w:rsidR="004A0142" w:rsidRPr="008441CD" w:rsidRDefault="004A0142" w:rsidP="004A0142">
      <w:pPr>
        <w:pStyle w:val="ListParagraph"/>
        <w:spacing w:after="0" w:line="480" w:lineRule="auto"/>
        <w:rPr>
          <w:rFonts w:ascii="Arial" w:hAnsi="Arial" w:cs="Arial"/>
          <w:color w:val="000000" w:themeColor="text1"/>
        </w:rPr>
      </w:pPr>
    </w:p>
    <w:p w14:paraId="33665AE6" w14:textId="77777777" w:rsidR="004A0142" w:rsidRPr="008441CD" w:rsidRDefault="004A0142" w:rsidP="004A0142">
      <w:pPr>
        <w:spacing w:after="0" w:line="480" w:lineRule="auto"/>
        <w:rPr>
          <w:rFonts w:ascii="Arial" w:eastAsia="Times New Roman" w:hAnsi="Arial" w:cs="Arial"/>
          <w:b/>
          <w:bCs/>
          <w:color w:val="000000" w:themeColor="text1"/>
          <w:kern w:val="0"/>
          <w14:ligatures w14:val="none"/>
        </w:rPr>
      </w:pPr>
      <w:r w:rsidRPr="008441CD">
        <w:rPr>
          <w:rFonts w:ascii="Arial" w:hAnsi="Arial" w:cs="Arial"/>
        </w:rPr>
        <w:t>Corresponding Author: Mary Prahl MD, University of California, San Francisco. 550 16</w:t>
      </w:r>
      <w:r w:rsidRPr="008441CD">
        <w:rPr>
          <w:rFonts w:ascii="Arial" w:hAnsi="Arial" w:cs="Arial"/>
          <w:vertAlign w:val="superscript"/>
        </w:rPr>
        <w:t>th</w:t>
      </w:r>
      <w:r w:rsidRPr="008441CD">
        <w:rPr>
          <w:rFonts w:ascii="Arial" w:hAnsi="Arial" w:cs="Arial"/>
        </w:rPr>
        <w:t xml:space="preserve"> St. San Francisco, CA 94158. Mary.prahl@ucsf.edu</w:t>
      </w:r>
    </w:p>
    <w:p w14:paraId="08619015" w14:textId="77777777" w:rsidR="007716ED" w:rsidRDefault="007716ED" w:rsidP="00BB67D0">
      <w:pPr>
        <w:pStyle w:val="NormalWeb"/>
        <w:spacing w:before="0" w:beforeAutospacing="0" w:line="276" w:lineRule="auto"/>
        <w:rPr>
          <w:rFonts w:ascii="Arial" w:hAnsi="Arial" w:cs="Arial"/>
          <w:b/>
          <w:bCs/>
          <w:sz w:val="28"/>
          <w:szCs w:val="28"/>
        </w:rPr>
      </w:pPr>
    </w:p>
    <w:p w14:paraId="544395E1" w14:textId="77777777" w:rsidR="007716ED" w:rsidRDefault="007716ED" w:rsidP="00BB67D0">
      <w:pPr>
        <w:pStyle w:val="NormalWeb"/>
        <w:spacing w:before="0" w:beforeAutospacing="0" w:line="276" w:lineRule="auto"/>
        <w:rPr>
          <w:rFonts w:ascii="Arial" w:hAnsi="Arial" w:cs="Arial"/>
          <w:b/>
          <w:bCs/>
          <w:sz w:val="28"/>
          <w:szCs w:val="28"/>
        </w:rPr>
      </w:pPr>
    </w:p>
    <w:p w14:paraId="705D0970" w14:textId="77777777" w:rsidR="007716ED" w:rsidRDefault="007716ED" w:rsidP="00BB67D0">
      <w:pPr>
        <w:pStyle w:val="NormalWeb"/>
        <w:spacing w:before="0" w:beforeAutospacing="0" w:line="276" w:lineRule="auto"/>
        <w:rPr>
          <w:rFonts w:ascii="Arial" w:hAnsi="Arial" w:cs="Arial"/>
          <w:b/>
          <w:bCs/>
          <w:sz w:val="28"/>
          <w:szCs w:val="28"/>
        </w:rPr>
      </w:pPr>
    </w:p>
    <w:p w14:paraId="7F8708B4" w14:textId="77777777" w:rsidR="007716ED" w:rsidRDefault="007716ED" w:rsidP="00BB67D0">
      <w:pPr>
        <w:pStyle w:val="NormalWeb"/>
        <w:spacing w:before="0" w:beforeAutospacing="0" w:line="276" w:lineRule="auto"/>
        <w:rPr>
          <w:rFonts w:ascii="Arial" w:hAnsi="Arial" w:cs="Arial"/>
          <w:b/>
          <w:bCs/>
          <w:sz w:val="28"/>
          <w:szCs w:val="28"/>
        </w:rPr>
      </w:pPr>
    </w:p>
    <w:p w14:paraId="3008475A" w14:textId="77777777" w:rsidR="007716ED" w:rsidRDefault="007716ED" w:rsidP="00BB67D0">
      <w:pPr>
        <w:pStyle w:val="NormalWeb"/>
        <w:spacing w:before="0" w:beforeAutospacing="0" w:line="276" w:lineRule="auto"/>
        <w:rPr>
          <w:rFonts w:ascii="Arial" w:hAnsi="Arial" w:cs="Arial"/>
          <w:b/>
          <w:bCs/>
          <w:sz w:val="28"/>
          <w:szCs w:val="28"/>
        </w:rPr>
      </w:pPr>
    </w:p>
    <w:p w14:paraId="2575F811" w14:textId="77777777" w:rsidR="007716ED" w:rsidRDefault="007716ED" w:rsidP="00BB67D0">
      <w:pPr>
        <w:pStyle w:val="NormalWeb"/>
        <w:spacing w:before="0" w:beforeAutospacing="0" w:line="276" w:lineRule="auto"/>
        <w:rPr>
          <w:rFonts w:ascii="Arial" w:hAnsi="Arial" w:cs="Arial"/>
          <w:b/>
          <w:bCs/>
          <w:sz w:val="28"/>
          <w:szCs w:val="28"/>
        </w:rPr>
      </w:pPr>
    </w:p>
    <w:p w14:paraId="4208768F" w14:textId="77777777" w:rsidR="007716ED" w:rsidRDefault="007716ED" w:rsidP="00BB67D0">
      <w:pPr>
        <w:pStyle w:val="NormalWeb"/>
        <w:spacing w:before="0" w:beforeAutospacing="0" w:line="276" w:lineRule="auto"/>
        <w:rPr>
          <w:rFonts w:ascii="Arial" w:hAnsi="Arial" w:cs="Arial"/>
          <w:b/>
          <w:bCs/>
          <w:sz w:val="28"/>
          <w:szCs w:val="28"/>
        </w:rPr>
      </w:pPr>
    </w:p>
    <w:p w14:paraId="2C0BA92A" w14:textId="77777777" w:rsidR="007716ED" w:rsidRDefault="007716ED" w:rsidP="00BB67D0">
      <w:pPr>
        <w:pStyle w:val="NormalWeb"/>
        <w:spacing w:before="0" w:beforeAutospacing="0" w:line="276" w:lineRule="auto"/>
        <w:rPr>
          <w:rFonts w:ascii="Arial" w:hAnsi="Arial" w:cs="Arial"/>
          <w:b/>
          <w:bCs/>
          <w:sz w:val="28"/>
          <w:szCs w:val="28"/>
        </w:rPr>
      </w:pPr>
    </w:p>
    <w:p w14:paraId="0D7E94A4" w14:textId="77777777" w:rsidR="007716ED" w:rsidRDefault="007716ED" w:rsidP="00BB67D0">
      <w:pPr>
        <w:pStyle w:val="NormalWeb"/>
        <w:spacing w:before="0" w:beforeAutospacing="0" w:line="276" w:lineRule="auto"/>
        <w:rPr>
          <w:rFonts w:ascii="Arial" w:hAnsi="Arial" w:cs="Arial"/>
          <w:b/>
          <w:bCs/>
          <w:sz w:val="28"/>
          <w:szCs w:val="28"/>
        </w:rPr>
      </w:pPr>
    </w:p>
    <w:p w14:paraId="788D60F6" w14:textId="77777777" w:rsidR="007716ED" w:rsidRDefault="007716ED" w:rsidP="00BB67D0">
      <w:pPr>
        <w:pStyle w:val="NormalWeb"/>
        <w:spacing w:before="0" w:beforeAutospacing="0" w:line="276" w:lineRule="auto"/>
        <w:rPr>
          <w:rFonts w:ascii="Arial" w:hAnsi="Arial" w:cs="Arial"/>
          <w:b/>
          <w:bCs/>
          <w:sz w:val="28"/>
          <w:szCs w:val="28"/>
        </w:rPr>
      </w:pPr>
    </w:p>
    <w:p w14:paraId="081CB0BE" w14:textId="77777777" w:rsidR="007716ED" w:rsidRDefault="007716ED" w:rsidP="00BB67D0">
      <w:pPr>
        <w:pStyle w:val="NormalWeb"/>
        <w:spacing w:before="0" w:beforeAutospacing="0" w:line="276" w:lineRule="auto"/>
        <w:rPr>
          <w:rFonts w:ascii="Arial" w:hAnsi="Arial" w:cs="Arial"/>
          <w:b/>
          <w:bCs/>
          <w:sz w:val="28"/>
          <w:szCs w:val="28"/>
        </w:rPr>
      </w:pPr>
    </w:p>
    <w:p w14:paraId="6F9DA87E" w14:textId="77777777" w:rsidR="007716ED" w:rsidRDefault="007716ED" w:rsidP="00BB67D0">
      <w:pPr>
        <w:pStyle w:val="NormalWeb"/>
        <w:spacing w:before="0" w:beforeAutospacing="0" w:line="276" w:lineRule="auto"/>
        <w:rPr>
          <w:rFonts w:ascii="Arial" w:hAnsi="Arial" w:cs="Arial"/>
          <w:b/>
          <w:bCs/>
          <w:sz w:val="28"/>
          <w:szCs w:val="28"/>
        </w:rPr>
      </w:pPr>
    </w:p>
    <w:p w14:paraId="0E322DB3" w14:textId="77777777" w:rsidR="007716ED" w:rsidRDefault="007716ED" w:rsidP="00BB67D0">
      <w:pPr>
        <w:pStyle w:val="NormalWeb"/>
        <w:spacing w:before="0" w:beforeAutospacing="0" w:line="276" w:lineRule="auto"/>
        <w:rPr>
          <w:rFonts w:ascii="Arial" w:hAnsi="Arial" w:cs="Arial"/>
          <w:b/>
          <w:bCs/>
          <w:sz w:val="28"/>
          <w:szCs w:val="28"/>
        </w:rPr>
      </w:pPr>
    </w:p>
    <w:p w14:paraId="187A1AFF" w14:textId="77777777" w:rsidR="007716ED" w:rsidRDefault="007716ED" w:rsidP="00BB67D0">
      <w:pPr>
        <w:pStyle w:val="NormalWeb"/>
        <w:spacing w:before="0" w:beforeAutospacing="0" w:line="276" w:lineRule="auto"/>
        <w:rPr>
          <w:rFonts w:ascii="Arial" w:hAnsi="Arial" w:cs="Arial"/>
          <w:b/>
          <w:bCs/>
          <w:sz w:val="28"/>
          <w:szCs w:val="28"/>
        </w:rPr>
      </w:pPr>
    </w:p>
    <w:p w14:paraId="512E15BF" w14:textId="77777777" w:rsidR="007716ED" w:rsidRDefault="007716ED" w:rsidP="00BB67D0">
      <w:pPr>
        <w:pStyle w:val="NormalWeb"/>
        <w:spacing w:before="0" w:beforeAutospacing="0" w:line="276" w:lineRule="auto"/>
        <w:rPr>
          <w:rFonts w:ascii="Arial" w:hAnsi="Arial" w:cs="Arial"/>
          <w:b/>
          <w:bCs/>
          <w:sz w:val="28"/>
          <w:szCs w:val="28"/>
        </w:rPr>
      </w:pPr>
    </w:p>
    <w:p w14:paraId="0EF15310" w14:textId="77777777" w:rsidR="007716ED" w:rsidRDefault="007716ED" w:rsidP="00BB67D0">
      <w:pPr>
        <w:pStyle w:val="NormalWeb"/>
        <w:spacing w:before="0" w:beforeAutospacing="0" w:line="276" w:lineRule="auto"/>
        <w:rPr>
          <w:rFonts w:ascii="Arial" w:hAnsi="Arial" w:cs="Arial"/>
          <w:b/>
          <w:bCs/>
          <w:sz w:val="28"/>
          <w:szCs w:val="28"/>
        </w:rPr>
      </w:pPr>
    </w:p>
    <w:p w14:paraId="3A2C846F" w14:textId="401E01AC" w:rsidR="00505DC3" w:rsidRDefault="00984391" w:rsidP="00BB67D0">
      <w:pPr>
        <w:pStyle w:val="NormalWeb"/>
        <w:spacing w:before="0" w:beforeAutospacing="0" w:line="276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Table of Contents:</w:t>
      </w:r>
    </w:p>
    <w:p w14:paraId="5C52655C" w14:textId="5B0C5711" w:rsidR="0046414A" w:rsidRPr="0046414A" w:rsidRDefault="00104737" w:rsidP="00BB67D0">
      <w:pPr>
        <w:pStyle w:val="NormalWeb"/>
        <w:spacing w:before="0" w:beforeAutospacing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Supplementary </w:t>
      </w:r>
      <w:r w:rsidR="0046414A" w:rsidRPr="006E1C70">
        <w:rPr>
          <w:rFonts w:ascii="Arial" w:hAnsi="Arial" w:cs="Arial"/>
          <w:b/>
          <w:bCs/>
          <w:sz w:val="28"/>
          <w:szCs w:val="28"/>
        </w:rPr>
        <w:t>Figure 1</w:t>
      </w:r>
      <w:r w:rsidR="0071158F">
        <w:rPr>
          <w:rFonts w:ascii="Arial" w:hAnsi="Arial" w:cs="Arial"/>
          <w:b/>
          <w:bCs/>
          <w:sz w:val="28"/>
          <w:szCs w:val="28"/>
        </w:rPr>
        <w:t>:</w:t>
      </w:r>
      <w:r w:rsidR="0046414A">
        <w:rPr>
          <w:rFonts w:ascii="Arial" w:hAnsi="Arial" w:cs="Arial"/>
          <w:b/>
          <w:bCs/>
          <w:sz w:val="28"/>
          <w:szCs w:val="28"/>
        </w:rPr>
        <w:t xml:space="preserve"> </w:t>
      </w:r>
      <w:r w:rsidR="0046414A" w:rsidRPr="0046414A">
        <w:rPr>
          <w:rFonts w:ascii="Arial" w:hAnsi="Arial" w:cs="Arial"/>
          <w:sz w:val="28"/>
          <w:szCs w:val="28"/>
        </w:rPr>
        <w:t xml:space="preserve">Post-primary vaccine series anti-S1 and anti-S2 IgG responses by exposure group </w:t>
      </w:r>
    </w:p>
    <w:p w14:paraId="6007615F" w14:textId="7A5D9B53" w:rsidR="0046414A" w:rsidRPr="0071158F" w:rsidRDefault="00104737" w:rsidP="00BB67D0">
      <w:pPr>
        <w:pStyle w:val="NormalWeb"/>
        <w:spacing w:before="0" w:beforeAutospacing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Supplementary </w:t>
      </w:r>
      <w:r w:rsidRPr="006E1C70">
        <w:rPr>
          <w:rFonts w:ascii="Arial" w:hAnsi="Arial" w:cs="Arial"/>
          <w:b/>
          <w:bCs/>
          <w:sz w:val="28"/>
          <w:szCs w:val="28"/>
        </w:rPr>
        <w:t xml:space="preserve">Figure </w:t>
      </w:r>
      <w:r w:rsidR="0046414A" w:rsidRPr="006E1C70">
        <w:rPr>
          <w:rFonts w:ascii="Arial" w:hAnsi="Arial" w:cs="Arial"/>
          <w:b/>
          <w:bCs/>
          <w:sz w:val="28"/>
          <w:szCs w:val="28"/>
        </w:rPr>
        <w:t xml:space="preserve">2: </w:t>
      </w:r>
      <w:r w:rsidR="0046414A" w:rsidRPr="0071158F">
        <w:rPr>
          <w:rFonts w:ascii="Arial" w:hAnsi="Arial" w:cs="Arial"/>
          <w:sz w:val="28"/>
          <w:szCs w:val="28"/>
        </w:rPr>
        <w:t>Anti-S1 and anti-S2 association of pre-vaccine and post-primary series antibody Ig levels and comparison of pediatric to adult groups</w:t>
      </w:r>
    </w:p>
    <w:p w14:paraId="162F6962" w14:textId="04FBDFB1" w:rsidR="0046414A" w:rsidRPr="0071158F" w:rsidRDefault="00104737" w:rsidP="00BB67D0">
      <w:pPr>
        <w:pStyle w:val="NormalWeb"/>
        <w:tabs>
          <w:tab w:val="left" w:pos="7560"/>
        </w:tabs>
        <w:spacing w:before="0" w:beforeAutospacing="0" w:line="276" w:lineRule="auto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Supplementary </w:t>
      </w:r>
      <w:r w:rsidRPr="006E1C70">
        <w:rPr>
          <w:rFonts w:ascii="Arial" w:hAnsi="Arial" w:cs="Arial"/>
          <w:b/>
          <w:bCs/>
          <w:sz w:val="28"/>
          <w:szCs w:val="28"/>
        </w:rPr>
        <w:t xml:space="preserve">Figure </w:t>
      </w:r>
      <w:r w:rsidR="0046414A" w:rsidRPr="006E1C70">
        <w:rPr>
          <w:rFonts w:ascii="Arial" w:hAnsi="Arial" w:cs="Arial"/>
          <w:b/>
          <w:bCs/>
          <w:sz w:val="28"/>
          <w:szCs w:val="28"/>
        </w:rPr>
        <w:t xml:space="preserve">3: </w:t>
      </w:r>
      <w:r w:rsidR="0046414A" w:rsidRPr="0071158F">
        <w:rPr>
          <w:rFonts w:ascii="Arial" w:hAnsi="Arial" w:cs="Arial"/>
          <w:color w:val="000000" w:themeColor="text1"/>
          <w:sz w:val="28"/>
          <w:szCs w:val="28"/>
        </w:rPr>
        <w:t xml:space="preserve">Longitudinal durability anti-S1 and anti-S2 IgG responses by exposure groups </w:t>
      </w:r>
    </w:p>
    <w:p w14:paraId="33EA8F59" w14:textId="69909561" w:rsidR="0046414A" w:rsidRPr="006E1C70" w:rsidRDefault="00104737" w:rsidP="00BB67D0">
      <w:pPr>
        <w:pStyle w:val="NormalWeb"/>
        <w:spacing w:before="0" w:beforeAutospacing="0" w:line="276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Supplementary </w:t>
      </w:r>
      <w:r w:rsidRPr="006E1C70">
        <w:rPr>
          <w:rFonts w:ascii="Arial" w:hAnsi="Arial" w:cs="Arial"/>
          <w:b/>
          <w:bCs/>
          <w:sz w:val="28"/>
          <w:szCs w:val="28"/>
        </w:rPr>
        <w:t xml:space="preserve">Figure </w:t>
      </w:r>
      <w:r w:rsidR="0046414A" w:rsidRPr="006E1C70">
        <w:rPr>
          <w:rFonts w:ascii="Arial" w:hAnsi="Arial" w:cs="Arial"/>
          <w:b/>
          <w:bCs/>
          <w:sz w:val="28"/>
          <w:szCs w:val="28"/>
        </w:rPr>
        <w:t xml:space="preserve">4: </w:t>
      </w:r>
      <w:r w:rsidR="0046414A" w:rsidRPr="0071158F">
        <w:rPr>
          <w:rFonts w:ascii="Arial" w:hAnsi="Arial" w:cs="Arial"/>
          <w:sz w:val="28"/>
          <w:szCs w:val="28"/>
        </w:rPr>
        <w:t>Comparison of post-primary anti-S1 and anti-S2 to young children age in months</w:t>
      </w:r>
    </w:p>
    <w:p w14:paraId="488A0C65" w14:textId="770071DE" w:rsidR="0046414A" w:rsidRPr="0071158F" w:rsidRDefault="00104737" w:rsidP="00BB67D0">
      <w:pPr>
        <w:pStyle w:val="NormalWeb"/>
        <w:tabs>
          <w:tab w:val="left" w:pos="7560"/>
        </w:tabs>
        <w:spacing w:before="0" w:beforeAutospacing="0" w:line="276" w:lineRule="auto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Supplementary </w:t>
      </w:r>
      <w:r w:rsidRPr="006E1C70">
        <w:rPr>
          <w:rFonts w:ascii="Arial" w:hAnsi="Arial" w:cs="Arial"/>
          <w:b/>
          <w:bCs/>
          <w:sz w:val="28"/>
          <w:szCs w:val="28"/>
        </w:rPr>
        <w:t xml:space="preserve">Figure </w:t>
      </w:r>
      <w:r w:rsidR="0046414A" w:rsidRPr="006E1C70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5: </w:t>
      </w:r>
      <w:r w:rsidR="0046414A" w:rsidRPr="0071158F">
        <w:rPr>
          <w:rFonts w:ascii="Arial" w:hAnsi="Arial" w:cs="Arial"/>
          <w:sz w:val="28"/>
          <w:szCs w:val="28"/>
        </w:rPr>
        <w:t>Post-vaccination anti-S1 and anti-S2 IgG responses by biological sex and vaccine type</w:t>
      </w:r>
    </w:p>
    <w:p w14:paraId="730A47F8" w14:textId="4CA87066" w:rsidR="0046414A" w:rsidRDefault="00104737" w:rsidP="00BB67D0">
      <w:pPr>
        <w:pStyle w:val="NormalWeb"/>
        <w:spacing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Supplementary </w:t>
      </w:r>
      <w:r w:rsidRPr="006E1C70">
        <w:rPr>
          <w:rFonts w:ascii="Arial" w:hAnsi="Arial" w:cs="Arial"/>
          <w:b/>
          <w:bCs/>
          <w:sz w:val="28"/>
          <w:szCs w:val="28"/>
        </w:rPr>
        <w:t xml:space="preserve">Figure </w:t>
      </w:r>
      <w:r w:rsidR="0046414A" w:rsidRPr="006E1C70">
        <w:rPr>
          <w:rFonts w:ascii="Arial" w:hAnsi="Arial" w:cs="Arial"/>
          <w:b/>
          <w:bCs/>
          <w:sz w:val="28"/>
          <w:szCs w:val="28"/>
        </w:rPr>
        <w:t xml:space="preserve">6: </w:t>
      </w:r>
      <w:r w:rsidR="0046414A" w:rsidRPr="0071158F">
        <w:rPr>
          <w:rFonts w:ascii="Arial" w:hAnsi="Arial" w:cs="Arial"/>
          <w:sz w:val="28"/>
          <w:szCs w:val="28"/>
        </w:rPr>
        <w:t xml:space="preserve">Longitudinal pediatric SARS-CoV-2 IgA and IgM antibody responses </w:t>
      </w:r>
    </w:p>
    <w:p w14:paraId="6FC66915" w14:textId="44C19815" w:rsidR="0071158F" w:rsidRDefault="00104737" w:rsidP="00BB67D0">
      <w:pPr>
        <w:spacing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Supplementary </w:t>
      </w:r>
      <w:r w:rsidR="0071158F" w:rsidRPr="006E1C70">
        <w:rPr>
          <w:rFonts w:ascii="Arial" w:hAnsi="Arial" w:cs="Arial"/>
          <w:b/>
          <w:bCs/>
          <w:sz w:val="28"/>
          <w:szCs w:val="28"/>
        </w:rPr>
        <w:t>Table 1:</w:t>
      </w:r>
      <w:r w:rsidR="0071158F" w:rsidRPr="006E1C70">
        <w:rPr>
          <w:rFonts w:ascii="Arial" w:hAnsi="Arial" w:cs="Arial"/>
          <w:sz w:val="28"/>
          <w:szCs w:val="28"/>
        </w:rPr>
        <w:t xml:space="preserve"> </w:t>
      </w:r>
      <w:r w:rsidR="0071158F" w:rsidRPr="00BB67D0">
        <w:rPr>
          <w:rFonts w:ascii="Arial" w:hAnsi="Arial" w:cs="Arial"/>
          <w:sz w:val="28"/>
          <w:szCs w:val="28"/>
        </w:rPr>
        <w:t>Parameter values from fitted segmented mixed effect linear regression models.</w:t>
      </w:r>
    </w:p>
    <w:p w14:paraId="426CA067" w14:textId="77777777" w:rsidR="0046414A" w:rsidRPr="006E1C70" w:rsidRDefault="0046414A" w:rsidP="006326AF">
      <w:pPr>
        <w:pStyle w:val="NormalWeb"/>
        <w:tabs>
          <w:tab w:val="left" w:pos="7560"/>
        </w:tabs>
        <w:spacing w:before="0" w:beforeAutospacing="0" w:line="360" w:lineRule="auto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19E20DC7" w14:textId="77777777" w:rsidR="006326AF" w:rsidRPr="006E1C70" w:rsidRDefault="006326AF" w:rsidP="006326AF">
      <w:pPr>
        <w:pStyle w:val="NormalWeb"/>
        <w:tabs>
          <w:tab w:val="left" w:pos="7560"/>
        </w:tabs>
        <w:spacing w:before="0" w:beforeAutospacing="0" w:line="360" w:lineRule="auto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4F865F76" w14:textId="77777777" w:rsidR="008E0B1E" w:rsidRDefault="008E0B1E" w:rsidP="006E1C70">
      <w:pPr>
        <w:pStyle w:val="NormalWeb"/>
        <w:tabs>
          <w:tab w:val="left" w:pos="7560"/>
        </w:tabs>
        <w:spacing w:before="0" w:beforeAutospacing="0" w:line="360" w:lineRule="auto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38E8862B" w14:textId="77777777" w:rsidR="008F1FDD" w:rsidRDefault="008F1FDD" w:rsidP="006E1C70">
      <w:pPr>
        <w:pStyle w:val="NormalWeb"/>
        <w:spacing w:line="360" w:lineRule="auto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34FFF5B1" w14:textId="77777777" w:rsidR="005A51C1" w:rsidRDefault="005A51C1" w:rsidP="006E1C70">
      <w:pPr>
        <w:pStyle w:val="NormalWeb"/>
        <w:spacing w:line="360" w:lineRule="auto"/>
        <w:rPr>
          <w:rFonts w:ascii="Arial" w:hAnsi="Arial" w:cs="Arial"/>
          <w:b/>
          <w:bCs/>
          <w:sz w:val="28"/>
          <w:szCs w:val="28"/>
        </w:rPr>
      </w:pPr>
    </w:p>
    <w:p w14:paraId="75BEF19E" w14:textId="77777777" w:rsidR="00044F8E" w:rsidRDefault="00044F8E" w:rsidP="006E1C70">
      <w:pPr>
        <w:pStyle w:val="NormalWeb"/>
        <w:spacing w:before="0" w:beforeAutospacing="0" w:line="360" w:lineRule="auto"/>
        <w:rPr>
          <w:rFonts w:ascii="Arial" w:hAnsi="Arial" w:cs="Arial"/>
          <w:b/>
          <w:bCs/>
          <w:sz w:val="28"/>
          <w:szCs w:val="28"/>
        </w:rPr>
      </w:pPr>
    </w:p>
    <w:p w14:paraId="207BF476" w14:textId="77777777" w:rsidR="00044F8E" w:rsidRDefault="00044F8E" w:rsidP="006E1C70">
      <w:pPr>
        <w:pStyle w:val="NormalWeb"/>
        <w:spacing w:before="0" w:beforeAutospacing="0" w:line="360" w:lineRule="auto"/>
        <w:rPr>
          <w:rFonts w:ascii="Arial" w:hAnsi="Arial" w:cs="Arial"/>
          <w:b/>
          <w:bCs/>
          <w:sz w:val="28"/>
          <w:szCs w:val="28"/>
        </w:rPr>
      </w:pPr>
    </w:p>
    <w:p w14:paraId="76619B71" w14:textId="68448185" w:rsidR="00D52D76" w:rsidRDefault="006C3A51" w:rsidP="006E1C70">
      <w:pPr>
        <w:pStyle w:val="NormalWeb"/>
        <w:spacing w:before="0" w:beforeAutospacing="0" w:line="36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noProof/>
          <w:sz w:val="28"/>
          <w:szCs w:val="28"/>
          <w14:ligatures w14:val="standardContextual"/>
        </w:rPr>
        <w:drawing>
          <wp:inline distT="0" distB="0" distL="0" distR="0" wp14:anchorId="2729ADA0" wp14:editId="58E8DD91">
            <wp:extent cx="6780243" cy="3850106"/>
            <wp:effectExtent l="0" t="0" r="0" b="0"/>
            <wp:docPr id="19431066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106683" name="Picture 194310668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5091" cy="3875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F6D28A" w14:textId="09AD0E48" w:rsidR="00D025F5" w:rsidRPr="006E1C70" w:rsidRDefault="005A51C1" w:rsidP="006E1C70">
      <w:pPr>
        <w:pStyle w:val="NormalWeb"/>
        <w:spacing w:before="0" w:beforeAutospacing="0" w:line="36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Supplementary </w:t>
      </w:r>
      <w:r w:rsidRPr="006E1C70">
        <w:rPr>
          <w:rFonts w:ascii="Arial" w:hAnsi="Arial" w:cs="Arial"/>
          <w:b/>
          <w:bCs/>
          <w:sz w:val="28"/>
          <w:szCs w:val="28"/>
        </w:rPr>
        <w:t>Figure 1</w:t>
      </w:r>
      <w:r w:rsidR="006E1C70" w:rsidRPr="006E1C70">
        <w:rPr>
          <w:rFonts w:ascii="Arial" w:hAnsi="Arial" w:cs="Arial"/>
          <w:b/>
          <w:bCs/>
          <w:sz w:val="28"/>
          <w:szCs w:val="28"/>
        </w:rPr>
        <w:t xml:space="preserve">: Post-primary vaccine series anti-S1 and anti-S2 IgG responses by exposure group </w:t>
      </w:r>
    </w:p>
    <w:p w14:paraId="185906D2" w14:textId="77777777" w:rsidR="006E1C70" w:rsidRPr="006E1C70" w:rsidRDefault="006E1C70" w:rsidP="006E1C70">
      <w:pPr>
        <w:pStyle w:val="NormalWeb"/>
        <w:spacing w:before="0" w:beforeAutospacing="0" w:line="360" w:lineRule="auto"/>
        <w:rPr>
          <w:rFonts w:ascii="Arial" w:hAnsi="Arial" w:cs="Arial"/>
          <w:b/>
          <w:bCs/>
          <w:sz w:val="28"/>
          <w:szCs w:val="28"/>
        </w:rPr>
      </w:pPr>
      <w:r w:rsidRPr="006E1C70">
        <w:rPr>
          <w:rFonts w:ascii="Arial" w:hAnsi="Arial" w:cs="Arial"/>
          <w:sz w:val="28"/>
          <w:szCs w:val="28"/>
        </w:rPr>
        <w:t xml:space="preserve">Post-primary vaccine series IgG absolute levels MFI for </w:t>
      </w:r>
      <w:r w:rsidRPr="006E1C70">
        <w:rPr>
          <w:rFonts w:ascii="Arial" w:hAnsi="Arial" w:cs="Arial"/>
          <w:b/>
          <w:bCs/>
          <w:sz w:val="28"/>
          <w:szCs w:val="28"/>
        </w:rPr>
        <w:t>A)</w:t>
      </w:r>
      <w:r w:rsidRPr="006E1C70">
        <w:rPr>
          <w:rFonts w:ascii="Arial" w:hAnsi="Arial" w:cs="Arial"/>
          <w:sz w:val="28"/>
          <w:szCs w:val="28"/>
        </w:rPr>
        <w:t xml:space="preserve"> anti-S1 and </w:t>
      </w:r>
      <w:r w:rsidRPr="006E1C70">
        <w:rPr>
          <w:rFonts w:ascii="Arial" w:hAnsi="Arial" w:cs="Arial"/>
          <w:b/>
          <w:bCs/>
          <w:sz w:val="28"/>
          <w:szCs w:val="28"/>
        </w:rPr>
        <w:t>C</w:t>
      </w:r>
      <w:r w:rsidRPr="006E1C70">
        <w:rPr>
          <w:rFonts w:ascii="Arial" w:hAnsi="Arial" w:cs="Arial"/>
          <w:sz w:val="28"/>
          <w:szCs w:val="28"/>
        </w:rPr>
        <w:t xml:space="preserve">) anti-S2. Anti-RBD IgG level MFI fold-change post-primary vaccine series MFI levels over pre-vaccine MFI levels by exposure group for </w:t>
      </w:r>
      <w:r w:rsidRPr="006E1C70">
        <w:rPr>
          <w:rFonts w:ascii="Arial" w:hAnsi="Arial" w:cs="Arial"/>
          <w:b/>
          <w:bCs/>
          <w:sz w:val="28"/>
          <w:szCs w:val="28"/>
        </w:rPr>
        <w:t>B</w:t>
      </w:r>
      <w:r w:rsidRPr="006E1C70">
        <w:rPr>
          <w:rFonts w:ascii="Arial" w:hAnsi="Arial" w:cs="Arial"/>
          <w:sz w:val="28"/>
          <w:szCs w:val="28"/>
        </w:rPr>
        <w:t xml:space="preserve">) anti-S1 and </w:t>
      </w:r>
      <w:r w:rsidRPr="006E1C70">
        <w:rPr>
          <w:rFonts w:ascii="Arial" w:hAnsi="Arial" w:cs="Arial"/>
          <w:b/>
          <w:bCs/>
          <w:sz w:val="28"/>
          <w:szCs w:val="28"/>
        </w:rPr>
        <w:t>D</w:t>
      </w:r>
      <w:r w:rsidRPr="006E1C70">
        <w:rPr>
          <w:rFonts w:ascii="Arial" w:hAnsi="Arial" w:cs="Arial"/>
          <w:sz w:val="28"/>
          <w:szCs w:val="28"/>
        </w:rPr>
        <w:t>) anti-S2. COVID-19 naïve MatAb(+) (n=21), Hybrid immunity MatAb(+) (n=6), COVID-19 naïve MatAb(-) (n=15), and Hybrid immunity MatAb(-) (n=12). Data presented as box and whisker plots represent median and IQR. Two-sided </w:t>
      </w:r>
      <w:r w:rsidRPr="006E1C70">
        <w:rPr>
          <w:rFonts w:ascii="Arial" w:hAnsi="Arial" w:cs="Arial"/>
          <w:i/>
          <w:iCs/>
          <w:sz w:val="28"/>
          <w:szCs w:val="28"/>
        </w:rPr>
        <w:t>p</w:t>
      </w:r>
      <w:r w:rsidRPr="006E1C70">
        <w:rPr>
          <w:rFonts w:ascii="Arial" w:hAnsi="Arial" w:cs="Arial"/>
          <w:sz w:val="28"/>
          <w:szCs w:val="28"/>
        </w:rPr>
        <w:t> values were calculated for all test statistics by Mann-Whitney U test, p&lt;0.05 was considered significant, and significant values are indicated in graph brackets.</w:t>
      </w:r>
      <w:r w:rsidRPr="006E1C70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0C1019D5" w14:textId="77777777" w:rsidR="009F2085" w:rsidRDefault="009F2085" w:rsidP="006E1C70">
      <w:pPr>
        <w:pStyle w:val="NormalWeb"/>
        <w:spacing w:before="0" w:beforeAutospacing="0" w:line="360" w:lineRule="auto"/>
        <w:rPr>
          <w:rFonts w:ascii="Arial" w:hAnsi="Arial" w:cs="Arial"/>
          <w:b/>
          <w:bCs/>
          <w:sz w:val="28"/>
          <w:szCs w:val="28"/>
        </w:rPr>
      </w:pPr>
    </w:p>
    <w:p w14:paraId="2A6769A7" w14:textId="1387CA94" w:rsidR="006E1C70" w:rsidRPr="006E1C70" w:rsidRDefault="009F2085" w:rsidP="006E1C70">
      <w:pPr>
        <w:pStyle w:val="NormalWeb"/>
        <w:spacing w:before="0" w:beforeAutospacing="0" w:line="36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noProof/>
          <w:sz w:val="28"/>
          <w:szCs w:val="28"/>
          <w14:ligatures w14:val="standardContextual"/>
        </w:rPr>
        <w:drawing>
          <wp:inline distT="0" distB="0" distL="0" distR="0" wp14:anchorId="5B733DFF" wp14:editId="76C9D1C5">
            <wp:extent cx="6651544" cy="2856753"/>
            <wp:effectExtent l="0" t="0" r="0" b="1270"/>
            <wp:docPr id="31709455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094556" name="Picture 31709455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3672" cy="2870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A51C1">
        <w:rPr>
          <w:rFonts w:ascii="Arial" w:hAnsi="Arial" w:cs="Arial"/>
          <w:b/>
          <w:bCs/>
          <w:sz w:val="28"/>
          <w:szCs w:val="28"/>
        </w:rPr>
        <w:t xml:space="preserve">Supplementary </w:t>
      </w:r>
      <w:r w:rsidR="005A51C1" w:rsidRPr="006E1C70">
        <w:rPr>
          <w:rFonts w:ascii="Arial" w:hAnsi="Arial" w:cs="Arial"/>
          <w:b/>
          <w:bCs/>
          <w:sz w:val="28"/>
          <w:szCs w:val="28"/>
        </w:rPr>
        <w:t xml:space="preserve">Figure </w:t>
      </w:r>
      <w:r w:rsidR="005A51C1">
        <w:rPr>
          <w:rFonts w:ascii="Arial" w:hAnsi="Arial" w:cs="Arial"/>
          <w:b/>
          <w:bCs/>
          <w:sz w:val="28"/>
          <w:szCs w:val="28"/>
        </w:rPr>
        <w:t>2</w:t>
      </w:r>
      <w:r w:rsidR="006E1C70" w:rsidRPr="006E1C70">
        <w:rPr>
          <w:rFonts w:ascii="Arial" w:hAnsi="Arial" w:cs="Arial"/>
          <w:b/>
          <w:bCs/>
          <w:sz w:val="28"/>
          <w:szCs w:val="28"/>
        </w:rPr>
        <w:t>: Anti-S1 and anti-S2 association of pre-vaccine and post-primary series antibody Ig levels and comparison of pediatric to adult groups</w:t>
      </w:r>
    </w:p>
    <w:p w14:paraId="5C4CEA75" w14:textId="77777777" w:rsidR="006E1C70" w:rsidRDefault="006E1C70" w:rsidP="006E1C70">
      <w:pPr>
        <w:pStyle w:val="NormalWeb"/>
        <w:spacing w:before="0" w:beforeAutospacing="0" w:line="360" w:lineRule="auto"/>
        <w:rPr>
          <w:rFonts w:ascii="Arial" w:hAnsi="Arial" w:cs="Arial"/>
          <w:sz w:val="28"/>
          <w:szCs w:val="28"/>
        </w:rPr>
      </w:pPr>
      <w:r w:rsidRPr="006E1C70">
        <w:rPr>
          <w:rFonts w:ascii="Arial" w:hAnsi="Arial" w:cs="Arial"/>
          <w:sz w:val="28"/>
          <w:szCs w:val="28"/>
        </w:rPr>
        <w:t xml:space="preserve">Correlation between pre-vaccine IgG MFI (passive maternal antibody) and post-primary vaccine IgG for </w:t>
      </w:r>
      <w:r w:rsidRPr="006E1C70">
        <w:rPr>
          <w:rFonts w:ascii="Arial" w:hAnsi="Arial" w:cs="Arial"/>
          <w:b/>
          <w:bCs/>
          <w:sz w:val="28"/>
          <w:szCs w:val="28"/>
        </w:rPr>
        <w:t>(A)</w:t>
      </w:r>
      <w:r w:rsidRPr="006E1C70">
        <w:rPr>
          <w:rFonts w:ascii="Arial" w:hAnsi="Arial" w:cs="Arial"/>
          <w:sz w:val="28"/>
          <w:szCs w:val="28"/>
        </w:rPr>
        <w:t xml:space="preserve"> anti-S1 </w:t>
      </w:r>
      <w:r w:rsidRPr="006E1C70">
        <w:rPr>
          <w:rFonts w:ascii="Arial" w:hAnsi="Arial" w:cs="Arial"/>
          <w:b/>
          <w:bCs/>
          <w:sz w:val="28"/>
          <w:szCs w:val="28"/>
        </w:rPr>
        <w:t>(B)</w:t>
      </w:r>
      <w:r w:rsidRPr="006E1C70">
        <w:rPr>
          <w:rFonts w:ascii="Arial" w:hAnsi="Arial" w:cs="Arial"/>
          <w:sz w:val="28"/>
          <w:szCs w:val="28"/>
        </w:rPr>
        <w:t xml:space="preserve"> anti-S2 in the COVID-19 naïve MatAb(+) cohort (green circles, n=20). The correlation line represents the linear regression fit for visualization only. Statistical correlation was assessed using Spearman’s rank correlation coefficient (R</w:t>
      </w:r>
      <w:r w:rsidRPr="006E1C70">
        <w:rPr>
          <w:rFonts w:ascii="Arial" w:hAnsi="Arial" w:cs="Arial"/>
          <w:sz w:val="28"/>
          <w:szCs w:val="28"/>
          <w:vertAlign w:val="subscript"/>
        </w:rPr>
        <w:t>s</w:t>
      </w:r>
      <w:r w:rsidRPr="006E1C70">
        <w:rPr>
          <w:rFonts w:ascii="Arial" w:hAnsi="Arial" w:cs="Arial"/>
          <w:sz w:val="28"/>
          <w:szCs w:val="28"/>
        </w:rPr>
        <w:t xml:space="preserve">).  </w:t>
      </w:r>
    </w:p>
    <w:p w14:paraId="54B2E596" w14:textId="77777777" w:rsidR="009F2085" w:rsidRDefault="009F2085" w:rsidP="006E1C70">
      <w:pPr>
        <w:pStyle w:val="NormalWeb"/>
        <w:spacing w:before="0" w:beforeAutospacing="0" w:line="360" w:lineRule="auto"/>
        <w:rPr>
          <w:rFonts w:ascii="Arial" w:hAnsi="Arial" w:cs="Arial"/>
          <w:sz w:val="28"/>
          <w:szCs w:val="28"/>
        </w:rPr>
      </w:pPr>
    </w:p>
    <w:p w14:paraId="68E679A6" w14:textId="77777777" w:rsidR="009F2085" w:rsidRDefault="009F2085" w:rsidP="006E1C70">
      <w:pPr>
        <w:pStyle w:val="NormalWeb"/>
        <w:spacing w:before="0" w:beforeAutospacing="0" w:line="360" w:lineRule="auto"/>
        <w:rPr>
          <w:rFonts w:ascii="Arial" w:hAnsi="Arial" w:cs="Arial"/>
          <w:sz w:val="28"/>
          <w:szCs w:val="28"/>
        </w:rPr>
      </w:pPr>
    </w:p>
    <w:p w14:paraId="6141BB59" w14:textId="77777777" w:rsidR="009F2085" w:rsidRDefault="009F2085" w:rsidP="006E1C70">
      <w:pPr>
        <w:pStyle w:val="NormalWeb"/>
        <w:spacing w:before="0" w:beforeAutospacing="0" w:line="360" w:lineRule="auto"/>
        <w:rPr>
          <w:rFonts w:ascii="Arial" w:hAnsi="Arial" w:cs="Arial"/>
          <w:sz w:val="28"/>
          <w:szCs w:val="28"/>
        </w:rPr>
      </w:pPr>
    </w:p>
    <w:p w14:paraId="4904CE9E" w14:textId="77777777" w:rsidR="009F2085" w:rsidRDefault="009F2085" w:rsidP="006E1C70">
      <w:pPr>
        <w:pStyle w:val="NormalWeb"/>
        <w:spacing w:before="0" w:beforeAutospacing="0" w:line="360" w:lineRule="auto"/>
        <w:rPr>
          <w:rFonts w:ascii="Arial" w:hAnsi="Arial" w:cs="Arial"/>
          <w:sz w:val="28"/>
          <w:szCs w:val="28"/>
        </w:rPr>
      </w:pPr>
    </w:p>
    <w:p w14:paraId="307163D1" w14:textId="77777777" w:rsidR="009F2085" w:rsidRDefault="009F2085" w:rsidP="006E1C70">
      <w:pPr>
        <w:pStyle w:val="NormalWeb"/>
        <w:spacing w:before="0" w:beforeAutospacing="0" w:line="360" w:lineRule="auto"/>
        <w:rPr>
          <w:rFonts w:ascii="Arial" w:hAnsi="Arial" w:cs="Arial"/>
          <w:sz w:val="28"/>
          <w:szCs w:val="28"/>
        </w:rPr>
      </w:pPr>
    </w:p>
    <w:p w14:paraId="21F371DB" w14:textId="77777777" w:rsidR="009F2085" w:rsidRDefault="009F2085" w:rsidP="006E1C70">
      <w:pPr>
        <w:pStyle w:val="NormalWeb"/>
        <w:spacing w:before="0" w:beforeAutospacing="0" w:line="360" w:lineRule="auto"/>
        <w:rPr>
          <w:rFonts w:ascii="Arial" w:hAnsi="Arial" w:cs="Arial"/>
          <w:sz w:val="28"/>
          <w:szCs w:val="28"/>
        </w:rPr>
      </w:pPr>
    </w:p>
    <w:p w14:paraId="094B11A2" w14:textId="37FFF1A5" w:rsidR="009F2085" w:rsidRPr="006E1C70" w:rsidRDefault="009F2085" w:rsidP="006E1C70">
      <w:pPr>
        <w:pStyle w:val="NormalWeb"/>
        <w:spacing w:before="0" w:beforeAutospacing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14:ligatures w14:val="standardContextual"/>
        </w:rPr>
        <w:drawing>
          <wp:inline distT="0" distB="0" distL="0" distR="0" wp14:anchorId="70E60DE5" wp14:editId="1FB17B09">
            <wp:extent cx="6810919" cy="3699435"/>
            <wp:effectExtent l="0" t="0" r="0" b="0"/>
            <wp:docPr id="195960748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607485" name="Picture 195960748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1326" cy="3721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CB6C97" w14:textId="31AB821A" w:rsidR="006E1C70" w:rsidRPr="006E1C70" w:rsidRDefault="005A51C1" w:rsidP="006E1C70">
      <w:pPr>
        <w:pStyle w:val="NormalWeb"/>
        <w:tabs>
          <w:tab w:val="left" w:pos="7560"/>
        </w:tabs>
        <w:spacing w:before="0" w:beforeAutospacing="0" w:line="360" w:lineRule="auto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Supplementary </w:t>
      </w:r>
      <w:r w:rsidRPr="006E1C70">
        <w:rPr>
          <w:rFonts w:ascii="Arial" w:hAnsi="Arial" w:cs="Arial"/>
          <w:b/>
          <w:bCs/>
          <w:sz w:val="28"/>
          <w:szCs w:val="28"/>
        </w:rPr>
        <w:t xml:space="preserve">Figure </w:t>
      </w:r>
      <w:r>
        <w:rPr>
          <w:rFonts w:ascii="Arial" w:hAnsi="Arial" w:cs="Arial"/>
          <w:b/>
          <w:bCs/>
          <w:sz w:val="28"/>
          <w:szCs w:val="28"/>
        </w:rPr>
        <w:t>3</w:t>
      </w:r>
      <w:r w:rsidR="006E1C70" w:rsidRPr="006E1C70">
        <w:rPr>
          <w:rFonts w:ascii="Arial" w:hAnsi="Arial" w:cs="Arial"/>
          <w:b/>
          <w:bCs/>
          <w:sz w:val="28"/>
          <w:szCs w:val="28"/>
        </w:rPr>
        <w:t xml:space="preserve">: </w:t>
      </w:r>
      <w:r w:rsidR="006E1C70" w:rsidRPr="006E1C70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Longitudinal durability anti-S1 and anti-S2 IgG responses by exposure groups </w:t>
      </w:r>
    </w:p>
    <w:p w14:paraId="5011876A" w14:textId="77777777" w:rsidR="006E1C70" w:rsidRDefault="006E1C70" w:rsidP="006E1C70">
      <w:pPr>
        <w:pStyle w:val="NormalWeb"/>
        <w:tabs>
          <w:tab w:val="left" w:pos="7560"/>
        </w:tabs>
        <w:spacing w:before="0" w:beforeAutospacing="0" w:line="360" w:lineRule="auto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6E1C70">
        <w:rPr>
          <w:rFonts w:ascii="Arial" w:hAnsi="Arial" w:cs="Arial"/>
          <w:color w:val="000000" w:themeColor="text1"/>
          <w:sz w:val="28"/>
          <w:szCs w:val="28"/>
        </w:rPr>
        <w:t xml:space="preserve">Longitudinal graph of </w:t>
      </w:r>
      <w:r w:rsidRPr="006E1C70">
        <w:rPr>
          <w:rFonts w:ascii="Arial" w:hAnsi="Arial" w:cs="Arial"/>
          <w:b/>
          <w:bCs/>
          <w:color w:val="000000" w:themeColor="text1"/>
          <w:sz w:val="28"/>
          <w:szCs w:val="28"/>
        </w:rPr>
        <w:t>A)</w:t>
      </w:r>
      <w:r w:rsidRPr="006E1C70">
        <w:rPr>
          <w:rFonts w:ascii="Arial" w:hAnsi="Arial" w:cs="Arial"/>
          <w:color w:val="000000" w:themeColor="text1"/>
          <w:sz w:val="28"/>
          <w:szCs w:val="28"/>
        </w:rPr>
        <w:t xml:space="preserve"> anti-S1 and </w:t>
      </w:r>
      <w:r w:rsidRPr="006E1C70">
        <w:rPr>
          <w:rFonts w:ascii="Arial" w:hAnsi="Arial" w:cs="Arial"/>
          <w:b/>
          <w:bCs/>
          <w:color w:val="000000" w:themeColor="text1"/>
          <w:sz w:val="28"/>
          <w:szCs w:val="28"/>
        </w:rPr>
        <w:t>C</w:t>
      </w:r>
      <w:r w:rsidRPr="006E1C70">
        <w:rPr>
          <w:rFonts w:ascii="Arial" w:hAnsi="Arial" w:cs="Arial"/>
          <w:color w:val="000000" w:themeColor="text1"/>
          <w:sz w:val="28"/>
          <w:szCs w:val="28"/>
        </w:rPr>
        <w:t xml:space="preserve">) anti-S2 IgG antibody trajectory across timepoints pre-vaccine to two-year follow-up across exposure groups. </w:t>
      </w:r>
      <w:r w:rsidRPr="006E1C70">
        <w:rPr>
          <w:rFonts w:ascii="Arial" w:hAnsi="Arial" w:cs="Arial"/>
          <w:sz w:val="28"/>
          <w:szCs w:val="28"/>
        </w:rPr>
        <w:t>Each connected data point represents the mean and standard deviation at each time point, stratified by exposure status.</w:t>
      </w:r>
      <w:r w:rsidRPr="006E1C70">
        <w:rPr>
          <w:rFonts w:ascii="Arial" w:hAnsi="Arial" w:cs="Arial"/>
          <w:color w:val="000000" w:themeColor="text1"/>
          <w:sz w:val="28"/>
          <w:szCs w:val="28"/>
        </w:rPr>
        <w:t xml:space="preserve"> Infection status determined prior to primary vaccine follow-up timepoint. Segmented linear regression model fit of </w:t>
      </w:r>
      <w:r w:rsidRPr="006E1C70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B) </w:t>
      </w:r>
      <w:r w:rsidRPr="006E1C70">
        <w:rPr>
          <w:rFonts w:ascii="Arial" w:hAnsi="Arial" w:cs="Arial"/>
          <w:color w:val="000000" w:themeColor="text1"/>
          <w:sz w:val="28"/>
          <w:szCs w:val="28"/>
        </w:rPr>
        <w:t xml:space="preserve">anti-S1 and </w:t>
      </w:r>
      <w:r w:rsidRPr="006E1C70">
        <w:rPr>
          <w:rFonts w:ascii="Arial" w:hAnsi="Arial" w:cs="Arial"/>
          <w:b/>
          <w:bCs/>
          <w:color w:val="000000" w:themeColor="text1"/>
          <w:sz w:val="28"/>
          <w:szCs w:val="28"/>
        </w:rPr>
        <w:t>D)</w:t>
      </w:r>
      <w:r w:rsidRPr="006E1C70">
        <w:rPr>
          <w:rFonts w:ascii="Arial" w:hAnsi="Arial" w:cs="Arial"/>
          <w:color w:val="000000" w:themeColor="text1"/>
          <w:sz w:val="28"/>
          <w:szCs w:val="28"/>
        </w:rPr>
        <w:t xml:space="preserve"> anti-S2 level over time by presence or absence of maternal antibody (MatAb). Bold lines and shaded area are model prediction and 50% prediction intervals. Connected points represent raw data by participant.</w:t>
      </w:r>
      <w:r w:rsidRPr="006E1C70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</w:p>
    <w:p w14:paraId="2C371CD1" w14:textId="77777777" w:rsidR="00C512F5" w:rsidRDefault="00C512F5" w:rsidP="006E1C70">
      <w:pPr>
        <w:pStyle w:val="NormalWeb"/>
        <w:tabs>
          <w:tab w:val="left" w:pos="7560"/>
        </w:tabs>
        <w:spacing w:before="0" w:beforeAutospacing="0" w:line="360" w:lineRule="auto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4919D0CA" w14:textId="77777777" w:rsidR="00C512F5" w:rsidRDefault="00C512F5" w:rsidP="006E1C70">
      <w:pPr>
        <w:pStyle w:val="NormalWeb"/>
        <w:tabs>
          <w:tab w:val="left" w:pos="7560"/>
        </w:tabs>
        <w:spacing w:before="0" w:beforeAutospacing="0" w:line="360" w:lineRule="auto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01FD689A" w14:textId="77777777" w:rsidR="00C512F5" w:rsidRDefault="00C512F5" w:rsidP="006E1C70">
      <w:pPr>
        <w:pStyle w:val="NormalWeb"/>
        <w:tabs>
          <w:tab w:val="left" w:pos="7560"/>
        </w:tabs>
        <w:spacing w:before="0" w:beforeAutospacing="0" w:line="360" w:lineRule="auto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4FB6299A" w14:textId="5B7409E8" w:rsidR="00C512F5" w:rsidRPr="006E1C70" w:rsidRDefault="00C512F5" w:rsidP="006E1C70">
      <w:pPr>
        <w:pStyle w:val="NormalWeb"/>
        <w:tabs>
          <w:tab w:val="left" w:pos="7560"/>
        </w:tabs>
        <w:spacing w:before="0" w:beforeAutospacing="0" w:line="360" w:lineRule="auto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noProof/>
          <w:color w:val="000000" w:themeColor="text1"/>
          <w:sz w:val="28"/>
          <w:szCs w:val="28"/>
          <w14:ligatures w14:val="standardContextual"/>
        </w:rPr>
        <w:drawing>
          <wp:inline distT="0" distB="0" distL="0" distR="0" wp14:anchorId="0DACF4A8" wp14:editId="7ACCD919">
            <wp:extent cx="6395586" cy="3538071"/>
            <wp:effectExtent l="0" t="0" r="5715" b="5715"/>
            <wp:docPr id="151660964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609649" name="Picture 151660964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0939" cy="3557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84CDF1" w14:textId="42A640CF" w:rsidR="006E1C70" w:rsidRPr="006E1C70" w:rsidRDefault="005A51C1" w:rsidP="006E1C70">
      <w:pPr>
        <w:pStyle w:val="NormalWeb"/>
        <w:spacing w:before="0" w:beforeAutospacing="0" w:line="36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Supplementary </w:t>
      </w:r>
      <w:r w:rsidRPr="006E1C70">
        <w:rPr>
          <w:rFonts w:ascii="Arial" w:hAnsi="Arial" w:cs="Arial"/>
          <w:b/>
          <w:bCs/>
          <w:sz w:val="28"/>
          <w:szCs w:val="28"/>
        </w:rPr>
        <w:t xml:space="preserve">Figure </w:t>
      </w:r>
      <w:r>
        <w:rPr>
          <w:rFonts w:ascii="Arial" w:hAnsi="Arial" w:cs="Arial"/>
          <w:b/>
          <w:bCs/>
          <w:sz w:val="28"/>
          <w:szCs w:val="28"/>
        </w:rPr>
        <w:t>4</w:t>
      </w:r>
      <w:r w:rsidR="006E1C70" w:rsidRPr="006E1C70">
        <w:rPr>
          <w:rFonts w:ascii="Arial" w:hAnsi="Arial" w:cs="Arial"/>
          <w:b/>
          <w:bCs/>
          <w:sz w:val="28"/>
          <w:szCs w:val="28"/>
        </w:rPr>
        <w:t>: Comparison of post-primary anti-S1 and anti-S2 to young children age in months</w:t>
      </w:r>
    </w:p>
    <w:p w14:paraId="40DD67A0" w14:textId="77777777" w:rsidR="006E1C70" w:rsidRDefault="006E1C70" w:rsidP="006E1C70">
      <w:pPr>
        <w:pStyle w:val="NormalWeb"/>
        <w:spacing w:before="0" w:beforeAutospacing="0" w:line="360" w:lineRule="auto"/>
        <w:rPr>
          <w:rFonts w:ascii="Arial" w:hAnsi="Arial" w:cs="Arial"/>
          <w:sz w:val="28"/>
          <w:szCs w:val="28"/>
        </w:rPr>
      </w:pPr>
      <w:r w:rsidRPr="006E1C70">
        <w:rPr>
          <w:rFonts w:ascii="Arial" w:hAnsi="Arial" w:cs="Arial"/>
          <w:sz w:val="28"/>
          <w:szCs w:val="28"/>
        </w:rPr>
        <w:t xml:space="preserve">Correlation of post-vaccination timepoint </w:t>
      </w:r>
      <w:r w:rsidRPr="006E1C70">
        <w:rPr>
          <w:rFonts w:ascii="Arial" w:hAnsi="Arial" w:cs="Arial"/>
          <w:b/>
          <w:bCs/>
          <w:sz w:val="28"/>
          <w:szCs w:val="28"/>
        </w:rPr>
        <w:t>A)</w:t>
      </w:r>
      <w:r w:rsidRPr="006E1C70">
        <w:rPr>
          <w:rFonts w:ascii="Arial" w:hAnsi="Arial" w:cs="Arial"/>
          <w:sz w:val="28"/>
          <w:szCs w:val="28"/>
        </w:rPr>
        <w:t xml:space="preserve"> anti-S1 </w:t>
      </w:r>
      <w:r w:rsidRPr="006E1C70">
        <w:rPr>
          <w:rFonts w:ascii="Arial" w:hAnsi="Arial" w:cs="Arial"/>
          <w:b/>
          <w:bCs/>
          <w:sz w:val="28"/>
          <w:szCs w:val="28"/>
        </w:rPr>
        <w:t>B)</w:t>
      </w:r>
      <w:r w:rsidRPr="006E1C70">
        <w:rPr>
          <w:rFonts w:ascii="Arial" w:hAnsi="Arial" w:cs="Arial"/>
          <w:sz w:val="28"/>
          <w:szCs w:val="28"/>
        </w:rPr>
        <w:t xml:space="preserve"> anti-S2 IgG MFI levels by age in months, with infants with MatAb(+) in teal and MatAb(-) children in mauve. Line represents spline for visualization only, statistical correlation by spearman’s rank correlation coefficient. Post-primary series </w:t>
      </w:r>
      <w:r w:rsidRPr="006E1C70">
        <w:rPr>
          <w:rFonts w:ascii="Arial" w:hAnsi="Arial" w:cs="Arial"/>
          <w:b/>
          <w:bCs/>
          <w:sz w:val="28"/>
          <w:szCs w:val="28"/>
        </w:rPr>
        <w:t>C</w:t>
      </w:r>
      <w:r w:rsidRPr="006E1C70">
        <w:rPr>
          <w:rFonts w:ascii="Arial" w:hAnsi="Arial" w:cs="Arial"/>
          <w:sz w:val="28"/>
          <w:szCs w:val="28"/>
        </w:rPr>
        <w:t xml:space="preserve">) Anti-S1 </w:t>
      </w:r>
      <w:r w:rsidRPr="006E1C70">
        <w:rPr>
          <w:rFonts w:ascii="Arial" w:hAnsi="Arial" w:cs="Arial"/>
          <w:b/>
          <w:bCs/>
          <w:sz w:val="28"/>
          <w:szCs w:val="28"/>
        </w:rPr>
        <w:t>D</w:t>
      </w:r>
      <w:r w:rsidRPr="006E1C70">
        <w:rPr>
          <w:rFonts w:ascii="Arial" w:hAnsi="Arial" w:cs="Arial"/>
          <w:sz w:val="28"/>
          <w:szCs w:val="28"/>
        </w:rPr>
        <w:t>) anti-S2 IgG MFI levels stratified by age groups: 6-12 months (n=28), 12-18 months (n=10), 18-24 months (n=5), 24-36 months (n=5), 36-48 months (n=3), 48-60 months (n=4). Circles color by exposure group. Two-sided </w:t>
      </w:r>
      <w:r w:rsidRPr="006E1C70">
        <w:rPr>
          <w:rFonts w:ascii="Arial" w:hAnsi="Arial" w:cs="Arial"/>
          <w:i/>
          <w:iCs/>
          <w:sz w:val="28"/>
          <w:szCs w:val="28"/>
        </w:rPr>
        <w:t>p</w:t>
      </w:r>
      <w:r w:rsidRPr="006E1C70">
        <w:rPr>
          <w:rFonts w:ascii="Arial" w:hAnsi="Arial" w:cs="Arial"/>
          <w:sz w:val="28"/>
          <w:szCs w:val="28"/>
        </w:rPr>
        <w:t xml:space="preserve"> values were calculated for all test statistics by Mann-Whitney U test, p&lt;0.05 was considered significant. </w:t>
      </w:r>
    </w:p>
    <w:p w14:paraId="5E65BDCC" w14:textId="77777777" w:rsidR="00C512F5" w:rsidRDefault="00C512F5" w:rsidP="006E1C70">
      <w:pPr>
        <w:pStyle w:val="NormalWeb"/>
        <w:spacing w:before="0" w:beforeAutospacing="0" w:line="360" w:lineRule="auto"/>
        <w:rPr>
          <w:rFonts w:ascii="Arial" w:hAnsi="Arial" w:cs="Arial"/>
          <w:sz w:val="28"/>
          <w:szCs w:val="28"/>
        </w:rPr>
      </w:pPr>
    </w:p>
    <w:p w14:paraId="2C5CDC42" w14:textId="77777777" w:rsidR="00C512F5" w:rsidRDefault="00C512F5" w:rsidP="006E1C70">
      <w:pPr>
        <w:pStyle w:val="NormalWeb"/>
        <w:spacing w:before="0" w:beforeAutospacing="0" w:line="360" w:lineRule="auto"/>
        <w:rPr>
          <w:rFonts w:ascii="Arial" w:hAnsi="Arial" w:cs="Arial"/>
          <w:sz w:val="28"/>
          <w:szCs w:val="28"/>
        </w:rPr>
      </w:pPr>
    </w:p>
    <w:p w14:paraId="2503A1C1" w14:textId="77777777" w:rsidR="00C512F5" w:rsidRDefault="00C512F5" w:rsidP="006E1C70">
      <w:pPr>
        <w:pStyle w:val="NormalWeb"/>
        <w:spacing w:before="0" w:beforeAutospacing="0" w:line="360" w:lineRule="auto"/>
        <w:rPr>
          <w:rFonts w:ascii="Arial" w:hAnsi="Arial" w:cs="Arial"/>
          <w:sz w:val="28"/>
          <w:szCs w:val="28"/>
        </w:rPr>
      </w:pPr>
    </w:p>
    <w:p w14:paraId="1A592F20" w14:textId="36443764" w:rsidR="00C512F5" w:rsidRPr="006E1C70" w:rsidRDefault="00C512F5" w:rsidP="006E1C70">
      <w:pPr>
        <w:pStyle w:val="NormalWeb"/>
        <w:spacing w:before="0" w:beforeAutospacing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14:ligatures w14:val="standardContextual"/>
        </w:rPr>
        <w:drawing>
          <wp:inline distT="0" distB="0" distL="0" distR="0" wp14:anchorId="720DCB9F" wp14:editId="23A48D48">
            <wp:extent cx="6980554" cy="3938494"/>
            <wp:effectExtent l="0" t="0" r="0" b="0"/>
            <wp:docPr id="151032594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325949" name="Picture 151032594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2650" cy="3950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D2D23" w14:textId="750619DA" w:rsidR="006E1C70" w:rsidRPr="006E1C70" w:rsidRDefault="005A51C1" w:rsidP="006E1C70">
      <w:pPr>
        <w:pStyle w:val="NormalWeb"/>
        <w:tabs>
          <w:tab w:val="left" w:pos="7560"/>
        </w:tabs>
        <w:spacing w:before="0" w:beforeAutospacing="0" w:line="360" w:lineRule="auto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Supplementary </w:t>
      </w:r>
      <w:r w:rsidRPr="006E1C70">
        <w:rPr>
          <w:rFonts w:ascii="Arial" w:hAnsi="Arial" w:cs="Arial"/>
          <w:b/>
          <w:bCs/>
          <w:sz w:val="28"/>
          <w:szCs w:val="28"/>
        </w:rPr>
        <w:t xml:space="preserve">Figure </w:t>
      </w:r>
      <w:r>
        <w:rPr>
          <w:rFonts w:ascii="Arial" w:hAnsi="Arial" w:cs="Arial"/>
          <w:b/>
          <w:bCs/>
          <w:sz w:val="28"/>
          <w:szCs w:val="28"/>
        </w:rPr>
        <w:t>5</w:t>
      </w:r>
      <w:r w:rsidR="006E1C70" w:rsidRPr="006E1C70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: </w:t>
      </w:r>
      <w:r w:rsidR="006E1C70" w:rsidRPr="006E1C70">
        <w:rPr>
          <w:rFonts w:ascii="Arial" w:hAnsi="Arial" w:cs="Arial"/>
          <w:b/>
          <w:bCs/>
          <w:sz w:val="28"/>
          <w:szCs w:val="28"/>
        </w:rPr>
        <w:t>Post-vaccination anti-S1 and anti-S2 IgG responses by biological sex and vaccine type</w:t>
      </w:r>
    </w:p>
    <w:p w14:paraId="28193A2F" w14:textId="77777777" w:rsidR="006E1C70" w:rsidRDefault="006E1C70" w:rsidP="006E1C70">
      <w:pPr>
        <w:pStyle w:val="NormalWeb"/>
        <w:tabs>
          <w:tab w:val="left" w:pos="7560"/>
        </w:tabs>
        <w:spacing w:before="0" w:beforeAutospacing="0" w:line="360" w:lineRule="auto"/>
        <w:rPr>
          <w:rFonts w:ascii="Arial" w:hAnsi="Arial" w:cs="Arial"/>
          <w:sz w:val="28"/>
          <w:szCs w:val="28"/>
        </w:rPr>
      </w:pPr>
      <w:r w:rsidRPr="006E1C70">
        <w:rPr>
          <w:rFonts w:ascii="Arial" w:hAnsi="Arial" w:cs="Arial"/>
          <w:sz w:val="28"/>
          <w:szCs w:val="28"/>
        </w:rPr>
        <w:t xml:space="preserve">Post-primary series </w:t>
      </w:r>
      <w:r w:rsidRPr="006E1C70">
        <w:rPr>
          <w:rFonts w:ascii="Arial" w:hAnsi="Arial" w:cs="Arial"/>
          <w:b/>
          <w:bCs/>
          <w:sz w:val="28"/>
          <w:szCs w:val="28"/>
        </w:rPr>
        <w:t>A</w:t>
      </w:r>
      <w:r w:rsidRPr="006E1C70">
        <w:rPr>
          <w:rFonts w:ascii="Arial" w:hAnsi="Arial" w:cs="Arial"/>
          <w:sz w:val="28"/>
          <w:szCs w:val="28"/>
        </w:rPr>
        <w:t xml:space="preserve">) anti-S1 and </w:t>
      </w:r>
      <w:r w:rsidRPr="006E1C70">
        <w:rPr>
          <w:rFonts w:ascii="Arial" w:hAnsi="Arial" w:cs="Arial"/>
          <w:b/>
          <w:bCs/>
          <w:sz w:val="28"/>
          <w:szCs w:val="28"/>
        </w:rPr>
        <w:t>B</w:t>
      </w:r>
      <w:r w:rsidRPr="006E1C70">
        <w:rPr>
          <w:rFonts w:ascii="Arial" w:hAnsi="Arial" w:cs="Arial"/>
          <w:sz w:val="28"/>
          <w:szCs w:val="28"/>
        </w:rPr>
        <w:t xml:space="preserve">) anti-S2 IgG levels by biological sex stratified by exposure group. Box and whisker plots represent median with IQR with participant data points. Groups include: COVID-19 naïve MatAb(+) (Male (n)= 13, Female (n)= 8), Hybrid immunity MatAb(+) (Male (n)= 5, Female (n)= 1, COVID-19 naïve MatAb(-) (Male (n)= 12, Female (n)= 3), and Hybrid immunity MatAb(-) (Male (n)= 7, Female (n)= 5). </w:t>
      </w:r>
      <w:r w:rsidRPr="006E1C70">
        <w:rPr>
          <w:rFonts w:ascii="Arial" w:hAnsi="Arial" w:cs="Arial"/>
          <w:b/>
          <w:bCs/>
          <w:sz w:val="28"/>
          <w:szCs w:val="28"/>
        </w:rPr>
        <w:t xml:space="preserve"> </w:t>
      </w:r>
      <w:r w:rsidRPr="006E1C70">
        <w:rPr>
          <w:rFonts w:ascii="Arial" w:hAnsi="Arial" w:cs="Arial"/>
          <w:sz w:val="28"/>
          <w:szCs w:val="28"/>
        </w:rPr>
        <w:t>Post-</w:t>
      </w:r>
      <w:r w:rsidRPr="006E1C70">
        <w:rPr>
          <w:rFonts w:ascii="Arial" w:hAnsi="Arial" w:cs="Arial"/>
          <w:sz w:val="28"/>
          <w:szCs w:val="28"/>
        </w:rPr>
        <w:lastRenderedPageBreak/>
        <w:t xml:space="preserve">primary series </w:t>
      </w:r>
      <w:r w:rsidRPr="006E1C70">
        <w:rPr>
          <w:rFonts w:ascii="Arial" w:hAnsi="Arial" w:cs="Arial"/>
          <w:b/>
          <w:bCs/>
          <w:sz w:val="28"/>
          <w:szCs w:val="28"/>
        </w:rPr>
        <w:t>C</w:t>
      </w:r>
      <w:r w:rsidRPr="006E1C70">
        <w:rPr>
          <w:rFonts w:ascii="Arial" w:hAnsi="Arial" w:cs="Arial"/>
          <w:sz w:val="28"/>
          <w:szCs w:val="28"/>
        </w:rPr>
        <w:t xml:space="preserve">) anti-S1 and </w:t>
      </w:r>
      <w:r w:rsidRPr="006E1C70">
        <w:rPr>
          <w:rFonts w:ascii="Arial" w:hAnsi="Arial" w:cs="Arial"/>
          <w:b/>
          <w:bCs/>
          <w:sz w:val="28"/>
          <w:szCs w:val="28"/>
        </w:rPr>
        <w:t>D</w:t>
      </w:r>
      <w:r w:rsidRPr="006E1C70">
        <w:rPr>
          <w:rFonts w:ascii="Arial" w:hAnsi="Arial" w:cs="Arial"/>
          <w:sz w:val="28"/>
          <w:szCs w:val="28"/>
        </w:rPr>
        <w:t>) anti-S2 IgG levels by vaccine manufacturer: MatAb(+) infants who received Moderna (n = 11) or Pfizer (n = 16) and MatAb(-) infants who received Moderna (n = 24) or Pfizer (n = 4). Statistical analyses for biological sex and vaccine manufacturer were performed and two-sided </w:t>
      </w:r>
      <w:r w:rsidRPr="006E1C70">
        <w:rPr>
          <w:rFonts w:ascii="Arial" w:hAnsi="Arial" w:cs="Arial"/>
          <w:i/>
          <w:iCs/>
          <w:sz w:val="28"/>
          <w:szCs w:val="28"/>
        </w:rPr>
        <w:t>p</w:t>
      </w:r>
      <w:r w:rsidRPr="006E1C70">
        <w:rPr>
          <w:rFonts w:ascii="Arial" w:hAnsi="Arial" w:cs="Arial"/>
          <w:sz w:val="28"/>
          <w:szCs w:val="28"/>
        </w:rPr>
        <w:t> values were calculated for all test statistics by Mann-Whitney U test, p&lt;0.05 was considered significant.</w:t>
      </w:r>
    </w:p>
    <w:p w14:paraId="2F152CBE" w14:textId="77777777" w:rsidR="00C512F5" w:rsidRDefault="00C512F5" w:rsidP="006E1C70">
      <w:pPr>
        <w:pStyle w:val="NormalWeb"/>
        <w:tabs>
          <w:tab w:val="left" w:pos="7560"/>
        </w:tabs>
        <w:spacing w:before="0" w:beforeAutospacing="0" w:line="360" w:lineRule="auto"/>
        <w:rPr>
          <w:rFonts w:ascii="Arial" w:hAnsi="Arial" w:cs="Arial"/>
          <w:sz w:val="28"/>
          <w:szCs w:val="28"/>
        </w:rPr>
      </w:pPr>
    </w:p>
    <w:p w14:paraId="6586E3BF" w14:textId="20BC9DC7" w:rsidR="00C512F5" w:rsidRPr="006E1C70" w:rsidRDefault="00C512F5" w:rsidP="006E1C70">
      <w:pPr>
        <w:pStyle w:val="NormalWeb"/>
        <w:tabs>
          <w:tab w:val="left" w:pos="7560"/>
        </w:tabs>
        <w:spacing w:before="0" w:beforeAutospacing="0" w:line="360" w:lineRule="auto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/>
          <w:b/>
          <w:bCs/>
          <w:noProof/>
          <w:color w:val="000000" w:themeColor="text1"/>
          <w:sz w:val="28"/>
          <w:szCs w:val="28"/>
          <w14:ligatures w14:val="standardContextual"/>
        </w:rPr>
        <w:drawing>
          <wp:inline distT="0" distB="0" distL="0" distR="0" wp14:anchorId="7EFD8F71" wp14:editId="72DC1B96">
            <wp:extent cx="5943600" cy="3321050"/>
            <wp:effectExtent l="0" t="0" r="0" b="6350"/>
            <wp:docPr id="77123949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239497" name="Picture 77123949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2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D9E5D4" w14:textId="2BF3B7E4" w:rsidR="006E1C70" w:rsidRPr="006E1C70" w:rsidRDefault="005A51C1" w:rsidP="006E1C70">
      <w:pPr>
        <w:pStyle w:val="NormalWeb"/>
        <w:spacing w:line="36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Supplementary </w:t>
      </w:r>
      <w:r w:rsidRPr="006E1C70">
        <w:rPr>
          <w:rFonts w:ascii="Arial" w:hAnsi="Arial" w:cs="Arial"/>
          <w:b/>
          <w:bCs/>
          <w:sz w:val="28"/>
          <w:szCs w:val="28"/>
        </w:rPr>
        <w:t xml:space="preserve">Figure </w:t>
      </w:r>
      <w:r>
        <w:rPr>
          <w:rFonts w:ascii="Arial" w:hAnsi="Arial" w:cs="Arial"/>
          <w:b/>
          <w:bCs/>
          <w:sz w:val="28"/>
          <w:szCs w:val="28"/>
        </w:rPr>
        <w:t>6</w:t>
      </w:r>
      <w:r w:rsidR="006E1C70" w:rsidRPr="006E1C70">
        <w:rPr>
          <w:rFonts w:ascii="Arial" w:hAnsi="Arial" w:cs="Arial"/>
          <w:b/>
          <w:bCs/>
          <w:sz w:val="28"/>
          <w:szCs w:val="28"/>
        </w:rPr>
        <w:t xml:space="preserve">: Longitudinal pediatric SARS-CoV-2 IgA and IgM antibody responses. </w:t>
      </w:r>
    </w:p>
    <w:p w14:paraId="4452DE2A" w14:textId="77777777" w:rsidR="006E1C70" w:rsidRPr="006E1C70" w:rsidRDefault="006E1C70" w:rsidP="006E1C70">
      <w:pPr>
        <w:pStyle w:val="NormalWeb"/>
        <w:spacing w:line="360" w:lineRule="auto"/>
        <w:rPr>
          <w:rFonts w:ascii="Arial" w:hAnsi="Arial" w:cs="Arial"/>
          <w:sz w:val="28"/>
          <w:szCs w:val="28"/>
        </w:rPr>
      </w:pPr>
      <w:r w:rsidRPr="006E1C70">
        <w:rPr>
          <w:rFonts w:ascii="Arial" w:hAnsi="Arial" w:cs="Arial"/>
          <w:color w:val="000000" w:themeColor="text1"/>
          <w:sz w:val="28"/>
          <w:szCs w:val="28"/>
        </w:rPr>
        <w:t xml:space="preserve">Longitudinal connected antibody levels (MFI) by pediatric participant of </w:t>
      </w:r>
      <w:r w:rsidRPr="006E1C70">
        <w:rPr>
          <w:rFonts w:ascii="Arial" w:hAnsi="Arial" w:cs="Arial"/>
          <w:b/>
          <w:bCs/>
          <w:sz w:val="28"/>
          <w:szCs w:val="28"/>
        </w:rPr>
        <w:t>A)</w:t>
      </w:r>
      <w:r w:rsidRPr="006E1C70">
        <w:rPr>
          <w:rFonts w:ascii="Arial" w:hAnsi="Arial" w:cs="Arial"/>
          <w:sz w:val="28"/>
          <w:szCs w:val="28"/>
        </w:rPr>
        <w:t xml:space="preserve"> Anti-RBD IgA </w:t>
      </w:r>
      <w:r w:rsidRPr="006E1C70">
        <w:rPr>
          <w:rFonts w:ascii="Arial" w:hAnsi="Arial" w:cs="Arial"/>
          <w:b/>
          <w:bCs/>
          <w:sz w:val="28"/>
          <w:szCs w:val="28"/>
        </w:rPr>
        <w:t>(B)</w:t>
      </w:r>
      <w:r w:rsidRPr="006E1C70">
        <w:rPr>
          <w:rFonts w:ascii="Arial" w:hAnsi="Arial" w:cs="Arial"/>
          <w:sz w:val="28"/>
          <w:szCs w:val="28"/>
        </w:rPr>
        <w:t xml:space="preserve"> Anti-N IgA </w:t>
      </w:r>
      <w:r w:rsidRPr="006E1C70">
        <w:rPr>
          <w:rFonts w:ascii="Arial" w:hAnsi="Arial" w:cs="Arial"/>
          <w:b/>
          <w:bCs/>
          <w:sz w:val="28"/>
          <w:szCs w:val="28"/>
        </w:rPr>
        <w:t>(C)</w:t>
      </w:r>
      <w:r w:rsidRPr="006E1C70">
        <w:rPr>
          <w:rFonts w:ascii="Arial" w:hAnsi="Arial" w:cs="Arial"/>
          <w:sz w:val="28"/>
          <w:szCs w:val="28"/>
        </w:rPr>
        <w:t xml:space="preserve"> Anti-RBD IgM </w:t>
      </w:r>
      <w:r w:rsidRPr="006E1C70">
        <w:rPr>
          <w:rFonts w:ascii="Arial" w:hAnsi="Arial" w:cs="Arial"/>
          <w:b/>
          <w:bCs/>
          <w:sz w:val="28"/>
          <w:szCs w:val="28"/>
        </w:rPr>
        <w:t>(D)</w:t>
      </w:r>
      <w:r w:rsidRPr="006E1C70">
        <w:rPr>
          <w:rFonts w:ascii="Arial" w:hAnsi="Arial" w:cs="Arial"/>
          <w:sz w:val="28"/>
          <w:szCs w:val="28"/>
        </w:rPr>
        <w:t xml:space="preserve"> Anti-N IgM</w:t>
      </w:r>
      <w:r w:rsidRPr="006E1C70">
        <w:rPr>
          <w:rFonts w:ascii="Arial" w:hAnsi="Arial" w:cs="Arial"/>
          <w:color w:val="000000" w:themeColor="text1"/>
          <w:sz w:val="28"/>
          <w:szCs w:val="28"/>
        </w:rPr>
        <w:t xml:space="preserve"> from pre-vaccine to two-year follow-up time point across participants either COVID-19 naïve or Hybrid-immunity (infection status determined prior to primary vaccine follow-up timepoint). </w:t>
      </w:r>
      <w:r w:rsidRPr="006E1C70">
        <w:rPr>
          <w:rFonts w:ascii="Arial" w:hAnsi="Arial" w:cs="Arial"/>
          <w:sz w:val="28"/>
          <w:szCs w:val="28"/>
        </w:rPr>
        <w:t xml:space="preserve">Horizontal dashed lines indicate seropositive </w:t>
      </w:r>
      <w:r w:rsidRPr="006E1C70">
        <w:rPr>
          <w:rFonts w:ascii="Arial" w:hAnsi="Arial" w:cs="Arial"/>
          <w:sz w:val="28"/>
          <w:szCs w:val="28"/>
        </w:rPr>
        <w:lastRenderedPageBreak/>
        <w:t xml:space="preserve">cut off values (Anti-RBD IgA: [100] MFI; Anti-RBD IgM: [650] MFI; Anti-N IgA: [75] MFI; Anti-N IgM: [250] MFI). </w:t>
      </w:r>
    </w:p>
    <w:p w14:paraId="10F1185A" w14:textId="77777777" w:rsidR="006E1C70" w:rsidRPr="006E1C70" w:rsidRDefault="006E1C70" w:rsidP="006E1C70">
      <w:pPr>
        <w:rPr>
          <w:rFonts w:ascii="Arial" w:hAnsi="Arial" w:cs="Arial"/>
          <w:b/>
          <w:bCs/>
          <w:sz w:val="28"/>
          <w:szCs w:val="28"/>
        </w:rPr>
      </w:pPr>
    </w:p>
    <w:p w14:paraId="449ED918" w14:textId="77777777" w:rsidR="006E1C70" w:rsidRPr="006E1C70" w:rsidRDefault="006E1C70" w:rsidP="006E1C70">
      <w:pPr>
        <w:rPr>
          <w:rFonts w:ascii="Arial" w:hAnsi="Arial" w:cs="Arial"/>
          <w:b/>
          <w:bCs/>
          <w:sz w:val="28"/>
          <w:szCs w:val="28"/>
        </w:rPr>
      </w:pPr>
    </w:p>
    <w:p w14:paraId="2DE74CC1" w14:textId="2BA6199F" w:rsidR="006E1C70" w:rsidRPr="006E1C70" w:rsidRDefault="005A51C1" w:rsidP="006E1C70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Supplementary Table </w:t>
      </w:r>
      <w:r w:rsidR="006E1C70" w:rsidRPr="006E1C70">
        <w:rPr>
          <w:rFonts w:ascii="Arial" w:hAnsi="Arial" w:cs="Arial"/>
          <w:b/>
          <w:bCs/>
          <w:sz w:val="28"/>
          <w:szCs w:val="28"/>
        </w:rPr>
        <w:t>1:</w:t>
      </w:r>
      <w:r w:rsidR="006E1C70" w:rsidRPr="006E1C70">
        <w:rPr>
          <w:rFonts w:ascii="Arial" w:hAnsi="Arial" w:cs="Arial"/>
          <w:sz w:val="28"/>
          <w:szCs w:val="28"/>
        </w:rPr>
        <w:t xml:space="preserve"> </w:t>
      </w:r>
      <w:r w:rsidR="006E1C70" w:rsidRPr="006E1C70">
        <w:rPr>
          <w:rFonts w:ascii="Arial" w:hAnsi="Arial" w:cs="Arial"/>
          <w:b/>
          <w:bCs/>
          <w:sz w:val="28"/>
          <w:szCs w:val="28"/>
        </w:rPr>
        <w:t>Parameter values from fitted segmented mixed effect linear regression models.</w:t>
      </w:r>
    </w:p>
    <w:tbl>
      <w:tblPr>
        <w:tblStyle w:val="TableGrid"/>
        <w:tblW w:w="10349" w:type="dxa"/>
        <w:tblLook w:val="04A0" w:firstRow="1" w:lastRow="0" w:firstColumn="1" w:lastColumn="0" w:noHBand="0" w:noVBand="1"/>
      </w:tblPr>
      <w:tblGrid>
        <w:gridCol w:w="2716"/>
        <w:gridCol w:w="3266"/>
        <w:gridCol w:w="3267"/>
        <w:gridCol w:w="1100"/>
      </w:tblGrid>
      <w:tr w:rsidR="006E1C70" w:rsidRPr="006E1C70" w14:paraId="313171EA" w14:textId="77777777" w:rsidTr="000863C8">
        <w:trPr>
          <w:trHeight w:val="304"/>
        </w:trPr>
        <w:tc>
          <w:tcPr>
            <w:tcW w:w="2716" w:type="dxa"/>
          </w:tcPr>
          <w:p w14:paraId="1D784F13" w14:textId="77777777" w:rsidR="006E1C70" w:rsidRPr="006E1C70" w:rsidRDefault="006E1C70" w:rsidP="000863C8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E1C70">
              <w:rPr>
                <w:rFonts w:ascii="Arial" w:hAnsi="Arial" w:cs="Arial"/>
                <w:b/>
                <w:bCs/>
                <w:sz w:val="28"/>
                <w:szCs w:val="28"/>
              </w:rPr>
              <w:t>Parameter</w:t>
            </w:r>
          </w:p>
        </w:tc>
        <w:tc>
          <w:tcPr>
            <w:tcW w:w="3266" w:type="dxa"/>
          </w:tcPr>
          <w:p w14:paraId="2B7E3FE7" w14:textId="77777777" w:rsidR="006E1C70" w:rsidRPr="006E1C70" w:rsidRDefault="006E1C70" w:rsidP="000863C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E1C70">
              <w:rPr>
                <w:rFonts w:ascii="Arial" w:hAnsi="Arial" w:cs="Arial"/>
                <w:b/>
                <w:bCs/>
                <w:sz w:val="28"/>
                <w:szCs w:val="28"/>
              </w:rPr>
              <w:t>Estimated value for MatAb(-)</w:t>
            </w:r>
          </w:p>
        </w:tc>
        <w:tc>
          <w:tcPr>
            <w:tcW w:w="3266" w:type="dxa"/>
          </w:tcPr>
          <w:p w14:paraId="25665D02" w14:textId="77777777" w:rsidR="006E1C70" w:rsidRPr="006E1C70" w:rsidRDefault="006E1C70" w:rsidP="000863C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E1C70">
              <w:rPr>
                <w:rFonts w:ascii="Arial" w:hAnsi="Arial" w:cs="Arial"/>
                <w:b/>
                <w:bCs/>
                <w:sz w:val="28"/>
                <w:szCs w:val="28"/>
              </w:rPr>
              <w:t>Estimated value for MatAb(+)</w:t>
            </w:r>
          </w:p>
        </w:tc>
        <w:tc>
          <w:tcPr>
            <w:tcW w:w="1098" w:type="dxa"/>
          </w:tcPr>
          <w:p w14:paraId="630AD244" w14:textId="77777777" w:rsidR="006E1C70" w:rsidRPr="006E1C70" w:rsidRDefault="006E1C70" w:rsidP="000863C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E1C70">
              <w:rPr>
                <w:rFonts w:ascii="Arial" w:hAnsi="Arial" w:cs="Arial"/>
                <w:b/>
                <w:bCs/>
                <w:sz w:val="28"/>
                <w:szCs w:val="28"/>
              </w:rPr>
              <w:t>p-value</w:t>
            </w:r>
          </w:p>
        </w:tc>
      </w:tr>
      <w:tr w:rsidR="006E1C70" w:rsidRPr="006E1C70" w14:paraId="0781B227" w14:textId="77777777" w:rsidTr="000863C8">
        <w:trPr>
          <w:trHeight w:val="304"/>
        </w:trPr>
        <w:tc>
          <w:tcPr>
            <w:tcW w:w="10349" w:type="dxa"/>
            <w:gridSpan w:val="4"/>
          </w:tcPr>
          <w:p w14:paraId="50EBF779" w14:textId="77777777" w:rsidR="006E1C70" w:rsidRPr="006E1C70" w:rsidRDefault="006E1C70" w:rsidP="000863C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E1C7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                       Anti-RBD</w:t>
            </w:r>
          </w:p>
        </w:tc>
      </w:tr>
      <w:tr w:rsidR="006E1C70" w:rsidRPr="006E1C70" w14:paraId="3652765E" w14:textId="77777777" w:rsidTr="000863C8">
        <w:trPr>
          <w:trHeight w:val="290"/>
        </w:trPr>
        <w:tc>
          <w:tcPr>
            <w:tcW w:w="2716" w:type="dxa"/>
          </w:tcPr>
          <w:p w14:paraId="159C49CD" w14:textId="77777777" w:rsidR="006E1C70" w:rsidRPr="006E1C70" w:rsidRDefault="006E1C70" w:rsidP="000863C8">
            <w:pPr>
              <w:rPr>
                <w:rFonts w:ascii="Arial" w:hAnsi="Arial" w:cs="Arial"/>
                <w:sz w:val="28"/>
                <w:szCs w:val="28"/>
              </w:rPr>
            </w:pPr>
            <w:r w:rsidRPr="006E1C70">
              <w:rPr>
                <w:rFonts w:ascii="Arial" w:hAnsi="Arial" w:cs="Arial"/>
                <w:sz w:val="28"/>
                <w:szCs w:val="28"/>
              </w:rPr>
              <w:t>Breakpoint (days)</w:t>
            </w:r>
          </w:p>
        </w:tc>
        <w:tc>
          <w:tcPr>
            <w:tcW w:w="6533" w:type="dxa"/>
            <w:gridSpan w:val="2"/>
          </w:tcPr>
          <w:p w14:paraId="27C809D4" w14:textId="77777777" w:rsidR="006E1C70" w:rsidRPr="006E1C70" w:rsidRDefault="006E1C70" w:rsidP="000863C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E1C70">
              <w:rPr>
                <w:rFonts w:ascii="Arial" w:hAnsi="Arial" w:cs="Arial"/>
                <w:sz w:val="28"/>
                <w:szCs w:val="28"/>
              </w:rPr>
              <w:t>56.5 (42.6 to 70.3)</w:t>
            </w:r>
          </w:p>
        </w:tc>
        <w:tc>
          <w:tcPr>
            <w:tcW w:w="1098" w:type="dxa"/>
          </w:tcPr>
          <w:p w14:paraId="402DC103" w14:textId="77777777" w:rsidR="006E1C70" w:rsidRPr="006E1C70" w:rsidRDefault="006E1C70" w:rsidP="000863C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E1C70">
              <w:rPr>
                <w:rFonts w:ascii="Arial" w:hAnsi="Arial" w:cs="Arial"/>
                <w:sz w:val="28"/>
                <w:szCs w:val="28"/>
              </w:rPr>
              <w:t>N/A</w:t>
            </w:r>
          </w:p>
        </w:tc>
      </w:tr>
      <w:tr w:rsidR="006E1C70" w:rsidRPr="006E1C70" w14:paraId="0D8630D0" w14:textId="77777777" w:rsidTr="000863C8">
        <w:trPr>
          <w:trHeight w:val="913"/>
        </w:trPr>
        <w:tc>
          <w:tcPr>
            <w:tcW w:w="2716" w:type="dxa"/>
          </w:tcPr>
          <w:p w14:paraId="1493CBAB" w14:textId="77777777" w:rsidR="006E1C70" w:rsidRPr="006E1C70" w:rsidRDefault="006E1C70" w:rsidP="000863C8">
            <w:pPr>
              <w:rPr>
                <w:rFonts w:ascii="Arial" w:hAnsi="Arial" w:cs="Arial"/>
                <w:sz w:val="28"/>
                <w:szCs w:val="28"/>
              </w:rPr>
            </w:pPr>
            <w:r w:rsidRPr="006E1C70">
              <w:rPr>
                <w:rFonts w:ascii="Arial" w:hAnsi="Arial" w:cs="Arial"/>
                <w:sz w:val="28"/>
                <w:szCs w:val="28"/>
              </w:rPr>
              <w:t>Rate of antibody change before breakpoint (unit/day)</w:t>
            </w:r>
          </w:p>
        </w:tc>
        <w:tc>
          <w:tcPr>
            <w:tcW w:w="3266" w:type="dxa"/>
          </w:tcPr>
          <w:p w14:paraId="04F91898" w14:textId="77777777" w:rsidR="006E1C70" w:rsidRPr="006E1C70" w:rsidRDefault="006E1C70" w:rsidP="000863C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E1C70">
              <w:rPr>
                <w:rFonts w:ascii="Arial" w:hAnsi="Arial" w:cs="Arial"/>
                <w:sz w:val="28"/>
                <w:szCs w:val="28"/>
              </w:rPr>
              <w:t>157.6 (124.3 to 190.8)</w:t>
            </w:r>
          </w:p>
        </w:tc>
        <w:tc>
          <w:tcPr>
            <w:tcW w:w="3266" w:type="dxa"/>
          </w:tcPr>
          <w:p w14:paraId="63313EE8" w14:textId="77777777" w:rsidR="006E1C70" w:rsidRPr="006E1C70" w:rsidRDefault="006E1C70" w:rsidP="000863C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E1C70">
              <w:rPr>
                <w:rFonts w:ascii="Arial" w:hAnsi="Arial" w:cs="Arial"/>
                <w:sz w:val="28"/>
                <w:szCs w:val="28"/>
              </w:rPr>
              <w:t>116.9 (82.1 to 151.7)</w:t>
            </w:r>
          </w:p>
        </w:tc>
        <w:tc>
          <w:tcPr>
            <w:tcW w:w="1098" w:type="dxa"/>
            <w:vMerge w:val="restart"/>
          </w:tcPr>
          <w:p w14:paraId="73473341" w14:textId="77777777" w:rsidR="006E1C70" w:rsidRPr="006E1C70" w:rsidRDefault="006E1C70" w:rsidP="000863C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E1C70">
              <w:rPr>
                <w:rFonts w:ascii="Arial" w:hAnsi="Arial" w:cs="Arial"/>
                <w:b/>
                <w:bCs/>
                <w:sz w:val="28"/>
                <w:szCs w:val="28"/>
              </w:rPr>
              <w:t>&lt;0.001</w:t>
            </w:r>
          </w:p>
        </w:tc>
      </w:tr>
      <w:tr w:rsidR="006E1C70" w:rsidRPr="006E1C70" w14:paraId="519C3E58" w14:textId="77777777" w:rsidTr="000863C8">
        <w:trPr>
          <w:trHeight w:val="913"/>
        </w:trPr>
        <w:tc>
          <w:tcPr>
            <w:tcW w:w="2716" w:type="dxa"/>
          </w:tcPr>
          <w:p w14:paraId="700B5A20" w14:textId="77777777" w:rsidR="006E1C70" w:rsidRPr="006E1C70" w:rsidRDefault="006E1C70" w:rsidP="000863C8">
            <w:pPr>
              <w:rPr>
                <w:rFonts w:ascii="Arial" w:hAnsi="Arial" w:cs="Arial"/>
                <w:sz w:val="28"/>
                <w:szCs w:val="28"/>
              </w:rPr>
            </w:pPr>
            <w:r w:rsidRPr="006E1C70">
              <w:rPr>
                <w:rFonts w:ascii="Arial" w:hAnsi="Arial" w:cs="Arial"/>
                <w:sz w:val="28"/>
                <w:szCs w:val="28"/>
              </w:rPr>
              <w:t>Rate of antibody change after breakpoint (unit/day)</w:t>
            </w:r>
          </w:p>
        </w:tc>
        <w:tc>
          <w:tcPr>
            <w:tcW w:w="3266" w:type="dxa"/>
          </w:tcPr>
          <w:p w14:paraId="7E8D7129" w14:textId="77777777" w:rsidR="006E1C70" w:rsidRPr="006E1C70" w:rsidRDefault="006E1C70" w:rsidP="000863C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E1C70">
              <w:rPr>
                <w:rFonts w:ascii="Arial" w:hAnsi="Arial" w:cs="Arial"/>
                <w:sz w:val="28"/>
                <w:szCs w:val="28"/>
              </w:rPr>
              <w:t>5.39 (-7.17 to 17.9)</w:t>
            </w:r>
          </w:p>
        </w:tc>
        <w:tc>
          <w:tcPr>
            <w:tcW w:w="3266" w:type="dxa"/>
          </w:tcPr>
          <w:p w14:paraId="133B358C" w14:textId="77777777" w:rsidR="006E1C70" w:rsidRPr="006E1C70" w:rsidRDefault="006E1C70" w:rsidP="000863C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E1C70">
              <w:rPr>
                <w:rFonts w:ascii="Arial" w:hAnsi="Arial" w:cs="Arial"/>
                <w:sz w:val="28"/>
                <w:szCs w:val="28"/>
              </w:rPr>
              <w:t>-35.3 (-49.5 to -21.1)</w:t>
            </w:r>
          </w:p>
        </w:tc>
        <w:tc>
          <w:tcPr>
            <w:tcW w:w="1098" w:type="dxa"/>
            <w:vMerge/>
          </w:tcPr>
          <w:p w14:paraId="6181F4E1" w14:textId="77777777" w:rsidR="006E1C70" w:rsidRPr="006E1C70" w:rsidRDefault="006E1C70" w:rsidP="000863C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E1C70" w:rsidRPr="006E1C70" w14:paraId="7E6D06B2" w14:textId="77777777" w:rsidTr="000863C8">
        <w:trPr>
          <w:trHeight w:val="290"/>
        </w:trPr>
        <w:tc>
          <w:tcPr>
            <w:tcW w:w="2716" w:type="dxa"/>
          </w:tcPr>
          <w:p w14:paraId="7210914E" w14:textId="77777777" w:rsidR="006E1C70" w:rsidRPr="006E1C70" w:rsidRDefault="006E1C70" w:rsidP="000863C8">
            <w:pPr>
              <w:rPr>
                <w:rFonts w:ascii="Arial" w:hAnsi="Arial" w:cs="Arial"/>
                <w:sz w:val="28"/>
                <w:szCs w:val="28"/>
              </w:rPr>
            </w:pPr>
            <w:r w:rsidRPr="006E1C70">
              <w:rPr>
                <w:rFonts w:ascii="Arial" w:hAnsi="Arial" w:cs="Arial"/>
                <w:sz w:val="28"/>
                <w:szCs w:val="28"/>
              </w:rPr>
              <w:t>Between participant variability slope</w:t>
            </w:r>
          </w:p>
        </w:tc>
        <w:tc>
          <w:tcPr>
            <w:tcW w:w="6533" w:type="dxa"/>
            <w:gridSpan w:val="2"/>
          </w:tcPr>
          <w:p w14:paraId="00A3474A" w14:textId="77777777" w:rsidR="006E1C70" w:rsidRPr="006E1C70" w:rsidRDefault="006E1C70" w:rsidP="000863C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E1C70">
              <w:rPr>
                <w:rFonts w:ascii="Arial" w:hAnsi="Arial" w:cs="Arial"/>
                <w:sz w:val="28"/>
                <w:szCs w:val="28"/>
              </w:rPr>
              <w:t>19.5 (11.7 to 32.5)</w:t>
            </w:r>
          </w:p>
        </w:tc>
        <w:tc>
          <w:tcPr>
            <w:tcW w:w="1098" w:type="dxa"/>
          </w:tcPr>
          <w:p w14:paraId="12F28F38" w14:textId="77777777" w:rsidR="006E1C70" w:rsidRPr="006E1C70" w:rsidRDefault="006E1C70" w:rsidP="000863C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E1C70">
              <w:rPr>
                <w:rFonts w:ascii="Arial" w:hAnsi="Arial" w:cs="Arial"/>
                <w:sz w:val="28"/>
                <w:szCs w:val="28"/>
              </w:rPr>
              <w:t>N/A</w:t>
            </w:r>
          </w:p>
        </w:tc>
      </w:tr>
      <w:tr w:rsidR="006E1C70" w:rsidRPr="006E1C70" w14:paraId="40853F07" w14:textId="77777777" w:rsidTr="000863C8">
        <w:trPr>
          <w:trHeight w:val="290"/>
        </w:trPr>
        <w:tc>
          <w:tcPr>
            <w:tcW w:w="2716" w:type="dxa"/>
          </w:tcPr>
          <w:p w14:paraId="37A6DE93" w14:textId="77777777" w:rsidR="006E1C70" w:rsidRPr="006E1C70" w:rsidRDefault="006E1C70" w:rsidP="000863C8">
            <w:pPr>
              <w:rPr>
                <w:rFonts w:ascii="Arial" w:hAnsi="Arial" w:cs="Arial"/>
                <w:sz w:val="28"/>
                <w:szCs w:val="28"/>
              </w:rPr>
            </w:pPr>
            <w:r w:rsidRPr="006E1C70">
              <w:rPr>
                <w:rFonts w:ascii="Arial" w:hAnsi="Arial" w:cs="Arial"/>
                <w:sz w:val="28"/>
                <w:szCs w:val="28"/>
              </w:rPr>
              <w:t>Standard deviation of residuals</w:t>
            </w:r>
          </w:p>
        </w:tc>
        <w:tc>
          <w:tcPr>
            <w:tcW w:w="6533" w:type="dxa"/>
            <w:gridSpan w:val="2"/>
          </w:tcPr>
          <w:p w14:paraId="17B591E2" w14:textId="77777777" w:rsidR="006E1C70" w:rsidRPr="006E1C70" w:rsidRDefault="006E1C70" w:rsidP="000863C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E1C70">
              <w:rPr>
                <w:rFonts w:ascii="Arial" w:hAnsi="Arial" w:cs="Arial"/>
                <w:sz w:val="28"/>
                <w:szCs w:val="28"/>
              </w:rPr>
              <w:t>3339.7 (2888.4 to 3861.5)</w:t>
            </w:r>
          </w:p>
        </w:tc>
        <w:tc>
          <w:tcPr>
            <w:tcW w:w="1098" w:type="dxa"/>
          </w:tcPr>
          <w:p w14:paraId="2BAA54D5" w14:textId="77777777" w:rsidR="006E1C70" w:rsidRPr="006E1C70" w:rsidRDefault="006E1C70" w:rsidP="000863C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E1C70">
              <w:rPr>
                <w:rFonts w:ascii="Arial" w:hAnsi="Arial" w:cs="Arial"/>
                <w:sz w:val="28"/>
                <w:szCs w:val="28"/>
              </w:rPr>
              <w:t>N/A</w:t>
            </w:r>
          </w:p>
        </w:tc>
      </w:tr>
      <w:tr w:rsidR="006E1C70" w:rsidRPr="006E1C70" w14:paraId="08E920B7" w14:textId="77777777" w:rsidTr="000863C8">
        <w:trPr>
          <w:trHeight w:val="290"/>
        </w:trPr>
        <w:tc>
          <w:tcPr>
            <w:tcW w:w="10349" w:type="dxa"/>
            <w:gridSpan w:val="4"/>
          </w:tcPr>
          <w:p w14:paraId="52CFCC9A" w14:textId="77777777" w:rsidR="006E1C70" w:rsidRPr="006E1C70" w:rsidRDefault="006E1C70" w:rsidP="000863C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E1C7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                    Anti-S1</w:t>
            </w:r>
          </w:p>
        </w:tc>
      </w:tr>
      <w:tr w:rsidR="006E1C70" w:rsidRPr="006E1C70" w14:paraId="0B6979A8" w14:textId="77777777" w:rsidTr="000863C8">
        <w:trPr>
          <w:trHeight w:val="290"/>
        </w:trPr>
        <w:tc>
          <w:tcPr>
            <w:tcW w:w="2716" w:type="dxa"/>
          </w:tcPr>
          <w:p w14:paraId="7298CE1D" w14:textId="77777777" w:rsidR="006E1C70" w:rsidRPr="006E1C70" w:rsidRDefault="006E1C70" w:rsidP="000863C8">
            <w:pPr>
              <w:rPr>
                <w:rFonts w:ascii="Arial" w:hAnsi="Arial" w:cs="Arial"/>
                <w:sz w:val="28"/>
                <w:szCs w:val="28"/>
              </w:rPr>
            </w:pPr>
            <w:r w:rsidRPr="006E1C70">
              <w:rPr>
                <w:rFonts w:ascii="Arial" w:hAnsi="Arial" w:cs="Arial"/>
                <w:sz w:val="28"/>
                <w:szCs w:val="28"/>
              </w:rPr>
              <w:t>Breakpoint (days)</w:t>
            </w:r>
          </w:p>
        </w:tc>
        <w:tc>
          <w:tcPr>
            <w:tcW w:w="6533" w:type="dxa"/>
            <w:gridSpan w:val="2"/>
          </w:tcPr>
          <w:p w14:paraId="6B28333B" w14:textId="77777777" w:rsidR="006E1C70" w:rsidRPr="006E1C70" w:rsidRDefault="006E1C70" w:rsidP="000863C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E1C70">
              <w:rPr>
                <w:rFonts w:ascii="Arial" w:hAnsi="Arial" w:cs="Arial"/>
                <w:sz w:val="28"/>
                <w:szCs w:val="28"/>
              </w:rPr>
              <w:t>54.9 (39.9 to 69.9)</w:t>
            </w:r>
          </w:p>
        </w:tc>
        <w:tc>
          <w:tcPr>
            <w:tcW w:w="1098" w:type="dxa"/>
          </w:tcPr>
          <w:p w14:paraId="004252A7" w14:textId="77777777" w:rsidR="006E1C70" w:rsidRPr="006E1C70" w:rsidRDefault="006E1C70" w:rsidP="000863C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E1C70">
              <w:rPr>
                <w:rFonts w:ascii="Arial" w:hAnsi="Arial" w:cs="Arial"/>
                <w:sz w:val="28"/>
                <w:szCs w:val="28"/>
              </w:rPr>
              <w:t>N/A</w:t>
            </w:r>
          </w:p>
        </w:tc>
      </w:tr>
      <w:tr w:rsidR="006E1C70" w:rsidRPr="006E1C70" w14:paraId="08C8158F" w14:textId="77777777" w:rsidTr="000863C8">
        <w:trPr>
          <w:trHeight w:val="290"/>
        </w:trPr>
        <w:tc>
          <w:tcPr>
            <w:tcW w:w="2716" w:type="dxa"/>
          </w:tcPr>
          <w:p w14:paraId="686CE338" w14:textId="77777777" w:rsidR="006E1C70" w:rsidRPr="006E1C70" w:rsidRDefault="006E1C70" w:rsidP="000863C8">
            <w:pPr>
              <w:rPr>
                <w:rFonts w:ascii="Arial" w:hAnsi="Arial" w:cs="Arial"/>
                <w:sz w:val="28"/>
                <w:szCs w:val="28"/>
              </w:rPr>
            </w:pPr>
            <w:r w:rsidRPr="006E1C70">
              <w:rPr>
                <w:rFonts w:ascii="Arial" w:hAnsi="Arial" w:cs="Arial"/>
                <w:sz w:val="28"/>
                <w:szCs w:val="28"/>
              </w:rPr>
              <w:t>Rate of antibody change before breakpoint (unit/day)</w:t>
            </w:r>
          </w:p>
        </w:tc>
        <w:tc>
          <w:tcPr>
            <w:tcW w:w="3266" w:type="dxa"/>
          </w:tcPr>
          <w:p w14:paraId="3455C49C" w14:textId="77777777" w:rsidR="006E1C70" w:rsidRPr="006E1C70" w:rsidRDefault="006E1C70" w:rsidP="000863C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E1C70">
              <w:rPr>
                <w:rFonts w:ascii="Arial" w:hAnsi="Arial" w:cs="Arial"/>
                <w:sz w:val="28"/>
                <w:szCs w:val="28"/>
              </w:rPr>
              <w:t>131.4 (102.2 to 160.5)</w:t>
            </w:r>
          </w:p>
        </w:tc>
        <w:tc>
          <w:tcPr>
            <w:tcW w:w="3266" w:type="dxa"/>
          </w:tcPr>
          <w:p w14:paraId="59646717" w14:textId="77777777" w:rsidR="006E1C70" w:rsidRPr="006E1C70" w:rsidRDefault="006E1C70" w:rsidP="000863C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E1C70">
              <w:rPr>
                <w:rFonts w:ascii="Arial" w:hAnsi="Arial" w:cs="Arial"/>
                <w:sz w:val="28"/>
                <w:szCs w:val="28"/>
              </w:rPr>
              <w:t>106.8 (76.7 to 136.9)</w:t>
            </w:r>
          </w:p>
        </w:tc>
        <w:tc>
          <w:tcPr>
            <w:tcW w:w="1098" w:type="dxa"/>
            <w:vMerge w:val="restart"/>
          </w:tcPr>
          <w:p w14:paraId="7BD3D610" w14:textId="77777777" w:rsidR="006E1C70" w:rsidRPr="006E1C70" w:rsidRDefault="006E1C70" w:rsidP="000863C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E1C70">
              <w:rPr>
                <w:rFonts w:ascii="Arial" w:hAnsi="Arial" w:cs="Arial"/>
                <w:b/>
                <w:bCs/>
                <w:sz w:val="28"/>
                <w:szCs w:val="28"/>
              </w:rPr>
              <w:t>&lt;0.001</w:t>
            </w:r>
          </w:p>
        </w:tc>
      </w:tr>
      <w:tr w:rsidR="006E1C70" w:rsidRPr="006E1C70" w14:paraId="62B7CBC3" w14:textId="77777777" w:rsidTr="000863C8">
        <w:trPr>
          <w:trHeight w:val="290"/>
        </w:trPr>
        <w:tc>
          <w:tcPr>
            <w:tcW w:w="2716" w:type="dxa"/>
          </w:tcPr>
          <w:p w14:paraId="7EEFB815" w14:textId="77777777" w:rsidR="006E1C70" w:rsidRPr="006E1C70" w:rsidRDefault="006E1C70" w:rsidP="000863C8">
            <w:pPr>
              <w:rPr>
                <w:rFonts w:ascii="Arial" w:hAnsi="Arial" w:cs="Arial"/>
                <w:sz w:val="28"/>
                <w:szCs w:val="28"/>
              </w:rPr>
            </w:pPr>
            <w:r w:rsidRPr="006E1C70">
              <w:rPr>
                <w:rFonts w:ascii="Arial" w:hAnsi="Arial" w:cs="Arial"/>
                <w:sz w:val="28"/>
                <w:szCs w:val="28"/>
              </w:rPr>
              <w:t>Rate of antibody change after breakpoint (unit/day)</w:t>
            </w:r>
          </w:p>
        </w:tc>
        <w:tc>
          <w:tcPr>
            <w:tcW w:w="3266" w:type="dxa"/>
          </w:tcPr>
          <w:p w14:paraId="4D75F31E" w14:textId="77777777" w:rsidR="006E1C70" w:rsidRPr="006E1C70" w:rsidRDefault="006E1C70" w:rsidP="000863C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E1C70">
              <w:rPr>
                <w:rFonts w:ascii="Arial" w:hAnsi="Arial" w:cs="Arial"/>
                <w:sz w:val="28"/>
                <w:szCs w:val="28"/>
              </w:rPr>
              <w:t>3.45 (-5.39 to 12.3)</w:t>
            </w:r>
          </w:p>
        </w:tc>
        <w:tc>
          <w:tcPr>
            <w:tcW w:w="3266" w:type="dxa"/>
          </w:tcPr>
          <w:p w14:paraId="40FC988B" w14:textId="77777777" w:rsidR="006E1C70" w:rsidRPr="006E1C70" w:rsidRDefault="006E1C70" w:rsidP="000863C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E1C70">
              <w:rPr>
                <w:rFonts w:ascii="Arial" w:hAnsi="Arial" w:cs="Arial"/>
                <w:sz w:val="28"/>
                <w:szCs w:val="28"/>
              </w:rPr>
              <w:t>-21.1 (-31.66 to -10.6)</w:t>
            </w:r>
          </w:p>
        </w:tc>
        <w:tc>
          <w:tcPr>
            <w:tcW w:w="1098" w:type="dxa"/>
            <w:vMerge/>
          </w:tcPr>
          <w:p w14:paraId="3574F3C0" w14:textId="77777777" w:rsidR="006E1C70" w:rsidRPr="006E1C70" w:rsidRDefault="006E1C70" w:rsidP="000863C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E1C70" w:rsidRPr="006E1C70" w14:paraId="37B122E0" w14:textId="77777777" w:rsidTr="000863C8">
        <w:trPr>
          <w:trHeight w:val="290"/>
        </w:trPr>
        <w:tc>
          <w:tcPr>
            <w:tcW w:w="2716" w:type="dxa"/>
          </w:tcPr>
          <w:p w14:paraId="4010EED4" w14:textId="77777777" w:rsidR="006E1C70" w:rsidRPr="006E1C70" w:rsidRDefault="006E1C70" w:rsidP="000863C8">
            <w:pPr>
              <w:rPr>
                <w:rFonts w:ascii="Arial" w:hAnsi="Arial" w:cs="Arial"/>
                <w:sz w:val="28"/>
                <w:szCs w:val="28"/>
              </w:rPr>
            </w:pPr>
            <w:r w:rsidRPr="006E1C70">
              <w:rPr>
                <w:rFonts w:ascii="Arial" w:hAnsi="Arial" w:cs="Arial"/>
                <w:sz w:val="28"/>
                <w:szCs w:val="28"/>
              </w:rPr>
              <w:t>Between participant variability slope</w:t>
            </w:r>
          </w:p>
        </w:tc>
        <w:tc>
          <w:tcPr>
            <w:tcW w:w="6533" w:type="dxa"/>
            <w:gridSpan w:val="2"/>
          </w:tcPr>
          <w:p w14:paraId="64A6FF93" w14:textId="77777777" w:rsidR="006E1C70" w:rsidRPr="006E1C70" w:rsidRDefault="006E1C70" w:rsidP="000863C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E1C70">
              <w:rPr>
                <w:rFonts w:ascii="Arial" w:hAnsi="Arial" w:cs="Arial"/>
                <w:sz w:val="28"/>
                <w:szCs w:val="28"/>
              </w:rPr>
              <w:t>12.3 (7.33 to 20.7)</w:t>
            </w:r>
          </w:p>
        </w:tc>
        <w:tc>
          <w:tcPr>
            <w:tcW w:w="1098" w:type="dxa"/>
          </w:tcPr>
          <w:p w14:paraId="75A78BF5" w14:textId="77777777" w:rsidR="006E1C70" w:rsidRPr="006E1C70" w:rsidRDefault="006E1C70" w:rsidP="000863C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E1C70" w:rsidRPr="006E1C70" w14:paraId="132425F9" w14:textId="77777777" w:rsidTr="000863C8">
        <w:trPr>
          <w:trHeight w:val="290"/>
        </w:trPr>
        <w:tc>
          <w:tcPr>
            <w:tcW w:w="2716" w:type="dxa"/>
          </w:tcPr>
          <w:p w14:paraId="2193C25E" w14:textId="77777777" w:rsidR="006E1C70" w:rsidRPr="006E1C70" w:rsidRDefault="006E1C70" w:rsidP="000863C8">
            <w:pPr>
              <w:rPr>
                <w:rFonts w:ascii="Arial" w:hAnsi="Arial" w:cs="Arial"/>
                <w:sz w:val="28"/>
                <w:szCs w:val="28"/>
              </w:rPr>
            </w:pPr>
            <w:r w:rsidRPr="006E1C70">
              <w:rPr>
                <w:rFonts w:ascii="Arial" w:hAnsi="Arial" w:cs="Arial"/>
                <w:sz w:val="28"/>
                <w:szCs w:val="28"/>
              </w:rPr>
              <w:t>Standard deviation of residuals</w:t>
            </w:r>
          </w:p>
        </w:tc>
        <w:tc>
          <w:tcPr>
            <w:tcW w:w="6533" w:type="dxa"/>
            <w:gridSpan w:val="2"/>
          </w:tcPr>
          <w:p w14:paraId="3C946591" w14:textId="77777777" w:rsidR="006E1C70" w:rsidRPr="006E1C70" w:rsidRDefault="006E1C70" w:rsidP="000863C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E1C70">
              <w:rPr>
                <w:rFonts w:ascii="Arial" w:hAnsi="Arial" w:cs="Arial"/>
                <w:sz w:val="28"/>
                <w:szCs w:val="28"/>
              </w:rPr>
              <w:t>3080.6 (2699.4 to 3515.6)</w:t>
            </w:r>
          </w:p>
        </w:tc>
        <w:tc>
          <w:tcPr>
            <w:tcW w:w="1098" w:type="dxa"/>
          </w:tcPr>
          <w:p w14:paraId="24094837" w14:textId="77777777" w:rsidR="006E1C70" w:rsidRPr="006E1C70" w:rsidRDefault="006E1C70" w:rsidP="000863C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E1C70" w:rsidRPr="006E1C70" w14:paraId="3B31FE7A" w14:textId="77777777" w:rsidTr="000863C8">
        <w:trPr>
          <w:trHeight w:val="290"/>
        </w:trPr>
        <w:tc>
          <w:tcPr>
            <w:tcW w:w="10349" w:type="dxa"/>
            <w:gridSpan w:val="4"/>
          </w:tcPr>
          <w:p w14:paraId="6CD17993" w14:textId="77777777" w:rsidR="006E1C70" w:rsidRPr="006E1C70" w:rsidRDefault="006E1C70" w:rsidP="000863C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E1C70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 xml:space="preserve">                     Anti-S2</w:t>
            </w:r>
          </w:p>
        </w:tc>
      </w:tr>
      <w:tr w:rsidR="006E1C70" w:rsidRPr="006E1C70" w14:paraId="1F5AEE8B" w14:textId="77777777" w:rsidTr="000863C8">
        <w:trPr>
          <w:trHeight w:val="290"/>
        </w:trPr>
        <w:tc>
          <w:tcPr>
            <w:tcW w:w="2716" w:type="dxa"/>
          </w:tcPr>
          <w:p w14:paraId="07FC74C0" w14:textId="77777777" w:rsidR="006E1C70" w:rsidRPr="006E1C70" w:rsidRDefault="006E1C70" w:rsidP="000863C8">
            <w:pPr>
              <w:rPr>
                <w:rFonts w:ascii="Arial" w:hAnsi="Arial" w:cs="Arial"/>
                <w:sz w:val="28"/>
                <w:szCs w:val="28"/>
              </w:rPr>
            </w:pPr>
            <w:r w:rsidRPr="006E1C70">
              <w:rPr>
                <w:rFonts w:ascii="Arial" w:hAnsi="Arial" w:cs="Arial"/>
                <w:sz w:val="28"/>
                <w:szCs w:val="28"/>
              </w:rPr>
              <w:t>Breakpoint (days)</w:t>
            </w:r>
          </w:p>
        </w:tc>
        <w:tc>
          <w:tcPr>
            <w:tcW w:w="6533" w:type="dxa"/>
            <w:gridSpan w:val="2"/>
          </w:tcPr>
          <w:p w14:paraId="7B17A8D6" w14:textId="77777777" w:rsidR="006E1C70" w:rsidRPr="006E1C70" w:rsidRDefault="006E1C70" w:rsidP="000863C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E1C70">
              <w:rPr>
                <w:rFonts w:ascii="Arial" w:hAnsi="Arial" w:cs="Arial"/>
                <w:sz w:val="28"/>
                <w:szCs w:val="28"/>
              </w:rPr>
              <w:t>73.1 (52.9 to 93.3)</w:t>
            </w:r>
          </w:p>
        </w:tc>
        <w:tc>
          <w:tcPr>
            <w:tcW w:w="1098" w:type="dxa"/>
          </w:tcPr>
          <w:p w14:paraId="55B517B2" w14:textId="77777777" w:rsidR="006E1C70" w:rsidRPr="006E1C70" w:rsidRDefault="006E1C70" w:rsidP="000863C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E1C70">
              <w:rPr>
                <w:rFonts w:ascii="Arial" w:hAnsi="Arial" w:cs="Arial"/>
                <w:sz w:val="28"/>
                <w:szCs w:val="28"/>
              </w:rPr>
              <w:t>N/A</w:t>
            </w:r>
          </w:p>
        </w:tc>
      </w:tr>
      <w:tr w:rsidR="006E1C70" w:rsidRPr="006E1C70" w14:paraId="4C8F590B" w14:textId="77777777" w:rsidTr="000863C8">
        <w:trPr>
          <w:trHeight w:val="290"/>
        </w:trPr>
        <w:tc>
          <w:tcPr>
            <w:tcW w:w="2716" w:type="dxa"/>
          </w:tcPr>
          <w:p w14:paraId="7E7E0D07" w14:textId="77777777" w:rsidR="006E1C70" w:rsidRPr="006E1C70" w:rsidRDefault="006E1C70" w:rsidP="000863C8">
            <w:pPr>
              <w:rPr>
                <w:rFonts w:ascii="Arial" w:hAnsi="Arial" w:cs="Arial"/>
                <w:sz w:val="28"/>
                <w:szCs w:val="28"/>
              </w:rPr>
            </w:pPr>
            <w:r w:rsidRPr="006E1C70">
              <w:rPr>
                <w:rFonts w:ascii="Arial" w:hAnsi="Arial" w:cs="Arial"/>
                <w:sz w:val="28"/>
                <w:szCs w:val="28"/>
              </w:rPr>
              <w:t>Rate of antibody change before breakpoint (unit/day)</w:t>
            </w:r>
          </w:p>
        </w:tc>
        <w:tc>
          <w:tcPr>
            <w:tcW w:w="3266" w:type="dxa"/>
          </w:tcPr>
          <w:p w14:paraId="44C6D122" w14:textId="77777777" w:rsidR="006E1C70" w:rsidRPr="006E1C70" w:rsidRDefault="006E1C70" w:rsidP="000863C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E1C70">
              <w:rPr>
                <w:rFonts w:ascii="Arial" w:hAnsi="Arial" w:cs="Arial"/>
                <w:sz w:val="28"/>
                <w:szCs w:val="28"/>
              </w:rPr>
              <w:t>49.2 (38.3 to 60.0)</w:t>
            </w:r>
          </w:p>
        </w:tc>
        <w:tc>
          <w:tcPr>
            <w:tcW w:w="3266" w:type="dxa"/>
          </w:tcPr>
          <w:p w14:paraId="1A51EE7B" w14:textId="77777777" w:rsidR="006E1C70" w:rsidRPr="006E1C70" w:rsidRDefault="006E1C70" w:rsidP="000863C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E1C70">
              <w:rPr>
                <w:rFonts w:ascii="Arial" w:hAnsi="Arial" w:cs="Arial"/>
                <w:sz w:val="28"/>
                <w:szCs w:val="28"/>
              </w:rPr>
              <w:t>45.5 (34.3 to 56.7)</w:t>
            </w:r>
          </w:p>
        </w:tc>
        <w:tc>
          <w:tcPr>
            <w:tcW w:w="1098" w:type="dxa"/>
            <w:vMerge w:val="restart"/>
          </w:tcPr>
          <w:p w14:paraId="54369217" w14:textId="77777777" w:rsidR="006E1C70" w:rsidRPr="006E1C70" w:rsidRDefault="006E1C70" w:rsidP="000863C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E1C70">
              <w:rPr>
                <w:rFonts w:ascii="Arial" w:hAnsi="Arial" w:cs="Arial"/>
                <w:b/>
                <w:bCs/>
                <w:sz w:val="28"/>
                <w:szCs w:val="28"/>
              </w:rPr>
              <w:t>&lt;0.001</w:t>
            </w:r>
          </w:p>
        </w:tc>
      </w:tr>
      <w:tr w:rsidR="006E1C70" w:rsidRPr="006E1C70" w14:paraId="088567BE" w14:textId="77777777" w:rsidTr="000863C8">
        <w:trPr>
          <w:trHeight w:val="290"/>
        </w:trPr>
        <w:tc>
          <w:tcPr>
            <w:tcW w:w="2716" w:type="dxa"/>
          </w:tcPr>
          <w:p w14:paraId="3257C8EC" w14:textId="77777777" w:rsidR="006E1C70" w:rsidRPr="006E1C70" w:rsidRDefault="006E1C70" w:rsidP="000863C8">
            <w:pPr>
              <w:rPr>
                <w:rFonts w:ascii="Arial" w:hAnsi="Arial" w:cs="Arial"/>
                <w:sz w:val="28"/>
                <w:szCs w:val="28"/>
              </w:rPr>
            </w:pPr>
            <w:r w:rsidRPr="006E1C70">
              <w:rPr>
                <w:rFonts w:ascii="Arial" w:hAnsi="Arial" w:cs="Arial"/>
                <w:sz w:val="28"/>
                <w:szCs w:val="28"/>
              </w:rPr>
              <w:t>Rate of antibody change after breakpoint (unit/day)</w:t>
            </w:r>
          </w:p>
        </w:tc>
        <w:tc>
          <w:tcPr>
            <w:tcW w:w="3266" w:type="dxa"/>
          </w:tcPr>
          <w:p w14:paraId="6CC3DBF9" w14:textId="77777777" w:rsidR="006E1C70" w:rsidRPr="006E1C70" w:rsidRDefault="006E1C70" w:rsidP="000863C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E1C70">
              <w:rPr>
                <w:rFonts w:ascii="Arial" w:hAnsi="Arial" w:cs="Arial"/>
                <w:sz w:val="28"/>
                <w:szCs w:val="28"/>
              </w:rPr>
              <w:t>-1.68 (-5.86 to 2.50)</w:t>
            </w:r>
          </w:p>
        </w:tc>
        <w:tc>
          <w:tcPr>
            <w:tcW w:w="3266" w:type="dxa"/>
          </w:tcPr>
          <w:p w14:paraId="30DAE248" w14:textId="77777777" w:rsidR="006E1C70" w:rsidRPr="006E1C70" w:rsidRDefault="006E1C70" w:rsidP="000863C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E1C70">
              <w:rPr>
                <w:rFonts w:ascii="Arial" w:hAnsi="Arial" w:cs="Arial"/>
                <w:sz w:val="28"/>
                <w:szCs w:val="28"/>
              </w:rPr>
              <w:t>-5.35 (-10.5 to -0.15)</w:t>
            </w:r>
          </w:p>
        </w:tc>
        <w:tc>
          <w:tcPr>
            <w:tcW w:w="1098" w:type="dxa"/>
            <w:vMerge/>
          </w:tcPr>
          <w:p w14:paraId="5827C38A" w14:textId="77777777" w:rsidR="006E1C70" w:rsidRPr="006E1C70" w:rsidRDefault="006E1C70" w:rsidP="000863C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E1C70" w:rsidRPr="006E1C70" w14:paraId="798F80A7" w14:textId="77777777" w:rsidTr="000863C8">
        <w:trPr>
          <w:trHeight w:val="290"/>
        </w:trPr>
        <w:tc>
          <w:tcPr>
            <w:tcW w:w="2716" w:type="dxa"/>
          </w:tcPr>
          <w:p w14:paraId="00E99900" w14:textId="77777777" w:rsidR="006E1C70" w:rsidRPr="006E1C70" w:rsidRDefault="006E1C70" w:rsidP="000863C8">
            <w:pPr>
              <w:rPr>
                <w:rFonts w:ascii="Arial" w:hAnsi="Arial" w:cs="Arial"/>
                <w:sz w:val="28"/>
                <w:szCs w:val="28"/>
              </w:rPr>
            </w:pPr>
            <w:r w:rsidRPr="006E1C70">
              <w:rPr>
                <w:rFonts w:ascii="Arial" w:hAnsi="Arial" w:cs="Arial"/>
                <w:sz w:val="28"/>
                <w:szCs w:val="28"/>
              </w:rPr>
              <w:t>Between participant variability slope</w:t>
            </w:r>
          </w:p>
        </w:tc>
        <w:tc>
          <w:tcPr>
            <w:tcW w:w="6533" w:type="dxa"/>
            <w:gridSpan w:val="2"/>
          </w:tcPr>
          <w:p w14:paraId="1C9F5896" w14:textId="77777777" w:rsidR="006E1C70" w:rsidRPr="006E1C70" w:rsidRDefault="006E1C70" w:rsidP="000863C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E1C70">
              <w:rPr>
                <w:rFonts w:ascii="Arial" w:hAnsi="Arial" w:cs="Arial"/>
                <w:sz w:val="28"/>
                <w:szCs w:val="28"/>
              </w:rPr>
              <w:t>5.04 (3.28 to 7.75)</w:t>
            </w:r>
          </w:p>
        </w:tc>
        <w:tc>
          <w:tcPr>
            <w:tcW w:w="1098" w:type="dxa"/>
          </w:tcPr>
          <w:p w14:paraId="28164631" w14:textId="77777777" w:rsidR="006E1C70" w:rsidRPr="006E1C70" w:rsidRDefault="006E1C70" w:rsidP="000863C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E1C70">
              <w:rPr>
                <w:rFonts w:ascii="Arial" w:hAnsi="Arial" w:cs="Arial"/>
                <w:sz w:val="28"/>
                <w:szCs w:val="28"/>
              </w:rPr>
              <w:t>N/A</w:t>
            </w:r>
          </w:p>
        </w:tc>
      </w:tr>
      <w:tr w:rsidR="006E1C70" w:rsidRPr="006E1C70" w14:paraId="62618B90" w14:textId="77777777" w:rsidTr="000863C8">
        <w:trPr>
          <w:trHeight w:val="290"/>
        </w:trPr>
        <w:tc>
          <w:tcPr>
            <w:tcW w:w="2716" w:type="dxa"/>
          </w:tcPr>
          <w:p w14:paraId="11478DBB" w14:textId="77777777" w:rsidR="006E1C70" w:rsidRPr="006E1C70" w:rsidRDefault="006E1C70" w:rsidP="000863C8">
            <w:pPr>
              <w:rPr>
                <w:rFonts w:ascii="Arial" w:hAnsi="Arial" w:cs="Arial"/>
                <w:sz w:val="28"/>
                <w:szCs w:val="28"/>
              </w:rPr>
            </w:pPr>
            <w:r w:rsidRPr="006E1C70">
              <w:rPr>
                <w:rFonts w:ascii="Arial" w:hAnsi="Arial" w:cs="Arial"/>
                <w:sz w:val="28"/>
                <w:szCs w:val="28"/>
              </w:rPr>
              <w:t>Standard deviation of residuals</w:t>
            </w:r>
          </w:p>
        </w:tc>
        <w:tc>
          <w:tcPr>
            <w:tcW w:w="6533" w:type="dxa"/>
            <w:gridSpan w:val="2"/>
          </w:tcPr>
          <w:p w14:paraId="0114EED1" w14:textId="77777777" w:rsidR="006E1C70" w:rsidRPr="006E1C70" w:rsidRDefault="006E1C70" w:rsidP="000863C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E1C70">
              <w:rPr>
                <w:rFonts w:ascii="Arial" w:hAnsi="Arial" w:cs="Arial"/>
                <w:sz w:val="28"/>
                <w:szCs w:val="28"/>
              </w:rPr>
              <w:t>1669.5 (1481.8 to 1881.0)</w:t>
            </w:r>
          </w:p>
        </w:tc>
        <w:tc>
          <w:tcPr>
            <w:tcW w:w="1098" w:type="dxa"/>
          </w:tcPr>
          <w:p w14:paraId="1B1A7E07" w14:textId="77777777" w:rsidR="006E1C70" w:rsidRPr="006E1C70" w:rsidRDefault="006E1C70" w:rsidP="000863C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E1C70">
              <w:rPr>
                <w:rFonts w:ascii="Arial" w:hAnsi="Arial" w:cs="Arial"/>
                <w:sz w:val="28"/>
                <w:szCs w:val="28"/>
              </w:rPr>
              <w:t>N/A</w:t>
            </w:r>
          </w:p>
        </w:tc>
      </w:tr>
    </w:tbl>
    <w:p w14:paraId="5334016B" w14:textId="77777777" w:rsidR="006E1C70" w:rsidRPr="006E1C70" w:rsidRDefault="006E1C70" w:rsidP="006E1C70">
      <w:pPr>
        <w:rPr>
          <w:rFonts w:ascii="Arial" w:hAnsi="Arial" w:cs="Arial"/>
          <w:sz w:val="28"/>
          <w:szCs w:val="28"/>
        </w:rPr>
      </w:pPr>
    </w:p>
    <w:p w14:paraId="2120C94B" w14:textId="77777777" w:rsidR="006E1C70" w:rsidRPr="006E1C70" w:rsidRDefault="006E1C70" w:rsidP="006E1C70">
      <w:pPr>
        <w:pStyle w:val="NormalWeb"/>
        <w:tabs>
          <w:tab w:val="left" w:pos="7560"/>
        </w:tabs>
        <w:spacing w:before="0" w:beforeAutospacing="0" w:line="360" w:lineRule="auto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4805E3C9" w14:textId="77777777" w:rsidR="001310AE" w:rsidRDefault="001310AE">
      <w:pPr>
        <w:rPr>
          <w:rFonts w:ascii="Arial" w:hAnsi="Arial" w:cs="Arial"/>
          <w:b/>
          <w:bCs/>
          <w:sz w:val="28"/>
          <w:szCs w:val="28"/>
        </w:rPr>
      </w:pPr>
    </w:p>
    <w:p w14:paraId="1C3AA352" w14:textId="77777777" w:rsidR="001310AE" w:rsidRDefault="001310AE">
      <w:pPr>
        <w:rPr>
          <w:rFonts w:ascii="Arial" w:hAnsi="Arial" w:cs="Arial"/>
          <w:b/>
          <w:bCs/>
          <w:sz w:val="28"/>
          <w:szCs w:val="28"/>
        </w:rPr>
      </w:pPr>
    </w:p>
    <w:p w14:paraId="3D67005B" w14:textId="77777777" w:rsidR="001310AE" w:rsidRDefault="001310AE">
      <w:pPr>
        <w:rPr>
          <w:rFonts w:ascii="Arial" w:hAnsi="Arial" w:cs="Arial"/>
          <w:b/>
          <w:bCs/>
          <w:sz w:val="28"/>
          <w:szCs w:val="28"/>
        </w:rPr>
      </w:pPr>
    </w:p>
    <w:p w14:paraId="1FAB7C8B" w14:textId="77777777" w:rsidR="001310AE" w:rsidRDefault="001310AE">
      <w:pPr>
        <w:rPr>
          <w:rFonts w:ascii="Arial" w:hAnsi="Arial" w:cs="Arial"/>
          <w:b/>
          <w:bCs/>
          <w:sz w:val="28"/>
          <w:szCs w:val="28"/>
        </w:rPr>
      </w:pPr>
    </w:p>
    <w:p w14:paraId="704F1E73" w14:textId="77777777" w:rsidR="001310AE" w:rsidRDefault="001310AE">
      <w:pPr>
        <w:rPr>
          <w:rFonts w:ascii="Arial" w:hAnsi="Arial" w:cs="Arial"/>
          <w:b/>
          <w:bCs/>
          <w:sz w:val="28"/>
          <w:szCs w:val="28"/>
        </w:rPr>
      </w:pPr>
    </w:p>
    <w:p w14:paraId="688E0A73" w14:textId="77777777" w:rsidR="001310AE" w:rsidRDefault="001310AE">
      <w:pPr>
        <w:rPr>
          <w:rFonts w:ascii="Arial" w:hAnsi="Arial" w:cs="Arial"/>
          <w:b/>
          <w:bCs/>
          <w:sz w:val="28"/>
          <w:szCs w:val="28"/>
        </w:rPr>
      </w:pPr>
    </w:p>
    <w:p w14:paraId="5A17778A" w14:textId="77777777" w:rsidR="001310AE" w:rsidRDefault="001310AE">
      <w:pPr>
        <w:rPr>
          <w:rFonts w:ascii="Arial" w:hAnsi="Arial" w:cs="Arial"/>
          <w:b/>
          <w:bCs/>
          <w:sz w:val="28"/>
          <w:szCs w:val="28"/>
        </w:rPr>
      </w:pPr>
    </w:p>
    <w:p w14:paraId="4A74E7D3" w14:textId="77777777" w:rsidR="001310AE" w:rsidRDefault="001310AE">
      <w:pPr>
        <w:rPr>
          <w:rFonts w:ascii="Arial" w:hAnsi="Arial" w:cs="Arial"/>
          <w:b/>
          <w:bCs/>
          <w:sz w:val="28"/>
          <w:szCs w:val="28"/>
        </w:rPr>
      </w:pPr>
    </w:p>
    <w:p w14:paraId="3220C24D" w14:textId="77777777" w:rsidR="001310AE" w:rsidRDefault="001310AE">
      <w:pPr>
        <w:rPr>
          <w:rFonts w:ascii="Arial" w:hAnsi="Arial" w:cs="Arial"/>
          <w:b/>
          <w:bCs/>
          <w:sz w:val="28"/>
          <w:szCs w:val="28"/>
        </w:rPr>
      </w:pPr>
    </w:p>
    <w:p w14:paraId="563170D6" w14:textId="77777777" w:rsidR="001310AE" w:rsidRDefault="001310AE">
      <w:pPr>
        <w:rPr>
          <w:rFonts w:ascii="Arial" w:hAnsi="Arial" w:cs="Arial"/>
          <w:b/>
          <w:bCs/>
          <w:sz w:val="28"/>
          <w:szCs w:val="28"/>
        </w:rPr>
      </w:pPr>
    </w:p>
    <w:p w14:paraId="655E0C31" w14:textId="77777777" w:rsidR="001310AE" w:rsidRDefault="001310AE">
      <w:pPr>
        <w:rPr>
          <w:rFonts w:ascii="Arial" w:hAnsi="Arial" w:cs="Arial"/>
          <w:b/>
          <w:bCs/>
          <w:sz w:val="28"/>
          <w:szCs w:val="28"/>
        </w:rPr>
      </w:pPr>
    </w:p>
    <w:p w14:paraId="6BF00D2D" w14:textId="77777777" w:rsidR="001310AE" w:rsidRDefault="001310AE">
      <w:pPr>
        <w:rPr>
          <w:rFonts w:ascii="Arial" w:hAnsi="Arial" w:cs="Arial"/>
          <w:b/>
          <w:bCs/>
          <w:sz w:val="28"/>
          <w:szCs w:val="28"/>
        </w:rPr>
      </w:pPr>
    </w:p>
    <w:p w14:paraId="0A7B7AA6" w14:textId="77777777" w:rsidR="001310AE" w:rsidRDefault="001310AE">
      <w:pPr>
        <w:rPr>
          <w:rFonts w:ascii="Arial" w:hAnsi="Arial" w:cs="Arial"/>
          <w:b/>
          <w:bCs/>
          <w:sz w:val="28"/>
          <w:szCs w:val="28"/>
        </w:rPr>
      </w:pPr>
    </w:p>
    <w:p w14:paraId="33A1CA59" w14:textId="629BD8A3" w:rsidR="003B0D07" w:rsidRPr="006E1C70" w:rsidRDefault="003B0D07">
      <w:pPr>
        <w:rPr>
          <w:rFonts w:ascii="Arial" w:hAnsi="Arial" w:cs="Arial"/>
          <w:sz w:val="28"/>
          <w:szCs w:val="28"/>
        </w:rPr>
      </w:pPr>
    </w:p>
    <w:sectPr w:rsidR="003B0D07" w:rsidRPr="006E1C70" w:rsidSect="006E1C70">
      <w:pgSz w:w="12240" w:h="15840"/>
      <w:pgMar w:top="1440" w:right="1440" w:bottom="105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92631"/>
    <w:multiLevelType w:val="hybridMultilevel"/>
    <w:tmpl w:val="A796B4F8"/>
    <w:lvl w:ilvl="0" w:tplc="0409000F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6130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AMA&lt;/Style&gt;&lt;LeftDelim&gt;{&lt;/LeftDelim&gt;&lt;RightDelim&gt;}&lt;/RightDelim&gt;&lt;FontName&gt;Aptos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</w:docVars>
  <w:rsids>
    <w:rsidRoot w:val="006E1C70"/>
    <w:rsid w:val="00044F8E"/>
    <w:rsid w:val="0007499A"/>
    <w:rsid w:val="00082758"/>
    <w:rsid w:val="000C35C2"/>
    <w:rsid w:val="000C4691"/>
    <w:rsid w:val="000D3D39"/>
    <w:rsid w:val="000D4768"/>
    <w:rsid w:val="00104737"/>
    <w:rsid w:val="00120741"/>
    <w:rsid w:val="001310AE"/>
    <w:rsid w:val="001A755D"/>
    <w:rsid w:val="0025393D"/>
    <w:rsid w:val="00262DB0"/>
    <w:rsid w:val="002E2C4B"/>
    <w:rsid w:val="003222C1"/>
    <w:rsid w:val="00374EEC"/>
    <w:rsid w:val="00395B2E"/>
    <w:rsid w:val="003B0D07"/>
    <w:rsid w:val="003C23DD"/>
    <w:rsid w:val="00420E69"/>
    <w:rsid w:val="00432B38"/>
    <w:rsid w:val="004557CB"/>
    <w:rsid w:val="0046414A"/>
    <w:rsid w:val="004A0142"/>
    <w:rsid w:val="004C706B"/>
    <w:rsid w:val="00505DC3"/>
    <w:rsid w:val="005A51C1"/>
    <w:rsid w:val="005D5E9C"/>
    <w:rsid w:val="006326AF"/>
    <w:rsid w:val="006768E0"/>
    <w:rsid w:val="006C3A51"/>
    <w:rsid w:val="006D14E7"/>
    <w:rsid w:val="006D47E2"/>
    <w:rsid w:val="006E1C70"/>
    <w:rsid w:val="0070783C"/>
    <w:rsid w:val="0071158F"/>
    <w:rsid w:val="00725C4C"/>
    <w:rsid w:val="007716ED"/>
    <w:rsid w:val="00774C53"/>
    <w:rsid w:val="007B613B"/>
    <w:rsid w:val="007E232C"/>
    <w:rsid w:val="00807C8F"/>
    <w:rsid w:val="00813C95"/>
    <w:rsid w:val="008B07F5"/>
    <w:rsid w:val="008E0B1E"/>
    <w:rsid w:val="008F025B"/>
    <w:rsid w:val="008F1FDD"/>
    <w:rsid w:val="009568DC"/>
    <w:rsid w:val="00984391"/>
    <w:rsid w:val="00987E62"/>
    <w:rsid w:val="009F2085"/>
    <w:rsid w:val="00A50BC1"/>
    <w:rsid w:val="00A87F0D"/>
    <w:rsid w:val="00AD0000"/>
    <w:rsid w:val="00BB67D0"/>
    <w:rsid w:val="00BF105A"/>
    <w:rsid w:val="00C105A1"/>
    <w:rsid w:val="00C1791A"/>
    <w:rsid w:val="00C2576D"/>
    <w:rsid w:val="00C2578F"/>
    <w:rsid w:val="00C3087A"/>
    <w:rsid w:val="00C34D82"/>
    <w:rsid w:val="00C512F5"/>
    <w:rsid w:val="00C614E8"/>
    <w:rsid w:val="00C643DB"/>
    <w:rsid w:val="00C677DC"/>
    <w:rsid w:val="00D025F5"/>
    <w:rsid w:val="00D13F6D"/>
    <w:rsid w:val="00D21E69"/>
    <w:rsid w:val="00D52D76"/>
    <w:rsid w:val="00DA481A"/>
    <w:rsid w:val="00E26466"/>
    <w:rsid w:val="00E575B9"/>
    <w:rsid w:val="00F23C3D"/>
    <w:rsid w:val="00F3548E"/>
    <w:rsid w:val="00FB6315"/>
    <w:rsid w:val="00FC064C"/>
    <w:rsid w:val="00FF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54E3BF"/>
  <w15:chartTrackingRefBased/>
  <w15:docId w15:val="{11D6C968-F8B4-4A4F-9D9C-FCB8495D1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1C70"/>
  </w:style>
  <w:style w:type="paragraph" w:styleId="Heading1">
    <w:name w:val="heading 1"/>
    <w:basedOn w:val="Normal"/>
    <w:next w:val="Normal"/>
    <w:link w:val="Heading1Char"/>
    <w:uiPriority w:val="9"/>
    <w:qFormat/>
    <w:rsid w:val="006E1C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1C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1C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1C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1C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1C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1C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1C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1C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1C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1C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1C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1C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1C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1C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1C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1C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1C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1C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1C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1C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1C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1C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1C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1C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1C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1C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1C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1C7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link w:val="NormalWebChar"/>
    <w:uiPriority w:val="99"/>
    <w:unhideWhenUsed/>
    <w:rsid w:val="006E1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6E1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7B613B"/>
    <w:pPr>
      <w:spacing w:after="0"/>
      <w:jc w:val="center"/>
    </w:pPr>
    <w:rPr>
      <w:rFonts w:ascii="Aptos" w:hAnsi="Aptos"/>
    </w:rPr>
  </w:style>
  <w:style w:type="character" w:customStyle="1" w:styleId="NormalWebChar">
    <w:name w:val="Normal (Web) Char"/>
    <w:basedOn w:val="DefaultParagraphFont"/>
    <w:link w:val="NormalWeb"/>
    <w:uiPriority w:val="99"/>
    <w:rsid w:val="007B613B"/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EndNoteBibliographyTitleChar">
    <w:name w:val="EndNote Bibliography Title Char"/>
    <w:basedOn w:val="NormalWebChar"/>
    <w:link w:val="EndNoteBibliographyTitle"/>
    <w:rsid w:val="007B613B"/>
    <w:rPr>
      <w:rFonts w:ascii="Aptos" w:eastAsia="Times New Roman" w:hAnsi="Aptos" w:cs="Times New Roman"/>
      <w:kern w:val="0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7B613B"/>
    <w:pPr>
      <w:spacing w:line="240" w:lineRule="auto"/>
    </w:pPr>
    <w:rPr>
      <w:rFonts w:ascii="Aptos" w:hAnsi="Aptos"/>
    </w:rPr>
  </w:style>
  <w:style w:type="character" w:customStyle="1" w:styleId="EndNoteBibliographyChar">
    <w:name w:val="EndNote Bibliography Char"/>
    <w:basedOn w:val="NormalWebChar"/>
    <w:link w:val="EndNoteBibliography"/>
    <w:rsid w:val="007B613B"/>
    <w:rPr>
      <w:rFonts w:ascii="Aptos" w:eastAsia="Times New Roman" w:hAnsi="Aptos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1189</Words>
  <Characters>6779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Swaminathan, Srividhya</dc:creator>
  <cp:keywords/>
  <dc:description/>
  <cp:lastModifiedBy>Prahl, Mary</cp:lastModifiedBy>
  <cp:revision>3</cp:revision>
  <dcterms:created xsi:type="dcterms:W3CDTF">2026-07-29T18:56:00Z</dcterms:created>
  <dcterms:modified xsi:type="dcterms:W3CDTF">2026-07-30T20:14:00Z</dcterms:modified>
</cp:coreProperties>
</file>