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3A621" w14:textId="77777777" w:rsidR="00F51B33" w:rsidRDefault="00F51B33" w:rsidP="00F51B33">
      <w:r w:rsidRPr="00DD6D45">
        <w:rPr>
          <w:rFonts w:ascii="Arial" w:hAnsi="Arial" w:cs="Arial"/>
        </w:rPr>
        <w:drawing>
          <wp:anchor distT="0" distB="0" distL="114300" distR="114300" simplePos="0" relativeHeight="251659264" behindDoc="0" locked="0" layoutInCell="1" allowOverlap="1" wp14:anchorId="5BEEAB85" wp14:editId="6E36E2CF">
            <wp:simplePos x="0" y="0"/>
            <wp:positionH relativeFrom="margin">
              <wp:align>center</wp:align>
            </wp:positionH>
            <wp:positionV relativeFrom="paragraph">
              <wp:posOffset>381</wp:posOffset>
            </wp:positionV>
            <wp:extent cx="2800350" cy="2254250"/>
            <wp:effectExtent l="0" t="0" r="0" b="0"/>
            <wp:wrapSquare wrapText="bothSides"/>
            <wp:docPr id="141" name="Immagine 140">
              <a:extLst xmlns:a="http://schemas.openxmlformats.org/drawingml/2006/main">
                <a:ext uri="{FF2B5EF4-FFF2-40B4-BE49-F238E27FC236}">
                  <a16:creationId xmlns:a16="http://schemas.microsoft.com/office/drawing/2014/main" id="{9606AC2A-9F4F-4355-94E3-92119306E2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magine 140">
                      <a:extLst>
                        <a:ext uri="{FF2B5EF4-FFF2-40B4-BE49-F238E27FC236}">
                          <a16:creationId xmlns:a16="http://schemas.microsoft.com/office/drawing/2014/main" id="{9606AC2A-9F4F-4355-94E3-92119306E290}"/>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00350" cy="2254250"/>
                    </a:xfrm>
                    <a:prstGeom prst="rect">
                      <a:avLst/>
                    </a:prstGeom>
                  </pic:spPr>
                </pic:pic>
              </a:graphicData>
            </a:graphic>
            <wp14:sizeRelH relativeFrom="margin">
              <wp14:pctWidth>0</wp14:pctWidth>
            </wp14:sizeRelH>
            <wp14:sizeRelV relativeFrom="margin">
              <wp14:pctHeight>0</wp14:pctHeight>
            </wp14:sizeRelV>
          </wp:anchor>
        </w:drawing>
      </w:r>
    </w:p>
    <w:p w14:paraId="4177D44F" w14:textId="77777777" w:rsidR="00F51B33" w:rsidRDefault="00F51B33" w:rsidP="00F51B33">
      <w:pPr>
        <w:pStyle w:val="EndNoteBibliography"/>
        <w:spacing w:after="0"/>
        <w:rPr>
          <w:rFonts w:ascii="Arial" w:hAnsi="Arial" w:cs="Arial"/>
          <w:b/>
          <w:bCs/>
          <w:sz w:val="20"/>
          <w:szCs w:val="20"/>
          <w:lang w:val="en-US"/>
        </w:rPr>
      </w:pPr>
    </w:p>
    <w:p w14:paraId="24B0E7E3" w14:textId="77777777" w:rsidR="00F51B33" w:rsidRDefault="00F51B33" w:rsidP="00F51B33">
      <w:pPr>
        <w:pStyle w:val="EndNoteBibliography"/>
        <w:spacing w:after="0"/>
        <w:rPr>
          <w:rFonts w:ascii="Arial" w:hAnsi="Arial" w:cs="Arial"/>
          <w:b/>
          <w:bCs/>
          <w:sz w:val="20"/>
          <w:szCs w:val="20"/>
          <w:lang w:val="en-US"/>
        </w:rPr>
      </w:pPr>
    </w:p>
    <w:p w14:paraId="324729BA" w14:textId="77777777" w:rsidR="00F51B33" w:rsidRDefault="00F51B33" w:rsidP="00F51B33">
      <w:pPr>
        <w:pStyle w:val="EndNoteBibliography"/>
        <w:spacing w:after="0"/>
        <w:rPr>
          <w:rFonts w:ascii="Arial" w:hAnsi="Arial" w:cs="Arial"/>
          <w:b/>
          <w:bCs/>
          <w:sz w:val="20"/>
          <w:szCs w:val="20"/>
          <w:lang w:val="en-US"/>
        </w:rPr>
      </w:pPr>
    </w:p>
    <w:p w14:paraId="1A2985DE" w14:textId="77777777" w:rsidR="00F51B33" w:rsidRDefault="00F51B33" w:rsidP="00F51B33">
      <w:pPr>
        <w:pStyle w:val="EndNoteBibliography"/>
        <w:spacing w:after="0"/>
        <w:rPr>
          <w:rFonts w:ascii="Arial" w:hAnsi="Arial" w:cs="Arial"/>
          <w:b/>
          <w:bCs/>
          <w:sz w:val="20"/>
          <w:szCs w:val="20"/>
          <w:lang w:val="en-US"/>
        </w:rPr>
      </w:pPr>
    </w:p>
    <w:p w14:paraId="3D9AFD0D" w14:textId="77777777" w:rsidR="00F51B33" w:rsidRDefault="00F51B33" w:rsidP="00F51B33">
      <w:pPr>
        <w:pStyle w:val="EndNoteBibliography"/>
        <w:spacing w:after="0"/>
        <w:rPr>
          <w:rFonts w:ascii="Arial" w:hAnsi="Arial" w:cs="Arial"/>
          <w:b/>
          <w:bCs/>
          <w:sz w:val="20"/>
          <w:szCs w:val="20"/>
          <w:lang w:val="en-US"/>
        </w:rPr>
      </w:pPr>
    </w:p>
    <w:p w14:paraId="308EE3A0" w14:textId="77777777" w:rsidR="00F51B33" w:rsidRDefault="00F51B33" w:rsidP="00F51B33">
      <w:pPr>
        <w:pStyle w:val="EndNoteBibliography"/>
        <w:spacing w:after="0"/>
        <w:rPr>
          <w:rFonts w:ascii="Arial" w:hAnsi="Arial" w:cs="Arial"/>
          <w:b/>
          <w:bCs/>
          <w:sz w:val="20"/>
          <w:szCs w:val="20"/>
          <w:lang w:val="en-US"/>
        </w:rPr>
      </w:pPr>
    </w:p>
    <w:p w14:paraId="650B6CAF" w14:textId="77777777" w:rsidR="00F51B33" w:rsidRDefault="00F51B33" w:rsidP="00F51B33">
      <w:pPr>
        <w:pStyle w:val="EndNoteBibliography"/>
        <w:spacing w:after="0"/>
        <w:rPr>
          <w:rFonts w:ascii="Arial" w:hAnsi="Arial" w:cs="Arial"/>
          <w:b/>
          <w:bCs/>
          <w:sz w:val="20"/>
          <w:szCs w:val="20"/>
          <w:lang w:val="en-US"/>
        </w:rPr>
      </w:pPr>
    </w:p>
    <w:p w14:paraId="1F4456A1" w14:textId="77777777" w:rsidR="00F51B33" w:rsidRDefault="00F51B33" w:rsidP="00F51B33">
      <w:pPr>
        <w:pStyle w:val="EndNoteBibliography"/>
        <w:spacing w:after="0"/>
        <w:rPr>
          <w:rFonts w:ascii="Arial" w:hAnsi="Arial" w:cs="Arial"/>
          <w:b/>
          <w:bCs/>
          <w:sz w:val="20"/>
          <w:szCs w:val="20"/>
          <w:lang w:val="en-US"/>
        </w:rPr>
      </w:pPr>
    </w:p>
    <w:p w14:paraId="1A68C9A1" w14:textId="77777777" w:rsidR="00F51B33" w:rsidRDefault="00F51B33" w:rsidP="00F51B33">
      <w:pPr>
        <w:pStyle w:val="EndNoteBibliography"/>
        <w:spacing w:after="0"/>
        <w:rPr>
          <w:rFonts w:ascii="Arial" w:hAnsi="Arial" w:cs="Arial"/>
          <w:b/>
          <w:bCs/>
          <w:sz w:val="20"/>
          <w:szCs w:val="20"/>
          <w:lang w:val="en-US"/>
        </w:rPr>
      </w:pPr>
    </w:p>
    <w:p w14:paraId="0246C299" w14:textId="77777777" w:rsidR="00F51B33" w:rsidRDefault="00F51B33" w:rsidP="00F51B33">
      <w:pPr>
        <w:pStyle w:val="EndNoteBibliography"/>
        <w:spacing w:after="0"/>
        <w:rPr>
          <w:rFonts w:ascii="Arial" w:hAnsi="Arial" w:cs="Arial"/>
          <w:b/>
          <w:bCs/>
          <w:sz w:val="20"/>
          <w:szCs w:val="20"/>
          <w:lang w:val="en-US"/>
        </w:rPr>
      </w:pPr>
    </w:p>
    <w:p w14:paraId="082A238C" w14:textId="77777777" w:rsidR="00F51B33" w:rsidRDefault="00F51B33" w:rsidP="00F51B33">
      <w:pPr>
        <w:pStyle w:val="EndNoteBibliography"/>
        <w:spacing w:after="0"/>
        <w:rPr>
          <w:rFonts w:ascii="Arial" w:hAnsi="Arial" w:cs="Arial"/>
          <w:b/>
          <w:bCs/>
          <w:sz w:val="20"/>
          <w:szCs w:val="20"/>
          <w:lang w:val="en-US"/>
        </w:rPr>
      </w:pPr>
    </w:p>
    <w:p w14:paraId="17363001" w14:textId="77777777" w:rsidR="00F51B33" w:rsidRDefault="00F51B33" w:rsidP="00F51B33">
      <w:pPr>
        <w:pStyle w:val="EndNoteBibliography"/>
        <w:spacing w:after="0"/>
        <w:rPr>
          <w:rFonts w:ascii="Arial" w:hAnsi="Arial" w:cs="Arial"/>
          <w:b/>
          <w:bCs/>
          <w:sz w:val="20"/>
          <w:szCs w:val="20"/>
          <w:lang w:val="en-US"/>
        </w:rPr>
      </w:pPr>
    </w:p>
    <w:p w14:paraId="6425F676" w14:textId="77777777" w:rsidR="00F51B33" w:rsidRDefault="00F51B33" w:rsidP="00F51B33">
      <w:pPr>
        <w:pStyle w:val="EndNoteBibliography"/>
        <w:spacing w:after="0"/>
        <w:rPr>
          <w:rFonts w:ascii="Arial" w:hAnsi="Arial" w:cs="Arial"/>
          <w:b/>
          <w:bCs/>
          <w:sz w:val="20"/>
          <w:szCs w:val="20"/>
          <w:lang w:val="en-US"/>
        </w:rPr>
      </w:pPr>
    </w:p>
    <w:p w14:paraId="65C15775" w14:textId="77777777" w:rsidR="00F51B33" w:rsidRDefault="00F51B33" w:rsidP="00F51B33">
      <w:pPr>
        <w:pStyle w:val="EndNoteBibliography"/>
        <w:spacing w:after="0"/>
        <w:rPr>
          <w:rFonts w:ascii="Arial" w:hAnsi="Arial" w:cs="Arial"/>
          <w:b/>
          <w:bCs/>
          <w:sz w:val="20"/>
          <w:szCs w:val="20"/>
          <w:lang w:val="en-US"/>
        </w:rPr>
      </w:pPr>
    </w:p>
    <w:p w14:paraId="04D45255" w14:textId="77777777" w:rsidR="00F51B33" w:rsidRDefault="00F51B33" w:rsidP="00F51B33">
      <w:pPr>
        <w:pStyle w:val="EndNoteBibliography"/>
        <w:spacing w:after="0"/>
        <w:rPr>
          <w:rFonts w:ascii="Arial" w:hAnsi="Arial" w:cs="Arial"/>
          <w:b/>
          <w:bCs/>
          <w:sz w:val="20"/>
          <w:szCs w:val="20"/>
          <w:lang w:val="en-US"/>
        </w:rPr>
      </w:pPr>
    </w:p>
    <w:p w14:paraId="7205D470" w14:textId="77777777" w:rsidR="00F51B33" w:rsidRDefault="00F51B33" w:rsidP="00F51B33">
      <w:pPr>
        <w:pStyle w:val="EndNoteBibliography"/>
        <w:spacing w:after="0"/>
        <w:rPr>
          <w:rFonts w:ascii="Arial" w:hAnsi="Arial" w:cs="Arial"/>
          <w:b/>
          <w:bCs/>
          <w:sz w:val="20"/>
          <w:szCs w:val="20"/>
          <w:lang w:val="en-US"/>
        </w:rPr>
      </w:pPr>
    </w:p>
    <w:p w14:paraId="3B58E24E" w14:textId="60673269" w:rsidR="00F51B33" w:rsidRPr="0057217B" w:rsidRDefault="00F51B33" w:rsidP="00F51B33">
      <w:pPr>
        <w:pStyle w:val="EndNoteBibliography"/>
        <w:spacing w:after="0"/>
        <w:rPr>
          <w:rFonts w:ascii="Arial" w:hAnsi="Arial" w:cs="Arial"/>
          <w:sz w:val="20"/>
          <w:szCs w:val="20"/>
          <w:lang w:val="en-US"/>
        </w:rPr>
      </w:pPr>
      <w:r w:rsidRPr="0057217B">
        <w:rPr>
          <w:rFonts w:ascii="Arial" w:hAnsi="Arial" w:cs="Arial"/>
          <w:b/>
          <w:bCs/>
          <w:sz w:val="20"/>
          <w:szCs w:val="20"/>
          <w:lang w:val="en-US"/>
        </w:rPr>
        <w:t>Supplementary Figure S1:</w:t>
      </w:r>
      <w:r w:rsidRPr="0057217B">
        <w:rPr>
          <w:rFonts w:ascii="Arial" w:hAnsi="Arial" w:cs="Arial"/>
          <w:sz w:val="20"/>
          <w:szCs w:val="20"/>
          <w:lang w:val="en-US"/>
        </w:rPr>
        <w:t xml:space="preserve"> Volcano plots of DEGs of the Ang II+ICI group vs Ang II. Green dots for downregulated genes, red dots for upregulated genes (upper panels). Bar graph showing number of DEGs highlithing upregulated (red), downregulated (green), and unchanged genes (grey) (lower panel). </w:t>
      </w:r>
    </w:p>
    <w:p w14:paraId="49163BD0" w14:textId="3CBC3FBA" w:rsidR="005D6C0F" w:rsidRDefault="00F51B33">
      <w:pPr>
        <w:rPr>
          <w:lang w:val="en-US"/>
        </w:rPr>
      </w:pPr>
      <w:r w:rsidRPr="00DD6D45">
        <w:rPr>
          <w:rFonts w:ascii="Arial" w:hAnsi="Arial" w:cs="Arial"/>
        </w:rPr>
        <w:drawing>
          <wp:anchor distT="0" distB="0" distL="114300" distR="114300" simplePos="0" relativeHeight="251661312" behindDoc="0" locked="0" layoutInCell="1" allowOverlap="1" wp14:anchorId="057E8D1D" wp14:editId="54577F3F">
            <wp:simplePos x="0" y="0"/>
            <wp:positionH relativeFrom="margin">
              <wp:posOffset>990600</wp:posOffset>
            </wp:positionH>
            <wp:positionV relativeFrom="paragraph">
              <wp:posOffset>169812</wp:posOffset>
            </wp:positionV>
            <wp:extent cx="4138295" cy="4145280"/>
            <wp:effectExtent l="0" t="0" r="0" b="0"/>
            <wp:wrapSquare wrapText="bothSides"/>
            <wp:docPr id="297" name="Immagine 296">
              <a:extLst xmlns:a="http://schemas.openxmlformats.org/drawingml/2006/main">
                <a:ext uri="{FF2B5EF4-FFF2-40B4-BE49-F238E27FC236}">
                  <a16:creationId xmlns:a16="http://schemas.microsoft.com/office/drawing/2014/main" id="{87EA59E9-2E1F-448B-97E0-2AAEBBEE65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magine 296">
                      <a:extLst>
                        <a:ext uri="{FF2B5EF4-FFF2-40B4-BE49-F238E27FC236}">
                          <a16:creationId xmlns:a16="http://schemas.microsoft.com/office/drawing/2014/main" id="{87EA59E9-2E1F-448B-97E0-2AAEBBEE6555}"/>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38295" cy="4145280"/>
                    </a:xfrm>
                    <a:prstGeom prst="rect">
                      <a:avLst/>
                    </a:prstGeom>
                  </pic:spPr>
                </pic:pic>
              </a:graphicData>
            </a:graphic>
            <wp14:sizeRelH relativeFrom="margin">
              <wp14:pctWidth>0</wp14:pctWidth>
            </wp14:sizeRelH>
            <wp14:sizeRelV relativeFrom="margin">
              <wp14:pctHeight>0</wp14:pctHeight>
            </wp14:sizeRelV>
          </wp:anchor>
        </w:drawing>
      </w:r>
    </w:p>
    <w:p w14:paraId="703A979E" w14:textId="0461F337" w:rsidR="00F51B33" w:rsidRDefault="00F51B33">
      <w:pPr>
        <w:rPr>
          <w:lang w:val="en-US"/>
        </w:rPr>
      </w:pPr>
    </w:p>
    <w:p w14:paraId="1CE71879" w14:textId="57BD134F" w:rsidR="00F51B33" w:rsidRDefault="00F51B33">
      <w:pPr>
        <w:rPr>
          <w:lang w:val="en-US"/>
        </w:rPr>
      </w:pPr>
    </w:p>
    <w:p w14:paraId="3FF8E2E9" w14:textId="786C2575" w:rsidR="00F51B33" w:rsidRDefault="00F51B33">
      <w:pPr>
        <w:rPr>
          <w:lang w:val="en-US"/>
        </w:rPr>
      </w:pPr>
    </w:p>
    <w:p w14:paraId="6D0002F9" w14:textId="3BB96AA7" w:rsidR="00F51B33" w:rsidRDefault="00F51B33">
      <w:pPr>
        <w:rPr>
          <w:lang w:val="en-US"/>
        </w:rPr>
      </w:pPr>
    </w:p>
    <w:p w14:paraId="533D6F8B" w14:textId="0AA94AFC" w:rsidR="00F51B33" w:rsidRDefault="00F51B33">
      <w:pPr>
        <w:rPr>
          <w:lang w:val="en-US"/>
        </w:rPr>
      </w:pPr>
    </w:p>
    <w:p w14:paraId="1BAE62EA" w14:textId="0C157BC9" w:rsidR="00F51B33" w:rsidRDefault="00F51B33">
      <w:pPr>
        <w:rPr>
          <w:lang w:val="en-US"/>
        </w:rPr>
      </w:pPr>
    </w:p>
    <w:p w14:paraId="2F3A7A27" w14:textId="716D037B" w:rsidR="00F51B33" w:rsidRDefault="00F51B33">
      <w:pPr>
        <w:rPr>
          <w:lang w:val="en-US"/>
        </w:rPr>
      </w:pPr>
    </w:p>
    <w:p w14:paraId="7E2B734D" w14:textId="63F34748" w:rsidR="00F51B33" w:rsidRDefault="00F51B33">
      <w:pPr>
        <w:rPr>
          <w:lang w:val="en-US"/>
        </w:rPr>
      </w:pPr>
    </w:p>
    <w:p w14:paraId="07028E2B" w14:textId="0814C883" w:rsidR="00F51B33" w:rsidRDefault="00F51B33">
      <w:pPr>
        <w:rPr>
          <w:lang w:val="en-US"/>
        </w:rPr>
      </w:pPr>
    </w:p>
    <w:p w14:paraId="205D089B" w14:textId="2C1FF2EF" w:rsidR="00F51B33" w:rsidRDefault="00F51B33">
      <w:pPr>
        <w:rPr>
          <w:lang w:val="en-US"/>
        </w:rPr>
      </w:pPr>
    </w:p>
    <w:p w14:paraId="60B77F62" w14:textId="7A9EB428" w:rsidR="00F51B33" w:rsidRDefault="00F51B33">
      <w:pPr>
        <w:rPr>
          <w:lang w:val="en-US"/>
        </w:rPr>
      </w:pPr>
    </w:p>
    <w:p w14:paraId="35724F67" w14:textId="7D5CF968" w:rsidR="00F51B33" w:rsidRDefault="00F51B33">
      <w:pPr>
        <w:rPr>
          <w:lang w:val="en-US"/>
        </w:rPr>
      </w:pPr>
    </w:p>
    <w:p w14:paraId="1BA671B4" w14:textId="5B64D4C4" w:rsidR="00F51B33" w:rsidRDefault="00F51B33">
      <w:pPr>
        <w:rPr>
          <w:lang w:val="en-US"/>
        </w:rPr>
      </w:pPr>
    </w:p>
    <w:p w14:paraId="1C83E0EE" w14:textId="77777777" w:rsidR="00F51B33" w:rsidRPr="005A6429" w:rsidRDefault="00F51B33" w:rsidP="00F51B33">
      <w:pPr>
        <w:spacing w:after="0" w:line="240" w:lineRule="auto"/>
        <w:jc w:val="both"/>
        <w:rPr>
          <w:rFonts w:ascii="Arial" w:hAnsi="Arial" w:cs="Arial"/>
          <w:sz w:val="20"/>
          <w:szCs w:val="20"/>
        </w:rPr>
      </w:pPr>
      <w:r w:rsidRPr="005A6429">
        <w:rPr>
          <w:rFonts w:ascii="Arial" w:hAnsi="Arial" w:cs="Arial"/>
          <w:b/>
          <w:bCs/>
          <w:sz w:val="20"/>
          <w:szCs w:val="20"/>
          <w:lang w:val="en-US"/>
        </w:rPr>
        <w:t xml:space="preserve">Supplementary Figure S2: </w:t>
      </w:r>
      <w:r w:rsidRPr="005A6429">
        <w:rPr>
          <w:rFonts w:ascii="Arial" w:hAnsi="Arial" w:cs="Arial"/>
          <w:b/>
          <w:bCs/>
          <w:sz w:val="20"/>
          <w:szCs w:val="20"/>
        </w:rPr>
        <w:t>Supplementary Figure S2.</w:t>
      </w:r>
      <w:r w:rsidRPr="005A6429">
        <w:rPr>
          <w:rFonts w:ascii="Arial" w:hAnsi="Arial" w:cs="Arial"/>
          <w:sz w:val="20"/>
          <w:szCs w:val="20"/>
        </w:rPr>
        <w:t xml:space="preserve"> </w:t>
      </w:r>
      <w:r w:rsidRPr="005A6429">
        <w:rPr>
          <w:rFonts w:ascii="Arial" w:hAnsi="Arial" w:cs="Arial"/>
          <w:sz w:val="20"/>
          <w:szCs w:val="20"/>
          <w:lang w:val="en-US"/>
        </w:rPr>
        <w:t>Glioblastoma stem cell enrichment in T98G neurospheres. (</w:t>
      </w:r>
      <w:r w:rsidRPr="005A6429">
        <w:rPr>
          <w:rFonts w:ascii="Arial" w:hAnsi="Arial" w:cs="Arial"/>
          <w:b/>
          <w:bCs/>
          <w:sz w:val="20"/>
          <w:szCs w:val="20"/>
          <w:lang w:val="en-US"/>
        </w:rPr>
        <w:t>A</w:t>
      </w:r>
      <w:r w:rsidRPr="005A6429">
        <w:rPr>
          <w:rFonts w:ascii="Arial" w:hAnsi="Arial" w:cs="Arial"/>
          <w:sz w:val="20"/>
          <w:szCs w:val="20"/>
          <w:lang w:val="en-US"/>
        </w:rPr>
        <w:t xml:space="preserve">) Representative bright-field images of primary T98G neurospheres </w:t>
      </w:r>
      <w:r w:rsidRPr="005A6429">
        <w:rPr>
          <w:rFonts w:ascii="Arial" w:hAnsi="Arial" w:cs="Arial"/>
          <w:sz w:val="20"/>
          <w:szCs w:val="20"/>
        </w:rPr>
        <w:t xml:space="preserve">untreated (Control) or treated with Ang II alone or in combination with </w:t>
      </w:r>
      <w:r w:rsidRPr="005A6429">
        <w:rPr>
          <w:rFonts w:ascii="Arial" w:hAnsi="Arial" w:cs="Arial"/>
          <w:sz w:val="20"/>
          <w:szCs w:val="20"/>
          <w:lang w:val="en-US"/>
        </w:rPr>
        <w:t xml:space="preserve">ICI-182,780 </w:t>
      </w:r>
      <w:r w:rsidRPr="005A6429">
        <w:rPr>
          <w:rFonts w:ascii="Arial" w:hAnsi="Arial" w:cs="Arial"/>
          <w:sz w:val="20"/>
          <w:szCs w:val="20"/>
        </w:rPr>
        <w:t xml:space="preserve">(ICI, 1μM) or E2 (10nM) </w:t>
      </w:r>
      <w:r w:rsidRPr="005A6429">
        <w:rPr>
          <w:rFonts w:ascii="Arial" w:hAnsi="Arial" w:cs="Arial"/>
          <w:sz w:val="20"/>
          <w:szCs w:val="20"/>
          <w:lang w:val="en-US"/>
        </w:rPr>
        <w:t>acquired using a sCMEX-3 microscope camera (</w:t>
      </w:r>
      <w:proofErr w:type="spellStart"/>
      <w:r w:rsidRPr="005A6429">
        <w:rPr>
          <w:rFonts w:ascii="Arial" w:hAnsi="Arial" w:cs="Arial"/>
          <w:sz w:val="20"/>
          <w:szCs w:val="20"/>
          <w:lang w:val="en-US"/>
        </w:rPr>
        <w:t>Euromex</w:t>
      </w:r>
      <w:proofErr w:type="spellEnd"/>
      <w:r w:rsidRPr="005A6429">
        <w:rPr>
          <w:rFonts w:ascii="Arial" w:hAnsi="Arial" w:cs="Arial"/>
          <w:sz w:val="20"/>
          <w:szCs w:val="20"/>
          <w:lang w:val="en-US"/>
        </w:rPr>
        <w:t xml:space="preserve">, Spain) and </w:t>
      </w:r>
      <w:proofErr w:type="spellStart"/>
      <w:r w:rsidRPr="005A6429">
        <w:rPr>
          <w:rFonts w:ascii="Arial" w:hAnsi="Arial" w:cs="Arial"/>
          <w:sz w:val="20"/>
          <w:szCs w:val="20"/>
          <w:lang w:val="en-US"/>
        </w:rPr>
        <w:t>ImageFocus</w:t>
      </w:r>
      <w:proofErr w:type="spellEnd"/>
      <w:r w:rsidRPr="005A6429">
        <w:rPr>
          <w:rFonts w:ascii="Arial" w:hAnsi="Arial" w:cs="Arial"/>
          <w:sz w:val="20"/>
          <w:szCs w:val="20"/>
          <w:lang w:val="en-US"/>
        </w:rPr>
        <w:t xml:space="preserve"> Alpha software. Scale bar = 300 µm. (</w:t>
      </w:r>
      <w:r w:rsidRPr="005A6429">
        <w:rPr>
          <w:rFonts w:ascii="Arial" w:hAnsi="Arial" w:cs="Arial"/>
          <w:b/>
          <w:bCs/>
          <w:sz w:val="20"/>
          <w:szCs w:val="20"/>
          <w:lang w:val="en-US"/>
        </w:rPr>
        <w:t>B</w:t>
      </w:r>
      <w:r w:rsidRPr="005A6429">
        <w:rPr>
          <w:rFonts w:ascii="Arial" w:hAnsi="Arial" w:cs="Arial"/>
          <w:sz w:val="20"/>
          <w:szCs w:val="20"/>
          <w:lang w:val="en-US"/>
        </w:rPr>
        <w:t xml:space="preserve">) NFE assessed in T98G primary generation treated as indicated. </w:t>
      </w:r>
      <w:proofErr w:type="spellStart"/>
      <w:r w:rsidRPr="005A6429">
        <w:rPr>
          <w:rFonts w:ascii="Arial" w:hAnsi="Arial" w:cs="Arial"/>
          <w:sz w:val="20"/>
          <w:szCs w:val="20"/>
          <w:lang w:val="en-US"/>
        </w:rPr>
        <w:t>qRT</w:t>
      </w:r>
      <w:proofErr w:type="spellEnd"/>
      <w:r w:rsidRPr="005A6429">
        <w:rPr>
          <w:rFonts w:ascii="Arial" w:hAnsi="Arial" w:cs="Arial"/>
          <w:sz w:val="20"/>
          <w:szCs w:val="20"/>
          <w:lang w:val="en-US"/>
        </w:rPr>
        <w:t>-PCR in T98G neurospheres to analyze (</w:t>
      </w:r>
      <w:r w:rsidRPr="005A6429">
        <w:rPr>
          <w:rFonts w:ascii="Arial" w:hAnsi="Arial" w:cs="Arial"/>
          <w:b/>
          <w:bCs/>
          <w:sz w:val="20"/>
          <w:szCs w:val="20"/>
          <w:lang w:val="en-US"/>
        </w:rPr>
        <w:t>C</w:t>
      </w:r>
      <w:r w:rsidRPr="005A6429">
        <w:rPr>
          <w:rFonts w:ascii="Arial" w:hAnsi="Arial" w:cs="Arial"/>
          <w:sz w:val="20"/>
          <w:szCs w:val="20"/>
          <w:lang w:val="en-US"/>
        </w:rPr>
        <w:t>) CD133 and CD44 or (</w:t>
      </w:r>
      <w:r w:rsidRPr="005A6429">
        <w:rPr>
          <w:rFonts w:ascii="Arial" w:hAnsi="Arial" w:cs="Arial"/>
          <w:b/>
          <w:bCs/>
          <w:sz w:val="20"/>
          <w:szCs w:val="20"/>
          <w:lang w:val="en-US"/>
        </w:rPr>
        <w:t>D</w:t>
      </w:r>
      <w:r w:rsidRPr="005A6429">
        <w:rPr>
          <w:rFonts w:ascii="Arial" w:hAnsi="Arial" w:cs="Arial"/>
          <w:sz w:val="20"/>
          <w:szCs w:val="20"/>
          <w:lang w:val="en-US"/>
        </w:rPr>
        <w:t xml:space="preserve">) NOTCH1, NOTCH4, OCT4, SOX2 and SOX4 mRNA levels. 18S rRNA was used to normalize the variability in template loading. The histograms represent the means ± S.D. of three different experiments each performed in triplicate. </w:t>
      </w:r>
      <w:r w:rsidRPr="005A6429">
        <w:rPr>
          <w:rFonts w:ascii="Arial" w:hAnsi="Arial" w:cs="Arial"/>
          <w:sz w:val="20"/>
          <w:szCs w:val="20"/>
        </w:rPr>
        <w:t xml:space="preserve">Statistical analysis was performed using one-way ANOVA with the GraphPad Prism 9 software. *p&lt;0.05 </w:t>
      </w:r>
      <w:r w:rsidRPr="005A6429">
        <w:rPr>
          <w:rFonts w:ascii="Arial" w:hAnsi="Arial" w:cs="Arial"/>
          <w:i/>
          <w:iCs/>
          <w:sz w:val="20"/>
          <w:szCs w:val="20"/>
        </w:rPr>
        <w:t>vs</w:t>
      </w:r>
      <w:r w:rsidRPr="005A6429">
        <w:rPr>
          <w:rFonts w:ascii="Arial" w:hAnsi="Arial" w:cs="Arial"/>
          <w:sz w:val="20"/>
          <w:szCs w:val="20"/>
        </w:rPr>
        <w:t xml:space="preserve"> C, **p&lt;0.01 </w:t>
      </w:r>
      <w:r w:rsidRPr="005A6429">
        <w:rPr>
          <w:rFonts w:ascii="Arial" w:hAnsi="Arial" w:cs="Arial"/>
          <w:i/>
          <w:iCs/>
          <w:sz w:val="20"/>
          <w:szCs w:val="20"/>
        </w:rPr>
        <w:t>vs</w:t>
      </w:r>
      <w:r w:rsidRPr="005A6429">
        <w:rPr>
          <w:rFonts w:ascii="Arial" w:hAnsi="Arial" w:cs="Arial"/>
          <w:sz w:val="20"/>
          <w:szCs w:val="20"/>
        </w:rPr>
        <w:t xml:space="preserve"> C and ***p&lt;0.001</w:t>
      </w:r>
      <w:r w:rsidRPr="005A6429">
        <w:rPr>
          <w:rFonts w:ascii="Arial" w:hAnsi="Arial" w:cs="Arial"/>
          <w:i/>
          <w:iCs/>
          <w:sz w:val="20"/>
          <w:szCs w:val="20"/>
        </w:rPr>
        <w:t xml:space="preserve"> vs</w:t>
      </w:r>
      <w:r w:rsidRPr="005A6429">
        <w:rPr>
          <w:rFonts w:ascii="Arial" w:hAnsi="Arial" w:cs="Arial"/>
          <w:sz w:val="20"/>
          <w:szCs w:val="20"/>
        </w:rPr>
        <w:t xml:space="preserve"> C; ••p&lt;0.01 </w:t>
      </w:r>
      <w:r w:rsidRPr="005A6429">
        <w:rPr>
          <w:rFonts w:ascii="Arial" w:hAnsi="Arial" w:cs="Arial"/>
          <w:i/>
          <w:iCs/>
          <w:sz w:val="20"/>
          <w:szCs w:val="20"/>
        </w:rPr>
        <w:t>vs</w:t>
      </w:r>
      <w:r w:rsidRPr="005A6429">
        <w:rPr>
          <w:rFonts w:ascii="Arial" w:hAnsi="Arial" w:cs="Arial"/>
          <w:sz w:val="20"/>
          <w:szCs w:val="20"/>
        </w:rPr>
        <w:t xml:space="preserve"> Ang II, •••p&lt;0.001 </w:t>
      </w:r>
      <w:r w:rsidRPr="005A6429">
        <w:rPr>
          <w:rFonts w:ascii="Arial" w:hAnsi="Arial" w:cs="Arial"/>
          <w:i/>
          <w:iCs/>
          <w:sz w:val="20"/>
          <w:szCs w:val="20"/>
        </w:rPr>
        <w:t>vs</w:t>
      </w:r>
      <w:r w:rsidRPr="005A6429">
        <w:rPr>
          <w:rFonts w:ascii="Arial" w:hAnsi="Arial" w:cs="Arial"/>
          <w:sz w:val="20"/>
          <w:szCs w:val="20"/>
        </w:rPr>
        <w:t xml:space="preserve"> Ang II.</w:t>
      </w:r>
    </w:p>
    <w:p w14:paraId="0A58C5BC" w14:textId="77777777" w:rsidR="00F51B33" w:rsidRPr="00DD6D45" w:rsidRDefault="00F51B33" w:rsidP="00F51B33">
      <w:pPr>
        <w:pStyle w:val="EndNoteBibliography"/>
        <w:spacing w:after="0"/>
        <w:ind w:left="720" w:hanging="720"/>
        <w:rPr>
          <w:rFonts w:ascii="Arial" w:hAnsi="Arial" w:cs="Arial"/>
          <w:b/>
          <w:bCs/>
          <w:lang w:val="en-US"/>
        </w:rPr>
      </w:pPr>
    </w:p>
    <w:p w14:paraId="0AA6646A" w14:textId="17C9D7BA" w:rsidR="00F51B33" w:rsidRPr="00DD6D45" w:rsidRDefault="00F51B33" w:rsidP="00F51B33">
      <w:pPr>
        <w:pStyle w:val="EndNoteBibliography"/>
        <w:spacing w:after="0"/>
        <w:ind w:left="720" w:hanging="720"/>
        <w:rPr>
          <w:rFonts w:ascii="Arial" w:hAnsi="Arial" w:cs="Arial"/>
          <w:lang w:val="en-US"/>
        </w:rPr>
      </w:pPr>
      <w:r w:rsidRPr="00DD6D45">
        <w:rPr>
          <w:rFonts w:ascii="Arial" w:hAnsi="Arial" w:cs="Arial"/>
          <w:lang w:val="en"/>
        </w:rPr>
        <w:drawing>
          <wp:anchor distT="0" distB="0" distL="114300" distR="114300" simplePos="0" relativeHeight="251663360" behindDoc="0" locked="0" layoutInCell="1" allowOverlap="1" wp14:anchorId="4E32C171" wp14:editId="1EF9CE77">
            <wp:simplePos x="0" y="0"/>
            <wp:positionH relativeFrom="margin">
              <wp:posOffset>1278890</wp:posOffset>
            </wp:positionH>
            <wp:positionV relativeFrom="paragraph">
              <wp:posOffset>137695</wp:posOffset>
            </wp:positionV>
            <wp:extent cx="3559810" cy="2011680"/>
            <wp:effectExtent l="0" t="0" r="2540" b="0"/>
            <wp:wrapSquare wrapText="bothSides"/>
            <wp:docPr id="31" name="Immagine 30">
              <a:extLst xmlns:a="http://schemas.openxmlformats.org/drawingml/2006/main">
                <a:ext uri="{FF2B5EF4-FFF2-40B4-BE49-F238E27FC236}">
                  <a16:creationId xmlns:a16="http://schemas.microsoft.com/office/drawing/2014/main" id="{B394A2F9-B22A-064A-32CF-31299BD196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magine 30">
                      <a:extLst>
                        <a:ext uri="{FF2B5EF4-FFF2-40B4-BE49-F238E27FC236}">
                          <a16:creationId xmlns:a16="http://schemas.microsoft.com/office/drawing/2014/main" id="{B394A2F9-B22A-064A-32CF-31299BD19654}"/>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559810" cy="2011680"/>
                    </a:xfrm>
                    <a:prstGeom prst="rect">
                      <a:avLst/>
                    </a:prstGeom>
                  </pic:spPr>
                </pic:pic>
              </a:graphicData>
            </a:graphic>
          </wp:anchor>
        </w:drawing>
      </w:r>
    </w:p>
    <w:p w14:paraId="2C66E2F1" w14:textId="0EC78870" w:rsidR="00F51B33" w:rsidRPr="00DD6D45" w:rsidRDefault="00F51B33" w:rsidP="00F51B33">
      <w:pPr>
        <w:pStyle w:val="EndNoteBibliography"/>
        <w:spacing w:after="0"/>
        <w:ind w:left="720" w:hanging="720"/>
        <w:rPr>
          <w:rFonts w:ascii="Arial" w:hAnsi="Arial" w:cs="Arial"/>
          <w:lang w:val="en-US"/>
        </w:rPr>
      </w:pPr>
    </w:p>
    <w:p w14:paraId="021D0661" w14:textId="77777777" w:rsidR="00F51B33" w:rsidRPr="00DD6D45" w:rsidRDefault="00F51B33" w:rsidP="00F51B33">
      <w:pPr>
        <w:pStyle w:val="EndNoteBibliography"/>
        <w:spacing w:after="0"/>
        <w:ind w:left="720" w:hanging="720"/>
        <w:rPr>
          <w:rFonts w:ascii="Arial" w:hAnsi="Arial" w:cs="Arial"/>
          <w:lang w:val="en-US"/>
        </w:rPr>
      </w:pPr>
    </w:p>
    <w:p w14:paraId="2E8A6E03" w14:textId="77777777" w:rsidR="00F51B33" w:rsidRPr="00DD6D45" w:rsidRDefault="00F51B33" w:rsidP="00F51B33">
      <w:pPr>
        <w:pStyle w:val="EndNoteBibliography"/>
        <w:spacing w:after="0"/>
        <w:ind w:left="720" w:hanging="720"/>
        <w:rPr>
          <w:rFonts w:ascii="Arial" w:hAnsi="Arial" w:cs="Arial"/>
          <w:lang w:val="en-US"/>
        </w:rPr>
      </w:pPr>
    </w:p>
    <w:p w14:paraId="0FAB3A78" w14:textId="77777777" w:rsidR="00F51B33" w:rsidRPr="00DD6D45" w:rsidRDefault="00F51B33" w:rsidP="00F51B33">
      <w:pPr>
        <w:pStyle w:val="EndNoteBibliography"/>
        <w:spacing w:after="0"/>
        <w:ind w:left="720" w:hanging="720"/>
        <w:rPr>
          <w:rFonts w:ascii="Arial" w:hAnsi="Arial" w:cs="Arial"/>
          <w:lang w:val="en-US"/>
        </w:rPr>
      </w:pPr>
    </w:p>
    <w:p w14:paraId="36EEBBC0" w14:textId="77777777" w:rsidR="00F51B33" w:rsidRPr="00DD6D45" w:rsidRDefault="00F51B33" w:rsidP="00F51B33">
      <w:pPr>
        <w:pStyle w:val="EndNoteBibliography"/>
        <w:spacing w:after="0"/>
        <w:ind w:left="720" w:hanging="720"/>
        <w:rPr>
          <w:rFonts w:ascii="Arial" w:hAnsi="Arial" w:cs="Arial"/>
          <w:lang w:val="en-US"/>
        </w:rPr>
      </w:pPr>
    </w:p>
    <w:p w14:paraId="7FA58A64" w14:textId="77777777" w:rsidR="00F51B33" w:rsidRPr="00DD6D45" w:rsidRDefault="00F51B33" w:rsidP="00F51B33">
      <w:pPr>
        <w:pStyle w:val="EndNoteBibliography"/>
        <w:spacing w:after="0"/>
        <w:ind w:left="720" w:hanging="720"/>
        <w:rPr>
          <w:rFonts w:ascii="Arial" w:hAnsi="Arial" w:cs="Arial"/>
          <w:lang w:val="en-US"/>
        </w:rPr>
      </w:pPr>
    </w:p>
    <w:p w14:paraId="0CBB0FC6" w14:textId="77777777" w:rsidR="00F51B33" w:rsidRPr="00DD6D45" w:rsidRDefault="00F51B33" w:rsidP="00F51B33">
      <w:pPr>
        <w:pStyle w:val="EndNoteBibliography"/>
        <w:spacing w:after="0"/>
        <w:ind w:left="720" w:hanging="720"/>
        <w:rPr>
          <w:rFonts w:ascii="Arial" w:hAnsi="Arial" w:cs="Arial"/>
          <w:lang w:val="en-US"/>
        </w:rPr>
      </w:pPr>
    </w:p>
    <w:p w14:paraId="7F58D2B4" w14:textId="77777777" w:rsidR="00F51B33" w:rsidRPr="00DD6D45" w:rsidRDefault="00F51B33" w:rsidP="00F51B33">
      <w:pPr>
        <w:pStyle w:val="EndNoteBibliography"/>
        <w:spacing w:after="0"/>
        <w:ind w:left="720" w:hanging="720"/>
        <w:rPr>
          <w:rFonts w:ascii="Arial" w:hAnsi="Arial" w:cs="Arial"/>
          <w:lang w:val="en-US"/>
        </w:rPr>
      </w:pPr>
    </w:p>
    <w:p w14:paraId="0D9830F0" w14:textId="77777777" w:rsidR="00F51B33" w:rsidRPr="00DD6D45" w:rsidRDefault="00F51B33" w:rsidP="00F51B33">
      <w:pPr>
        <w:pStyle w:val="EndNoteBibliography"/>
        <w:spacing w:after="0"/>
        <w:ind w:left="720" w:hanging="720"/>
        <w:rPr>
          <w:rFonts w:ascii="Arial" w:hAnsi="Arial" w:cs="Arial"/>
          <w:lang w:val="en-US"/>
        </w:rPr>
      </w:pPr>
    </w:p>
    <w:p w14:paraId="229A303F" w14:textId="77777777" w:rsidR="00F51B33" w:rsidRPr="00DD6D45" w:rsidRDefault="00F51B33" w:rsidP="00F51B33">
      <w:pPr>
        <w:pStyle w:val="EndNoteBibliography"/>
        <w:spacing w:after="0"/>
        <w:ind w:left="720" w:hanging="720"/>
        <w:rPr>
          <w:rFonts w:ascii="Arial" w:hAnsi="Arial" w:cs="Arial"/>
          <w:lang w:val="en-US"/>
        </w:rPr>
      </w:pPr>
    </w:p>
    <w:p w14:paraId="10399830" w14:textId="77777777" w:rsidR="00F51B33" w:rsidRPr="00DD6D45" w:rsidRDefault="00F51B33" w:rsidP="00F51B33">
      <w:pPr>
        <w:pStyle w:val="EndNoteBibliography"/>
        <w:spacing w:after="0"/>
        <w:ind w:left="720" w:hanging="720"/>
        <w:rPr>
          <w:rFonts w:ascii="Arial" w:hAnsi="Arial" w:cs="Arial"/>
          <w:lang w:val="en-US"/>
        </w:rPr>
      </w:pPr>
    </w:p>
    <w:p w14:paraId="0C901EDD" w14:textId="77777777" w:rsidR="00F51B33" w:rsidRPr="00DD6D45" w:rsidRDefault="00F51B33" w:rsidP="00F51B33">
      <w:pPr>
        <w:pStyle w:val="EndNoteBibliography"/>
        <w:spacing w:after="0"/>
        <w:rPr>
          <w:rFonts w:ascii="Arial" w:hAnsi="Arial" w:cs="Arial"/>
          <w:lang w:val="en-US"/>
        </w:rPr>
      </w:pPr>
    </w:p>
    <w:p w14:paraId="0FFCCB52" w14:textId="77777777" w:rsidR="00F51B33" w:rsidRPr="00DD6D45" w:rsidRDefault="00F51B33" w:rsidP="00F51B33">
      <w:pPr>
        <w:pStyle w:val="EndNoteBibliography"/>
        <w:spacing w:after="0"/>
        <w:ind w:left="720" w:hanging="720"/>
        <w:rPr>
          <w:rFonts w:ascii="Arial" w:hAnsi="Arial" w:cs="Arial"/>
          <w:lang w:val="en-US"/>
        </w:rPr>
      </w:pPr>
    </w:p>
    <w:p w14:paraId="7010C3C1" w14:textId="77777777" w:rsidR="00F51B33" w:rsidRPr="00DD6D45" w:rsidRDefault="00F51B33" w:rsidP="00F51B33">
      <w:pPr>
        <w:jc w:val="both"/>
        <w:rPr>
          <w:rFonts w:ascii="Arial" w:hAnsi="Arial" w:cs="Arial"/>
          <w:sz w:val="20"/>
          <w:szCs w:val="20"/>
        </w:rPr>
      </w:pPr>
      <w:r w:rsidRPr="00DD6D45">
        <w:rPr>
          <w:rFonts w:ascii="Arial" w:hAnsi="Arial" w:cs="Arial"/>
          <w:b/>
          <w:bCs/>
          <w:sz w:val="20"/>
          <w:szCs w:val="20"/>
          <w:lang w:val="en-US"/>
        </w:rPr>
        <w:t xml:space="preserve">Supplementary Figure S3: </w:t>
      </w:r>
      <w:r w:rsidRPr="00DD6D45">
        <w:rPr>
          <w:rFonts w:ascii="Arial" w:hAnsi="Arial" w:cs="Arial"/>
          <w:sz w:val="20"/>
          <w:szCs w:val="20"/>
          <w:lang w:val="en-US"/>
        </w:rPr>
        <w:t>GLI-1 (left panel) and SMO (right panel) mRNA expression in cells untreated (Control) or treated with Ang II (</w:t>
      </w:r>
      <w:r w:rsidRPr="00DD6D45">
        <w:rPr>
          <w:rFonts w:ascii="Arial" w:hAnsi="Arial" w:cs="Arial"/>
          <w:sz w:val="20"/>
          <w:szCs w:val="20"/>
        </w:rPr>
        <w:t>5μM) alone or in combination with</w:t>
      </w:r>
      <w:r w:rsidRPr="00DD6D45">
        <w:rPr>
          <w:rFonts w:ascii="Arial" w:hAnsi="Arial" w:cs="Arial"/>
          <w:sz w:val="20"/>
          <w:szCs w:val="20"/>
          <w:lang w:val="en-US"/>
        </w:rPr>
        <w:t xml:space="preserve"> ICI-182,780 </w:t>
      </w:r>
      <w:r w:rsidRPr="00DD6D45">
        <w:rPr>
          <w:rFonts w:ascii="Arial" w:hAnsi="Arial" w:cs="Arial"/>
          <w:sz w:val="20"/>
          <w:szCs w:val="20"/>
        </w:rPr>
        <w:t>(ICI, 1μM) or E2 (10nM).</w:t>
      </w:r>
      <w:r w:rsidRPr="00DD6D45">
        <w:rPr>
          <w:rFonts w:ascii="Arial" w:hAnsi="Arial" w:cs="Arial"/>
          <w:sz w:val="20"/>
          <w:szCs w:val="20"/>
          <w:lang w:val="en-US"/>
        </w:rPr>
        <w:t xml:space="preserve"> 18S rRNA was used as internal control. Histograms represent the mean ± S.D. of three independent experiments. </w:t>
      </w:r>
      <w:r w:rsidRPr="00DD6D45">
        <w:rPr>
          <w:rFonts w:ascii="Arial" w:hAnsi="Arial" w:cs="Arial"/>
          <w:sz w:val="20"/>
          <w:szCs w:val="20"/>
        </w:rPr>
        <w:t xml:space="preserve">Statistical analysis was performed using Student t-test with the GraphPad Prism 10 software. *p&lt;0.05 </w:t>
      </w:r>
      <w:r w:rsidRPr="00DD6D45">
        <w:rPr>
          <w:rFonts w:ascii="Arial" w:hAnsi="Arial" w:cs="Arial"/>
          <w:i/>
          <w:iCs/>
          <w:sz w:val="20"/>
          <w:szCs w:val="20"/>
        </w:rPr>
        <w:t>vs</w:t>
      </w:r>
      <w:r w:rsidRPr="00DD6D45">
        <w:rPr>
          <w:rFonts w:ascii="Arial" w:hAnsi="Arial" w:cs="Arial"/>
          <w:sz w:val="20"/>
          <w:szCs w:val="20"/>
        </w:rPr>
        <w:t xml:space="preserve"> C, and **p&lt;0.01 </w:t>
      </w:r>
      <w:r w:rsidRPr="00DD6D45">
        <w:rPr>
          <w:rFonts w:ascii="Arial" w:hAnsi="Arial" w:cs="Arial"/>
          <w:i/>
          <w:iCs/>
          <w:sz w:val="20"/>
          <w:szCs w:val="20"/>
        </w:rPr>
        <w:t>vs</w:t>
      </w:r>
      <w:r w:rsidRPr="00DD6D45">
        <w:rPr>
          <w:rFonts w:ascii="Arial" w:hAnsi="Arial" w:cs="Arial"/>
          <w:sz w:val="20"/>
          <w:szCs w:val="20"/>
        </w:rPr>
        <w:t xml:space="preserve"> C; •p&lt;0.05 </w:t>
      </w:r>
      <w:r w:rsidRPr="00DD6D45">
        <w:rPr>
          <w:rFonts w:ascii="Arial" w:hAnsi="Arial" w:cs="Arial"/>
          <w:i/>
          <w:iCs/>
          <w:sz w:val="20"/>
          <w:szCs w:val="20"/>
        </w:rPr>
        <w:t>vs</w:t>
      </w:r>
      <w:r w:rsidRPr="00DD6D45">
        <w:rPr>
          <w:rFonts w:ascii="Arial" w:hAnsi="Arial" w:cs="Arial"/>
          <w:sz w:val="20"/>
          <w:szCs w:val="20"/>
        </w:rPr>
        <w:t xml:space="preserve"> Ang II.</w:t>
      </w:r>
    </w:p>
    <w:p w14:paraId="46433CE4" w14:textId="77777777" w:rsidR="00F51B33" w:rsidRPr="00F51B33" w:rsidRDefault="00F51B33">
      <w:pPr>
        <w:rPr>
          <w:lang w:val="en-US"/>
        </w:rPr>
      </w:pPr>
    </w:p>
    <w:sectPr w:rsidR="00F51B33" w:rsidRPr="00F51B3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33"/>
    <w:rsid w:val="004F411E"/>
    <w:rsid w:val="005D6C0F"/>
    <w:rsid w:val="00F51B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49C09"/>
  <w15:chartTrackingRefBased/>
  <w15:docId w15:val="{036D0084-DAF6-415A-9AD0-5F8E53E9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51B33"/>
    <w:pPr>
      <w:spacing w:line="278" w:lineRule="auto"/>
    </w:pPr>
    <w:rPr>
      <w:rFonts w:ascii="Aptos" w:eastAsia="Aptos" w:hAnsi="Aptos" w:cs="Aptos"/>
      <w:kern w:val="0"/>
      <w:sz w:val="24"/>
      <w:szCs w:val="24"/>
      <w:lang w:val="en"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ndNoteBibliography">
    <w:name w:val="EndNote Bibliography"/>
    <w:basedOn w:val="Normale"/>
    <w:link w:val="EndNoteBibliographyCarattere"/>
    <w:rsid w:val="00F51B33"/>
    <w:pPr>
      <w:spacing w:line="240" w:lineRule="auto"/>
      <w:jc w:val="both"/>
    </w:pPr>
    <w:rPr>
      <w:noProof/>
      <w:lang w:val="it-IT"/>
    </w:rPr>
  </w:style>
  <w:style w:type="character" w:customStyle="1" w:styleId="EndNoteBibliographyCarattere">
    <w:name w:val="EndNote Bibliography Carattere"/>
    <w:basedOn w:val="Carpredefinitoparagrafo"/>
    <w:link w:val="EndNoteBibliography"/>
    <w:rsid w:val="00F51B33"/>
    <w:rPr>
      <w:rFonts w:ascii="Aptos" w:eastAsia="Aptos" w:hAnsi="Aptos" w:cs="Aptos"/>
      <w:noProof/>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258</Words>
  <Characters>1475</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Daniela</dc:creator>
  <cp:keywords/>
  <dc:description/>
  <cp:lastModifiedBy>Giuseppina Daniela</cp:lastModifiedBy>
  <cp:revision>1</cp:revision>
  <dcterms:created xsi:type="dcterms:W3CDTF">2026-08-06T09:46:00Z</dcterms:created>
  <dcterms:modified xsi:type="dcterms:W3CDTF">2026-08-06T09:48:00Z</dcterms:modified>
</cp:coreProperties>
</file>