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60B0D" w14:textId="77777777" w:rsidR="005C1E49" w:rsidRDefault="005C1E49" w:rsidP="005C1E49">
      <w:pPr>
        <w:rPr>
          <w:rFonts w:ascii="Calibri" w:eastAsia="Calibri" w:hAnsi="Calibri" w:cs="Calibri"/>
          <w:color w:val="467886"/>
          <w:u w:val="single"/>
        </w:rPr>
      </w:pPr>
    </w:p>
    <w:p w14:paraId="7622B96D" w14:textId="77777777" w:rsidR="005C1E49" w:rsidRPr="00882CF2" w:rsidRDefault="005C1E49" w:rsidP="005C1E49">
      <w:pPr>
        <w:pStyle w:val="Heading1"/>
        <w:rPr>
          <w:u w:val="single"/>
        </w:rPr>
      </w:pPr>
      <w:r w:rsidRPr="00882CF2">
        <w:rPr>
          <w:u w:val="single"/>
        </w:rPr>
        <w:t>Supporting Information</w:t>
      </w:r>
    </w:p>
    <w:p w14:paraId="2D308448" w14:textId="77777777" w:rsidR="005C1E49" w:rsidRDefault="005C1E49" w:rsidP="005C1E49">
      <w:pPr>
        <w:keepNext/>
      </w:pPr>
      <w:r>
        <w:rPr>
          <w:rFonts w:ascii="Calibri" w:eastAsia="Calibri" w:hAnsi="Calibri" w:cs="Calibri"/>
          <w:noProof/>
          <w:color w:val="467886"/>
          <w:u w:val="single"/>
        </w:rPr>
        <w:drawing>
          <wp:inline distT="0" distB="0" distL="0" distR="0" wp14:anchorId="1B61EEF1" wp14:editId="1718556A">
            <wp:extent cx="5928020" cy="3614420"/>
            <wp:effectExtent l="0" t="0" r="3175" b="5080"/>
            <wp:docPr id="14567119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711957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8020" cy="361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F9766" w14:textId="77777777" w:rsidR="005C1E49" w:rsidRPr="008B5442" w:rsidRDefault="005C1E49" w:rsidP="005C1E49">
      <w:pPr>
        <w:pStyle w:val="Caption"/>
        <w:rPr>
          <w:rFonts w:ascii="Calibri" w:eastAsia="Calibri" w:hAnsi="Calibri" w:cs="Calibri"/>
          <w:color w:val="467886"/>
          <w:u w:val="single"/>
        </w:rPr>
      </w:pPr>
      <w:r w:rsidRPr="00882CF2">
        <w:rPr>
          <w:rFonts w:ascii="Calibri" w:hAnsi="Calibri" w:cs="Calibri"/>
        </w:rPr>
        <w:t>Figure S</w:t>
      </w:r>
      <w:r w:rsidRPr="00882CF2">
        <w:rPr>
          <w:rFonts w:ascii="Calibri" w:hAnsi="Calibri" w:cs="Calibri"/>
        </w:rPr>
        <w:fldChar w:fldCharType="begin"/>
      </w:r>
      <w:r w:rsidRPr="00882CF2">
        <w:rPr>
          <w:rFonts w:ascii="Calibri" w:hAnsi="Calibri" w:cs="Calibri"/>
        </w:rPr>
        <w:instrText xml:space="preserve"> SEQ Figure \* ARABIC </w:instrText>
      </w:r>
      <w:r w:rsidRPr="00882CF2">
        <w:rPr>
          <w:rFonts w:ascii="Calibri" w:hAnsi="Calibri" w:cs="Calibri"/>
        </w:rPr>
        <w:fldChar w:fldCharType="separate"/>
      </w:r>
      <w:r w:rsidRPr="00882CF2">
        <w:rPr>
          <w:rFonts w:ascii="Calibri" w:hAnsi="Calibri" w:cs="Calibri"/>
          <w:noProof/>
        </w:rPr>
        <w:t>1</w:t>
      </w:r>
      <w:r w:rsidRPr="00882CF2">
        <w:rPr>
          <w:rFonts w:ascii="Calibri" w:hAnsi="Calibri" w:cs="Calibri"/>
        </w:rPr>
        <w:fldChar w:fldCharType="end"/>
      </w:r>
      <w:r w:rsidRPr="00882CF2">
        <w:rPr>
          <w:rFonts w:ascii="Calibri" w:hAnsi="Calibri" w:cs="Calibri"/>
        </w:rPr>
        <w:t>: Cumulative Pore Size Distributions for ACC-ILL sample obtained from fitting the experimental isotherms to the theoretical kernels: H</w:t>
      </w:r>
      <w:r w:rsidRPr="00882CF2">
        <w:rPr>
          <w:rFonts w:ascii="Calibri" w:hAnsi="Calibri" w:cs="Calibri"/>
          <w:vertAlign w:val="subscript"/>
        </w:rPr>
        <w:t>2</w:t>
      </w:r>
      <w:r w:rsidRPr="00882CF2">
        <w:rPr>
          <w:rFonts w:ascii="Calibri" w:hAnsi="Calibri" w:cs="Calibri"/>
        </w:rPr>
        <w:t xml:space="preserve"> (blue), D</w:t>
      </w:r>
      <w:r w:rsidRPr="00882CF2">
        <w:rPr>
          <w:rFonts w:ascii="Calibri" w:hAnsi="Calibri" w:cs="Calibri"/>
          <w:vertAlign w:val="subscript"/>
        </w:rPr>
        <w:t>2</w:t>
      </w:r>
      <w:r w:rsidRPr="00882CF2">
        <w:rPr>
          <w:rFonts w:ascii="Calibri" w:hAnsi="Calibri" w:cs="Calibri"/>
        </w:rPr>
        <w:t xml:space="preserve"> (orange), and N</w:t>
      </w:r>
      <w:r w:rsidRPr="00882CF2">
        <w:rPr>
          <w:rFonts w:ascii="Calibri" w:hAnsi="Calibri" w:cs="Calibri"/>
          <w:vertAlign w:val="subscript"/>
        </w:rPr>
        <w:t>2</w:t>
      </w:r>
      <w:r w:rsidRPr="00882CF2">
        <w:rPr>
          <w:rFonts w:ascii="Calibri" w:hAnsi="Calibri" w:cs="Calibri"/>
        </w:rPr>
        <w:t xml:space="preserve"> (green).</w:t>
      </w:r>
    </w:p>
    <w:p w14:paraId="3D6FE458" w14:textId="77777777" w:rsidR="005C1E49" w:rsidRPr="00882CF2" w:rsidRDefault="005C1E49" w:rsidP="005C1E49">
      <w:pPr>
        <w:ind w:firstLine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Figure S1 shows the c</w:t>
      </w:r>
      <w:r w:rsidRPr="00882CF2">
        <w:rPr>
          <w:rFonts w:ascii="Calibri" w:hAnsi="Calibri" w:cs="Calibri"/>
          <w:color w:val="000000"/>
        </w:rPr>
        <w:t>umulative pore size distributions for the H₂, D₂, and N₂ kernels. All three probes converge to a comparable total pore volume of ~0.59 cm³/g,</w:t>
      </w:r>
      <w:r>
        <w:rPr>
          <w:rFonts w:ascii="Calibri" w:hAnsi="Calibri" w:cs="Calibri"/>
          <w:color w:val="000000"/>
        </w:rPr>
        <w:t xml:space="preserve"> consistent with previous calculations,</w:t>
      </w:r>
      <w:r>
        <w:rPr>
          <w:rFonts w:ascii="Calibri" w:hAnsi="Calibri" w:cs="Calibri"/>
          <w:color w:val="000000"/>
        </w:rPr>
        <w:fldChar w:fldCharType="begin"/>
      </w:r>
      <w:r>
        <w:rPr>
          <w:rFonts w:ascii="Calibri" w:hAnsi="Calibri" w:cs="Calibri"/>
          <w:color w:val="000000"/>
        </w:rPr>
        <w:instrText xml:space="preserve"> ADDIN EN.CITE &lt;EndNote&gt;&lt;Cite&gt;&lt;Author&gt;Stock&lt;/Author&gt;&lt;Year&gt;2025&lt;/Year&gt;&lt;RecNum&gt;34&lt;/RecNum&gt;&lt;DisplayText&gt;&lt;style face="superscript"&gt;8&lt;/style&gt;&lt;/DisplayText&gt;&lt;record&gt;&lt;rec-number&gt;34&lt;/rec-number&gt;&lt;foreign-keys&gt;&lt;key app="EN" db-id="rtrxs2dr6020t2ers5w50fr920ss5zwzaz00" timestamp="1763653703"&gt;34&lt;/key&gt;&lt;/foreign-keys&gt;&lt;ref-type name="Journal Article"&gt;17&lt;/ref-type&gt;&lt;contributors&gt;&lt;authors&gt;&lt;author&gt;Stock, Sebastian&lt;/author&gt;&lt;author&gt;Corrente, Nicholas&lt;/author&gt;&lt;author&gt;Seyffertitz, Malina&lt;/author&gt;&lt;author&gt;Rauscher, Max Valentin&lt;/author&gt;&lt;author&gt;Zeiler, Stefan&lt;/author&gt;&lt;author&gt;Kostoglou, Nikolaos&lt;/author&gt;&lt;author&gt;Demé, Bruno&lt;/author&gt;&lt;author&gt;Marks, Nigel A&lt;/author&gt;&lt;author&gt;Neimark, Alexander V&lt;/author&gt;&lt;author&gt;Paris, Oskar&lt;/author&gt;&lt;/authors&gt;&lt;/contributors&gt;&lt;titles&gt;&lt;title&gt;On the supercritical adsorption of molecular hydrogen and deuterium in microporous carbons&lt;/title&gt;&lt;secondary-title&gt;Carbon&lt;/secondary-title&gt;&lt;/titles&gt;&lt;periodical&gt;&lt;full-title&gt;Carbon&lt;/full-title&gt;&lt;/periodical&gt;&lt;pages&gt;120436&lt;/pages&gt;&lt;dates&gt;&lt;year&gt;2025&lt;/year&gt;&lt;/dates&gt;&lt;isbn&gt;0008-6223&lt;/isbn&gt;&lt;urls&gt;&lt;/urls&gt;&lt;/record&gt;&lt;/Cite&gt;&lt;/EndNote&gt;</w:instrText>
      </w:r>
      <w:r>
        <w:rPr>
          <w:rFonts w:ascii="Calibri" w:hAnsi="Calibri" w:cs="Calibri"/>
          <w:color w:val="000000"/>
        </w:rPr>
        <w:fldChar w:fldCharType="separate"/>
      </w:r>
      <w:r w:rsidRPr="008C6FE9">
        <w:rPr>
          <w:rFonts w:ascii="Calibri" w:hAnsi="Calibri" w:cs="Calibri"/>
          <w:noProof/>
          <w:color w:val="000000"/>
          <w:vertAlign w:val="superscript"/>
        </w:rPr>
        <w:t>8</w:t>
      </w:r>
      <w:r>
        <w:rPr>
          <w:rFonts w:ascii="Calibri" w:hAnsi="Calibri" w:cs="Calibri"/>
          <w:color w:val="000000"/>
        </w:rPr>
        <w:fldChar w:fldCharType="end"/>
      </w:r>
      <w:r w:rsidRPr="00882CF2">
        <w:rPr>
          <w:rFonts w:ascii="Calibri" w:hAnsi="Calibri" w:cs="Calibri"/>
          <w:color w:val="000000"/>
        </w:rPr>
        <w:t xml:space="preserve"> confirming that the overall micropore volume of ACC-ILL is consistently recovered regardless of the probe molecule used. The N₂-derived curve rises more steeply and plateaus by ~5 nm, while the H₂ and D₂ curves continue to accumulate volume gradually up to 20 nm, reflecting differences in how each kernel distributes pore volume across the ultramicropore-to-mesopore </w:t>
      </w:r>
      <w:r>
        <w:rPr>
          <w:rFonts w:ascii="Calibri" w:hAnsi="Calibri" w:cs="Calibri"/>
          <w:color w:val="000000"/>
        </w:rPr>
        <w:t>range.</w:t>
      </w:r>
    </w:p>
    <w:p w14:paraId="0897D7F8" w14:textId="77777777" w:rsidR="005C1E49" w:rsidRDefault="005C1E49" w:rsidP="005C1E49">
      <w:pPr>
        <w:rPr>
          <w:rFonts w:ascii="Calibri" w:eastAsia="Calibri" w:hAnsi="Calibri" w:cs="Calibri"/>
          <w:color w:val="467886"/>
          <w:u w:val="single"/>
        </w:rPr>
      </w:pPr>
    </w:p>
    <w:p w14:paraId="4444E9F5" w14:textId="77777777" w:rsidR="005C1E49" w:rsidRDefault="005C1E49" w:rsidP="005C1E49">
      <w:pPr>
        <w:keepNext/>
        <w:jc w:val="center"/>
      </w:pPr>
      <w:r>
        <w:rPr>
          <w:rFonts w:ascii="Calibri" w:eastAsia="Calibri" w:hAnsi="Calibri" w:cs="Calibri"/>
          <w:noProof/>
          <w:color w:val="467886"/>
          <w:u w:val="single"/>
        </w:rPr>
        <w:lastRenderedPageBreak/>
        <w:drawing>
          <wp:inline distT="0" distB="0" distL="0" distR="0" wp14:anchorId="1B919063" wp14:editId="3A5CE761">
            <wp:extent cx="2788920" cy="2501685"/>
            <wp:effectExtent l="0" t="0" r="5080" b="635"/>
            <wp:docPr id="11754661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466177" name="Picture 117546617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25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467886"/>
          <w:u w:val="single"/>
        </w:rPr>
        <w:t xml:space="preserve">    </w:t>
      </w:r>
      <w:r>
        <w:rPr>
          <w:rFonts w:ascii="Calibri" w:eastAsia="Calibri" w:hAnsi="Calibri" w:cs="Calibri"/>
          <w:noProof/>
          <w:color w:val="467886"/>
          <w:u w:val="single"/>
        </w:rPr>
        <w:drawing>
          <wp:inline distT="0" distB="0" distL="0" distR="0" wp14:anchorId="19253DAC" wp14:editId="44BBA343">
            <wp:extent cx="2788920" cy="2501685"/>
            <wp:effectExtent l="0" t="0" r="5080" b="635"/>
            <wp:docPr id="5502120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212033" name="Picture 55021203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25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043EE" w14:textId="77777777" w:rsidR="005C1E49" w:rsidRDefault="005C1E49" w:rsidP="005C1E49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i/>
          <w:iCs/>
          <w:color w:val="0E2841"/>
          <w:sz w:val="18"/>
          <w:szCs w:val="18"/>
        </w:rPr>
      </w:pPr>
      <w:r w:rsidRPr="00882CF2">
        <w:rPr>
          <w:rFonts w:ascii="Calibri" w:hAnsi="Calibri" w:cs="Calibri"/>
          <w:i/>
          <w:iCs/>
          <w:sz w:val="18"/>
          <w:szCs w:val="18"/>
        </w:rPr>
        <w:t>Figure S2:</w:t>
      </w:r>
      <w:r w:rsidRPr="00414B1F">
        <w:rPr>
          <w:rFonts w:ascii="Calibri" w:eastAsia="Calibri" w:hAnsi="Calibri" w:cs="Calibri"/>
          <w:i/>
          <w:iCs/>
          <w:color w:val="0E284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iCs/>
          <w:color w:val="0E2841"/>
          <w:sz w:val="18"/>
          <w:szCs w:val="18"/>
        </w:rPr>
        <w:t>Predicted D</w:t>
      </w:r>
      <w:r w:rsidRPr="00554282">
        <w:rPr>
          <w:rFonts w:ascii="Calibri" w:eastAsia="Calibri" w:hAnsi="Calibri" w:cs="Calibri"/>
          <w:i/>
          <w:iCs/>
          <w:color w:val="0E2841"/>
          <w:sz w:val="18"/>
          <w:szCs w:val="18"/>
          <w:vertAlign w:val="subscript"/>
        </w:rPr>
        <w:t>2</w:t>
      </w:r>
      <w:r>
        <w:rPr>
          <w:rFonts w:ascii="Calibri" w:eastAsia="Calibri" w:hAnsi="Calibri" w:cs="Calibri"/>
          <w:i/>
          <w:iCs/>
          <w:color w:val="0E2841"/>
          <w:sz w:val="18"/>
          <w:szCs w:val="18"/>
        </w:rPr>
        <w:t xml:space="preserve"> experimental isotherm from the PSD determined from the N</w:t>
      </w:r>
      <w:r w:rsidRPr="00554282">
        <w:rPr>
          <w:rFonts w:ascii="Calibri" w:eastAsia="Calibri" w:hAnsi="Calibri" w:cs="Calibri"/>
          <w:i/>
          <w:iCs/>
          <w:color w:val="0E2841"/>
          <w:sz w:val="18"/>
          <w:szCs w:val="18"/>
          <w:vertAlign w:val="subscript"/>
        </w:rPr>
        <w:t>2</w:t>
      </w:r>
      <w:r>
        <w:rPr>
          <w:rFonts w:ascii="Calibri" w:eastAsia="Calibri" w:hAnsi="Calibri" w:cs="Calibri"/>
          <w:i/>
          <w:iCs/>
          <w:color w:val="0E2841"/>
          <w:sz w:val="18"/>
          <w:szCs w:val="18"/>
        </w:rPr>
        <w:t xml:space="preserve"> isotherm in </w:t>
      </w:r>
      <w:proofErr w:type="spellStart"/>
      <w:r>
        <w:rPr>
          <w:rFonts w:ascii="Calibri" w:eastAsia="Calibri" w:hAnsi="Calibri" w:cs="Calibri"/>
          <w:i/>
          <w:iCs/>
          <w:color w:val="0E2841"/>
          <w:sz w:val="18"/>
          <w:szCs w:val="18"/>
        </w:rPr>
        <w:t>semilog</w:t>
      </w:r>
      <w:proofErr w:type="spellEnd"/>
      <w:r>
        <w:rPr>
          <w:rFonts w:ascii="Calibri" w:eastAsia="Calibri" w:hAnsi="Calibri" w:cs="Calibri"/>
          <w:i/>
          <w:iCs/>
          <w:color w:val="0E2841"/>
          <w:sz w:val="18"/>
          <w:szCs w:val="18"/>
        </w:rPr>
        <w:t xml:space="preserve"> (left) and linear (right) scales.</w:t>
      </w:r>
    </w:p>
    <w:p w14:paraId="2ACAD8D4" w14:textId="77777777" w:rsidR="005C1E49" w:rsidRPr="008C6FE9" w:rsidRDefault="005C1E49" w:rsidP="005C1E49">
      <w:pPr>
        <w:pBdr>
          <w:top w:val="nil"/>
          <w:left w:val="nil"/>
          <w:bottom w:val="nil"/>
          <w:right w:val="nil"/>
          <w:between w:val="nil"/>
        </w:pBdr>
        <w:spacing w:after="200"/>
        <w:ind w:firstLine="720"/>
        <w:rPr>
          <w:rFonts w:ascii="Calibri" w:eastAsia="Calibri" w:hAnsi="Calibri" w:cs="Calibri"/>
          <w:color w:val="0E2841"/>
        </w:rPr>
      </w:pPr>
      <w:r>
        <w:rPr>
          <w:rFonts w:ascii="Calibri" w:eastAsia="Calibri" w:hAnsi="Calibri" w:cs="Calibri"/>
          <w:color w:val="0E2841"/>
        </w:rPr>
        <w:t>Figure S2 shows the D</w:t>
      </w:r>
      <w:r>
        <w:rPr>
          <w:rFonts w:ascii="Calibri" w:eastAsia="Calibri" w:hAnsi="Calibri" w:cs="Calibri"/>
          <w:color w:val="0E2841"/>
          <w:vertAlign w:val="subscript"/>
        </w:rPr>
        <w:t>2</w:t>
      </w:r>
      <w:r>
        <w:rPr>
          <w:rFonts w:ascii="Calibri" w:eastAsia="Calibri" w:hAnsi="Calibri" w:cs="Calibri"/>
          <w:color w:val="0E2841"/>
        </w:rPr>
        <w:t xml:space="preserve"> isotherm prediction obtained by convolving the N2-derived PSD with the D2 theoretical kernel, following the procedure used in Figure 5. </w:t>
      </w:r>
      <w:r w:rsidRPr="008C6FE9">
        <w:rPr>
          <w:rFonts w:ascii="Calibri" w:eastAsia="Calibri" w:hAnsi="Calibri" w:cs="Calibri"/>
          <w:color w:val="0E2841"/>
        </w:rPr>
        <w:t xml:space="preserve">The predicted isotherm </w:t>
      </w:r>
      <w:r>
        <w:rPr>
          <w:rFonts w:ascii="Calibri" w:eastAsia="Calibri" w:hAnsi="Calibri" w:cs="Calibri"/>
          <w:color w:val="0E2841"/>
        </w:rPr>
        <w:t>consistently</w:t>
      </w:r>
      <w:r w:rsidRPr="008C6FE9">
        <w:rPr>
          <w:rFonts w:ascii="Calibri" w:eastAsia="Calibri" w:hAnsi="Calibri" w:cs="Calibri"/>
          <w:color w:val="0E2841"/>
        </w:rPr>
        <w:t xml:space="preserve"> underestimates D₂ uptake </w:t>
      </w:r>
      <w:r>
        <w:rPr>
          <w:rFonts w:ascii="Calibri" w:eastAsia="Calibri" w:hAnsi="Calibri" w:cs="Calibri"/>
          <w:color w:val="0E2841"/>
        </w:rPr>
        <w:t>over the full pressure range, in contrast to the excellent agreement observed with</w:t>
      </w:r>
      <w:r w:rsidRPr="008C6FE9">
        <w:rPr>
          <w:rFonts w:ascii="Calibri" w:eastAsia="Calibri" w:hAnsi="Calibri" w:cs="Calibri"/>
          <w:color w:val="0E2841"/>
        </w:rPr>
        <w:t xml:space="preserve"> the H₂-derived PSD (Figure 5). This underprediction is consistent with the reduced resolution of the N₂-derived PSD in the sub-1 nm ultramicropore range (Figure 4), where N₂ fails to resolve several pore populations that contribute disproportionately to H₂/D₂ uptake due to strong confinement effects.</w:t>
      </w:r>
    </w:p>
    <w:p w14:paraId="42ED0EEA" w14:textId="77777777" w:rsidR="005C1E49" w:rsidRPr="00882CF2" w:rsidRDefault="005C1E49" w:rsidP="005C1E49">
      <w:pPr>
        <w:pBdr>
          <w:top w:val="nil"/>
          <w:left w:val="nil"/>
          <w:bottom w:val="nil"/>
          <w:right w:val="nil"/>
          <w:between w:val="nil"/>
        </w:pBdr>
        <w:spacing w:after="200"/>
        <w:ind w:firstLine="720"/>
        <w:rPr>
          <w:rFonts w:ascii="Calibri" w:eastAsia="Calibri" w:hAnsi="Calibri" w:cs="Calibri"/>
          <w:color w:val="0E2841"/>
        </w:rPr>
      </w:pPr>
    </w:p>
    <w:p w14:paraId="7C191915" w14:textId="77777777" w:rsidR="000407B8" w:rsidRDefault="000407B8"/>
    <w:sectPr w:rsidR="000407B8" w:rsidSect="005C1E49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30885" w14:textId="77777777" w:rsidR="005C1E49" w:rsidRDefault="005C1E4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711AC595" w14:textId="77777777" w:rsidR="005C1E49" w:rsidRDefault="005C1E4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E49"/>
    <w:rsid w:val="000407B8"/>
    <w:rsid w:val="004B1AC8"/>
    <w:rsid w:val="005C1E49"/>
    <w:rsid w:val="006F2886"/>
    <w:rsid w:val="00B31527"/>
    <w:rsid w:val="00C25910"/>
    <w:rsid w:val="00DB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FD93B"/>
  <w15:chartTrackingRefBased/>
  <w15:docId w15:val="{E349EC29-365C-4573-A969-4844AAFDF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E4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E4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E4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E4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E4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E4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E4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E4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E4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E4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E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E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E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E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E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E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E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E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E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E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C1E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E4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C1E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E4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C1E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E4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C1E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E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E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E49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5C1E49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Neimark</dc:creator>
  <cp:keywords/>
  <dc:description/>
  <cp:lastModifiedBy>Alex Neimark</cp:lastModifiedBy>
  <cp:revision>1</cp:revision>
  <dcterms:created xsi:type="dcterms:W3CDTF">2026-08-03T17:28:00Z</dcterms:created>
  <dcterms:modified xsi:type="dcterms:W3CDTF">2026-08-03T17:29:00Z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194dfa9d-0341-4027-ab89-d9ff7290885e</vt:lpwstr>
  </property>
</Properties>
</file>