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A0D27" w14:textId="77777777" w:rsidR="008876EB" w:rsidRPr="00EF5FA0" w:rsidRDefault="008876EB" w:rsidP="008876EB">
      <w:pPr>
        <w:jc w:val="both"/>
        <w:rPr>
          <w:lang w:val="en-US"/>
        </w:rPr>
      </w:pPr>
      <w:r w:rsidRPr="00EF5FA0">
        <w:rPr>
          <w:rFonts w:ascii="Times New Roman" w:hAnsi="Times New Roman"/>
          <w:b/>
          <w:sz w:val="24"/>
          <w:lang w:val="en-US"/>
        </w:rPr>
        <w:t>Supplementary Methods</w:t>
      </w:r>
    </w:p>
    <w:p w14:paraId="12B75CB3" w14:textId="77777777" w:rsidR="008876EB" w:rsidRPr="00EF5FA0" w:rsidRDefault="008876EB" w:rsidP="008876EB">
      <w:pPr>
        <w:jc w:val="both"/>
        <w:rPr>
          <w:lang w:val="en-US"/>
        </w:rPr>
      </w:pPr>
      <w:r w:rsidRPr="00EF5FA0">
        <w:rPr>
          <w:rFonts w:ascii="Times New Roman" w:hAnsi="Times New Roman"/>
          <w:b/>
          <w:lang w:val="en-US"/>
        </w:rPr>
        <w:t>Baseline Comparison by Vital Status</w:t>
      </w:r>
    </w:p>
    <w:p w14:paraId="1F6BF61A" w14:textId="77777777" w:rsidR="008876EB" w:rsidRPr="00EF5FA0" w:rsidRDefault="008876EB" w:rsidP="008876EB">
      <w:pPr>
        <w:jc w:val="both"/>
        <w:rPr>
          <w:lang w:val="en-US"/>
        </w:rPr>
      </w:pPr>
      <w:r w:rsidRPr="00EF5FA0">
        <w:rPr>
          <w:rFonts w:ascii="Times New Roman" w:hAnsi="Times New Roman"/>
          <w:lang w:val="en-US"/>
        </w:rPr>
        <w:t>Baseline characteristics were compared between patients who died during follow-up and those alive or censored at last follow-up using the Mann-Whitney U test for continuous variables and Fisher's exact test for categorical variables, given the small size of the alive/censored subgroup; a p value of &lt;0.05 was considered statistically significant for these comparisons (Table 1).</w:t>
      </w:r>
    </w:p>
    <w:p w14:paraId="0BCD0A55" w14:textId="77777777" w:rsidR="008876EB" w:rsidRPr="00EF5FA0" w:rsidRDefault="008876EB" w:rsidP="008876EB">
      <w:pPr>
        <w:jc w:val="both"/>
        <w:rPr>
          <w:lang w:val="en-US"/>
        </w:rPr>
      </w:pPr>
      <w:r w:rsidRPr="00EF5FA0">
        <w:rPr>
          <w:rFonts w:ascii="Times New Roman" w:hAnsi="Times New Roman"/>
          <w:b/>
          <w:lang w:val="en-US"/>
        </w:rPr>
        <w:t>Kaplan–Meier Estimation and ADC Ratio Analysis</w:t>
      </w:r>
    </w:p>
    <w:p w14:paraId="54120BE9" w14:textId="77777777" w:rsidR="008876EB" w:rsidRPr="00EF5FA0" w:rsidRDefault="008876EB" w:rsidP="008876EB">
      <w:pPr>
        <w:jc w:val="both"/>
        <w:rPr>
          <w:lang w:val="en-US"/>
        </w:rPr>
      </w:pPr>
      <w:r w:rsidRPr="00EF5FA0">
        <w:rPr>
          <w:rFonts w:ascii="Times New Roman" w:hAnsi="Times New Roman"/>
          <w:lang w:val="en-US"/>
        </w:rPr>
        <w:t>Median OS and its 95% confidence interval were derived from the Kaplan–Meier estimator. One-year and 2-year OS rates were also derived from the Kaplan–Meier estimator. Survival curves were generated for the entire cohort and for selected imaging-based subgroups. For continuous variables, median values were used as cutoff values for subgroup analyses when appropriate. In particular, the ADC ratio was dichotomized using the median value, and survival differences between the low and high ADC ratio groups were assessed using the log-rank test.</w:t>
      </w:r>
    </w:p>
    <w:p w14:paraId="535FC9DA" w14:textId="77777777" w:rsidR="008876EB" w:rsidRPr="00EF5FA0" w:rsidRDefault="008876EB" w:rsidP="008876EB">
      <w:pPr>
        <w:jc w:val="both"/>
        <w:rPr>
          <w:lang w:val="en-US"/>
        </w:rPr>
      </w:pPr>
      <w:r w:rsidRPr="00EF5FA0">
        <w:rPr>
          <w:rFonts w:ascii="Times New Roman" w:hAnsi="Times New Roman"/>
          <w:b/>
          <w:lang w:val="en-US"/>
        </w:rPr>
        <w:t>Multivariable Model Selection</w:t>
      </w:r>
    </w:p>
    <w:p w14:paraId="1CCF92BA" w14:textId="77777777" w:rsidR="008876EB" w:rsidRPr="00EF5FA0" w:rsidRDefault="008876EB" w:rsidP="008876EB">
      <w:pPr>
        <w:jc w:val="both"/>
        <w:rPr>
          <w:lang w:val="en-US"/>
        </w:rPr>
      </w:pPr>
      <w:r w:rsidRPr="00EF5FA0">
        <w:rPr>
          <w:rFonts w:ascii="Times New Roman" w:hAnsi="Times New Roman"/>
          <w:lang w:val="en-US"/>
        </w:rPr>
        <w:t>To reduce the risk of overfitting, the number of covariates included in the final multivariable model was limited according to the sample size and the number of observed events. Among candidate variables (those associated with OS at p &lt; 0.10 in univariable analysis, together with clinically relevant variables), alternative covariate combinations were compared, and the final model was selected based on statistical performance (model concordance, stability of effect estimates, and preservation of sample size given missing data) as well as clinical relevance. If a variable violated the proportional hazards assumption, the model was adjusted accordingly, and the assumption was reassessed in the updated model.</w:t>
      </w:r>
    </w:p>
    <w:p w14:paraId="623CBDF0" w14:textId="77777777" w:rsidR="008876EB" w:rsidRPr="00EF5FA0" w:rsidRDefault="008876EB" w:rsidP="008876EB">
      <w:pPr>
        <w:jc w:val="both"/>
        <w:rPr>
          <w:lang w:val="en-US"/>
        </w:rPr>
      </w:pPr>
      <w:r w:rsidRPr="00EF5FA0">
        <w:rPr>
          <w:rFonts w:ascii="Times New Roman" w:hAnsi="Times New Roman"/>
          <w:b/>
          <w:lang w:val="en-US"/>
        </w:rPr>
        <w:t>Exploratory Analysis of Additional MRI Features</w:t>
      </w:r>
    </w:p>
    <w:p w14:paraId="4F4F8E42" w14:textId="77777777" w:rsidR="008876EB" w:rsidRPr="00EF5FA0" w:rsidRDefault="008876EB" w:rsidP="008876EB">
      <w:pPr>
        <w:jc w:val="both"/>
        <w:rPr>
          <w:lang w:val="en-US"/>
        </w:rPr>
      </w:pPr>
      <w:r w:rsidRPr="00EF5FA0">
        <w:rPr>
          <w:rFonts w:ascii="Times New Roman" w:hAnsi="Times New Roman"/>
          <w:lang w:val="en-US"/>
        </w:rPr>
        <w:t>Beyond the primary imaging variables analyzed in the main text, additional qualitative MRI features recorded in the study database, including necrosis, capsular retraction, progressive central enhancement, washout-like appearance, regional lymph node involvement, major bile duct involvement, vascular invasion, adjacent organ invasion, arterial phase enhancement pattern, and tumor morphology, were evaluated in exploratory univariable Cox regression analyses (Supplementary Table 1). These analyses were not corrected for multiple comparisons and were considered hypothesis-generating.</w:t>
      </w:r>
    </w:p>
    <w:p w14:paraId="3A114D4C" w14:textId="77777777" w:rsidR="008876EB" w:rsidRPr="00EF5FA0" w:rsidRDefault="008876EB" w:rsidP="008876EB">
      <w:pPr>
        <w:jc w:val="both"/>
        <w:rPr>
          <w:lang w:val="en-US"/>
        </w:rPr>
      </w:pPr>
      <w:r w:rsidRPr="00EF5FA0">
        <w:rPr>
          <w:rFonts w:ascii="Times New Roman" w:hAnsi="Times New Roman"/>
          <w:b/>
          <w:lang w:val="en-US"/>
        </w:rPr>
        <w:t>Prognostic Risk Score and Internal Validation</w:t>
      </w:r>
    </w:p>
    <w:p w14:paraId="44CF35D9" w14:textId="77777777" w:rsidR="008876EB" w:rsidRPr="00EF5FA0" w:rsidRDefault="008876EB" w:rsidP="008876EB">
      <w:pPr>
        <w:jc w:val="both"/>
        <w:rPr>
          <w:lang w:val="en-US"/>
        </w:rPr>
      </w:pPr>
      <w:r w:rsidRPr="00EF5FA0">
        <w:rPr>
          <w:rFonts w:ascii="Times New Roman" w:hAnsi="Times New Roman"/>
          <w:lang w:val="en-US"/>
        </w:rPr>
        <w:t>To illustrate the combined discriminative value of the final multivariable model, a linear prognostic index was constructed from the model coefficients, and patients were stratified into tertile-based risk groups; differences in OS across risk groups were assessed using the multivariate log-rank test. Internal validation of the final multivariable model was performed using 5-fold cross-validation with a small penalization term (penalizer = 0.1) to stabilize estimation given the limited number of events in the albumin-low subgroup, and the mean cross-validated concordance index was compared with the apparent (in-sample) concordance index.</w:t>
      </w:r>
    </w:p>
    <w:p w14:paraId="5C51AC7B" w14:textId="77777777" w:rsidR="008876EB" w:rsidRPr="00EF5FA0" w:rsidRDefault="008876EB" w:rsidP="008876EB">
      <w:pPr>
        <w:jc w:val="both"/>
        <w:rPr>
          <w:lang w:val="en-US"/>
        </w:rPr>
      </w:pPr>
      <w:r w:rsidRPr="00EF5FA0">
        <w:rPr>
          <w:rFonts w:ascii="Times New Roman" w:hAnsi="Times New Roman"/>
          <w:b/>
          <w:lang w:val="en-US"/>
        </w:rPr>
        <w:t>Survival Duration Among Decedents</w:t>
      </w:r>
    </w:p>
    <w:p w14:paraId="4452E50B" w14:textId="77777777" w:rsidR="008876EB" w:rsidRPr="00EF5FA0" w:rsidRDefault="008876EB" w:rsidP="008876EB">
      <w:pPr>
        <w:jc w:val="both"/>
        <w:rPr>
          <w:lang w:val="en-US"/>
        </w:rPr>
      </w:pPr>
      <w:r w:rsidRPr="00EF5FA0">
        <w:rPr>
          <w:rFonts w:ascii="Times New Roman" w:hAnsi="Times New Roman"/>
          <w:lang w:val="en-US"/>
        </w:rPr>
        <w:t>We also examined the duration of survival among patients with a documented death (in whom the exact survival time was known, as opposed to censored patients), to assess whether key clinical and imaging features were associated with a shorter interval between MRI and death, rather than merely with the eventual occurrence of death. In this subgroup, survival duration was compared between feature-positive and feature-negative patients using the Mann-Whitney U test for binary features, and its association with continuous variables was assessed using Spearman correlation.</w:t>
      </w:r>
    </w:p>
    <w:p w14:paraId="3B29A23A" w14:textId="77777777" w:rsidR="008876EB" w:rsidRPr="00EF5FA0" w:rsidRDefault="008876EB" w:rsidP="008876EB">
      <w:pPr>
        <w:spacing w:line="360" w:lineRule="auto"/>
        <w:jc w:val="both"/>
        <w:rPr>
          <w:rFonts w:ascii="Times New Roman" w:hAnsi="Times New Roman" w:cs="Times New Roman"/>
          <w:sz w:val="24"/>
          <w:szCs w:val="24"/>
          <w:lang w:val="en-US"/>
        </w:rPr>
      </w:pPr>
      <w:r w:rsidRPr="00EF5FA0">
        <w:rPr>
          <w:rFonts w:ascii="Times New Roman" w:hAnsi="Times New Roman" w:cs="Times New Roman"/>
          <w:b/>
          <w:sz w:val="24"/>
          <w:szCs w:val="24"/>
          <w:lang w:val="en-US"/>
        </w:rPr>
        <w:lastRenderedPageBreak/>
        <w:t xml:space="preserve">Supplementary Table 1. </w:t>
      </w:r>
      <w:r w:rsidRPr="00EF5FA0">
        <w:rPr>
          <w:rFonts w:ascii="Times New Roman" w:hAnsi="Times New Roman" w:cs="Times New Roman"/>
          <w:sz w:val="24"/>
          <w:szCs w:val="24"/>
          <w:lang w:val="en-US"/>
        </w:rPr>
        <w:t>Exploratory univariable cox regression analysis of additional qualitative MRI features</w:t>
      </w:r>
    </w:p>
    <w:p w14:paraId="47414CA2" w14:textId="77777777" w:rsidR="008876EB" w:rsidRPr="00EF5FA0" w:rsidRDefault="008876EB" w:rsidP="008876EB">
      <w:pPr>
        <w:spacing w:line="360" w:lineRule="auto"/>
        <w:jc w:val="both"/>
        <w:rPr>
          <w:rFonts w:ascii="Times New Roman" w:hAnsi="Times New Roman" w:cs="Times New Roman"/>
          <w:sz w:val="24"/>
          <w:szCs w:val="24"/>
          <w:lang w:val="en-US"/>
        </w:rPr>
      </w:pPr>
      <w:r w:rsidRPr="00EF5FA0">
        <w:rPr>
          <w:rFonts w:ascii="Times New Roman" w:hAnsi="Times New Roman"/>
          <w:sz w:val="24"/>
          <w:lang w:val="en-US"/>
        </w:rPr>
        <w:t>In addition to the primary MRI features reported in the main text, several other qualitative MRI features recorded in the study database were explored in univariable Cox regression analyses (Supplementary Table 1). None of these additional features were significantly associated with OS, supporting the specificity of the primary findings reported above.</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4252"/>
        <w:gridCol w:w="737"/>
        <w:gridCol w:w="1814"/>
        <w:gridCol w:w="1984"/>
        <w:gridCol w:w="850"/>
      </w:tblGrid>
      <w:tr w:rsidR="008876EB" w:rsidRPr="00EF5FA0" w14:paraId="15FD00F5" w14:textId="77777777" w:rsidTr="006C7EA2">
        <w:tc>
          <w:tcPr>
            <w:tcW w:w="4252" w:type="dxa"/>
            <w:shd w:val="clear" w:color="auto" w:fill="D9D9D9"/>
          </w:tcPr>
          <w:p w14:paraId="2F25BA38"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b/>
                <w:sz w:val="24"/>
                <w:szCs w:val="24"/>
                <w:lang w:val="en-US"/>
              </w:rPr>
              <w:t>MRI Feature</w:t>
            </w:r>
          </w:p>
        </w:tc>
        <w:tc>
          <w:tcPr>
            <w:tcW w:w="737" w:type="dxa"/>
            <w:shd w:val="clear" w:color="auto" w:fill="D9D9D9"/>
          </w:tcPr>
          <w:p w14:paraId="5565C83D"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b/>
                <w:sz w:val="24"/>
                <w:szCs w:val="24"/>
                <w:lang w:val="en-US"/>
              </w:rPr>
              <w:t>N</w:t>
            </w:r>
          </w:p>
        </w:tc>
        <w:tc>
          <w:tcPr>
            <w:tcW w:w="1814" w:type="dxa"/>
            <w:shd w:val="clear" w:color="auto" w:fill="D9D9D9"/>
          </w:tcPr>
          <w:p w14:paraId="3CBFBA75"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b/>
                <w:sz w:val="24"/>
                <w:szCs w:val="24"/>
                <w:lang w:val="en-US"/>
              </w:rPr>
              <w:t>Positive, n (%)</w:t>
            </w:r>
          </w:p>
        </w:tc>
        <w:tc>
          <w:tcPr>
            <w:tcW w:w="1984" w:type="dxa"/>
            <w:shd w:val="clear" w:color="auto" w:fill="D9D9D9"/>
          </w:tcPr>
          <w:p w14:paraId="2260DC5E"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b/>
                <w:sz w:val="24"/>
                <w:szCs w:val="24"/>
                <w:lang w:val="en-US"/>
              </w:rPr>
              <w:t>HR (95% CI)</w:t>
            </w:r>
          </w:p>
        </w:tc>
        <w:tc>
          <w:tcPr>
            <w:tcW w:w="850" w:type="dxa"/>
            <w:shd w:val="clear" w:color="auto" w:fill="D9D9D9"/>
          </w:tcPr>
          <w:p w14:paraId="78F2CF06"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b/>
                <w:sz w:val="24"/>
                <w:szCs w:val="24"/>
                <w:lang w:val="en-US"/>
              </w:rPr>
              <w:t>p</w:t>
            </w:r>
          </w:p>
        </w:tc>
      </w:tr>
      <w:tr w:rsidR="008876EB" w:rsidRPr="00EF5FA0" w14:paraId="4A0DB35E" w14:textId="77777777" w:rsidTr="006C7EA2">
        <w:tc>
          <w:tcPr>
            <w:tcW w:w="4252" w:type="dxa"/>
          </w:tcPr>
          <w:p w14:paraId="261A8083"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Necrosis, present</w:t>
            </w:r>
          </w:p>
        </w:tc>
        <w:tc>
          <w:tcPr>
            <w:tcW w:w="737" w:type="dxa"/>
          </w:tcPr>
          <w:p w14:paraId="61C0DC55"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57</w:t>
            </w:r>
          </w:p>
        </w:tc>
        <w:tc>
          <w:tcPr>
            <w:tcW w:w="1814" w:type="dxa"/>
          </w:tcPr>
          <w:p w14:paraId="3ED1924E"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23 (40.4%)</w:t>
            </w:r>
          </w:p>
        </w:tc>
        <w:tc>
          <w:tcPr>
            <w:tcW w:w="1984" w:type="dxa"/>
          </w:tcPr>
          <w:p w14:paraId="08E6839F"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1.44 (0.79–2.64)</w:t>
            </w:r>
          </w:p>
        </w:tc>
        <w:tc>
          <w:tcPr>
            <w:tcW w:w="850" w:type="dxa"/>
          </w:tcPr>
          <w:p w14:paraId="0E54109B"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0.234</w:t>
            </w:r>
          </w:p>
        </w:tc>
      </w:tr>
      <w:tr w:rsidR="008876EB" w:rsidRPr="00EF5FA0" w14:paraId="02868B7C" w14:textId="77777777" w:rsidTr="006C7EA2">
        <w:tc>
          <w:tcPr>
            <w:tcW w:w="4252" w:type="dxa"/>
          </w:tcPr>
          <w:p w14:paraId="0AA70BAC"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Capsular retraction, present</w:t>
            </w:r>
          </w:p>
        </w:tc>
        <w:tc>
          <w:tcPr>
            <w:tcW w:w="737" w:type="dxa"/>
          </w:tcPr>
          <w:p w14:paraId="457775E3"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57</w:t>
            </w:r>
          </w:p>
        </w:tc>
        <w:tc>
          <w:tcPr>
            <w:tcW w:w="1814" w:type="dxa"/>
          </w:tcPr>
          <w:p w14:paraId="12F26C58"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20 (35.1%)</w:t>
            </w:r>
          </w:p>
        </w:tc>
        <w:tc>
          <w:tcPr>
            <w:tcW w:w="1984" w:type="dxa"/>
          </w:tcPr>
          <w:p w14:paraId="79332E80"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1.68 (0.90–3.10)</w:t>
            </w:r>
          </w:p>
        </w:tc>
        <w:tc>
          <w:tcPr>
            <w:tcW w:w="850" w:type="dxa"/>
          </w:tcPr>
          <w:p w14:paraId="3B8BF018"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0.101</w:t>
            </w:r>
          </w:p>
        </w:tc>
      </w:tr>
      <w:tr w:rsidR="008876EB" w:rsidRPr="00EF5FA0" w14:paraId="16E516E4" w14:textId="77777777" w:rsidTr="006C7EA2">
        <w:tc>
          <w:tcPr>
            <w:tcW w:w="4252" w:type="dxa"/>
          </w:tcPr>
          <w:p w14:paraId="7EA1C173"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Progressive central enhancement, present</w:t>
            </w:r>
          </w:p>
        </w:tc>
        <w:tc>
          <w:tcPr>
            <w:tcW w:w="737" w:type="dxa"/>
          </w:tcPr>
          <w:p w14:paraId="1E875BD5"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55</w:t>
            </w:r>
          </w:p>
        </w:tc>
        <w:tc>
          <w:tcPr>
            <w:tcW w:w="1814" w:type="dxa"/>
          </w:tcPr>
          <w:p w14:paraId="49DAB8F2"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38 (69.1%)</w:t>
            </w:r>
          </w:p>
        </w:tc>
        <w:tc>
          <w:tcPr>
            <w:tcW w:w="1984" w:type="dxa"/>
          </w:tcPr>
          <w:p w14:paraId="66F5E917"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1.65 (0.84–3.25)</w:t>
            </w:r>
          </w:p>
        </w:tc>
        <w:tc>
          <w:tcPr>
            <w:tcW w:w="850" w:type="dxa"/>
          </w:tcPr>
          <w:p w14:paraId="02FBF4A5"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0.145</w:t>
            </w:r>
          </w:p>
        </w:tc>
      </w:tr>
      <w:tr w:rsidR="008876EB" w:rsidRPr="00EF5FA0" w14:paraId="544F7758" w14:textId="77777777" w:rsidTr="006C7EA2">
        <w:tc>
          <w:tcPr>
            <w:tcW w:w="4252" w:type="dxa"/>
          </w:tcPr>
          <w:p w14:paraId="6DABDE1A"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Washout-like appearance, present</w:t>
            </w:r>
          </w:p>
        </w:tc>
        <w:tc>
          <w:tcPr>
            <w:tcW w:w="737" w:type="dxa"/>
          </w:tcPr>
          <w:p w14:paraId="757481E7"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57</w:t>
            </w:r>
          </w:p>
        </w:tc>
        <w:tc>
          <w:tcPr>
            <w:tcW w:w="1814" w:type="dxa"/>
          </w:tcPr>
          <w:p w14:paraId="11A881DE"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13 (22.8%)</w:t>
            </w:r>
          </w:p>
        </w:tc>
        <w:tc>
          <w:tcPr>
            <w:tcW w:w="1984" w:type="dxa"/>
          </w:tcPr>
          <w:p w14:paraId="088ADA5F"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0.92 (0.45–1.86)</w:t>
            </w:r>
          </w:p>
        </w:tc>
        <w:tc>
          <w:tcPr>
            <w:tcW w:w="850" w:type="dxa"/>
          </w:tcPr>
          <w:p w14:paraId="51E8353E"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0.813</w:t>
            </w:r>
          </w:p>
        </w:tc>
      </w:tr>
      <w:tr w:rsidR="008876EB" w:rsidRPr="00EF5FA0" w14:paraId="12B4BA67" w14:textId="77777777" w:rsidTr="006C7EA2">
        <w:tc>
          <w:tcPr>
            <w:tcW w:w="4252" w:type="dxa"/>
          </w:tcPr>
          <w:p w14:paraId="07A2536C"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Regional lymph node involvement, present</w:t>
            </w:r>
          </w:p>
        </w:tc>
        <w:tc>
          <w:tcPr>
            <w:tcW w:w="737" w:type="dxa"/>
          </w:tcPr>
          <w:p w14:paraId="796711A6"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53</w:t>
            </w:r>
          </w:p>
        </w:tc>
        <w:tc>
          <w:tcPr>
            <w:tcW w:w="1814" w:type="dxa"/>
          </w:tcPr>
          <w:p w14:paraId="021D0F16"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31 (58.5%)</w:t>
            </w:r>
          </w:p>
        </w:tc>
        <w:tc>
          <w:tcPr>
            <w:tcW w:w="1984" w:type="dxa"/>
          </w:tcPr>
          <w:p w14:paraId="2FD8632F"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0.96 (0.51–1.80)</w:t>
            </w:r>
          </w:p>
        </w:tc>
        <w:tc>
          <w:tcPr>
            <w:tcW w:w="850" w:type="dxa"/>
          </w:tcPr>
          <w:p w14:paraId="1B61D1A7"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0.903</w:t>
            </w:r>
          </w:p>
        </w:tc>
      </w:tr>
      <w:tr w:rsidR="008876EB" w:rsidRPr="00EF5FA0" w14:paraId="2953528E" w14:textId="77777777" w:rsidTr="006C7EA2">
        <w:tc>
          <w:tcPr>
            <w:tcW w:w="4252" w:type="dxa"/>
          </w:tcPr>
          <w:p w14:paraId="3A5FC6E1"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Major bile duct involvement, present</w:t>
            </w:r>
          </w:p>
        </w:tc>
        <w:tc>
          <w:tcPr>
            <w:tcW w:w="737" w:type="dxa"/>
          </w:tcPr>
          <w:p w14:paraId="075D67D4"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57</w:t>
            </w:r>
          </w:p>
        </w:tc>
        <w:tc>
          <w:tcPr>
            <w:tcW w:w="1814" w:type="dxa"/>
          </w:tcPr>
          <w:p w14:paraId="2564EB70"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20 (35.1%)</w:t>
            </w:r>
          </w:p>
        </w:tc>
        <w:tc>
          <w:tcPr>
            <w:tcW w:w="1984" w:type="dxa"/>
          </w:tcPr>
          <w:p w14:paraId="2BA8DCBD"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0.88 (0.48–1.59)</w:t>
            </w:r>
          </w:p>
        </w:tc>
        <w:tc>
          <w:tcPr>
            <w:tcW w:w="850" w:type="dxa"/>
          </w:tcPr>
          <w:p w14:paraId="08290938"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0.661</w:t>
            </w:r>
          </w:p>
        </w:tc>
      </w:tr>
      <w:tr w:rsidR="008876EB" w:rsidRPr="00EF5FA0" w14:paraId="2360E398" w14:textId="77777777" w:rsidTr="006C7EA2">
        <w:tc>
          <w:tcPr>
            <w:tcW w:w="4252" w:type="dxa"/>
          </w:tcPr>
          <w:p w14:paraId="7C92E7AD"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Vascular invasion, presentᵇ</w:t>
            </w:r>
          </w:p>
        </w:tc>
        <w:tc>
          <w:tcPr>
            <w:tcW w:w="737" w:type="dxa"/>
          </w:tcPr>
          <w:p w14:paraId="2ACECCBD"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38</w:t>
            </w:r>
          </w:p>
        </w:tc>
        <w:tc>
          <w:tcPr>
            <w:tcW w:w="1814" w:type="dxa"/>
          </w:tcPr>
          <w:p w14:paraId="5A912FEC"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13 (34.2%)</w:t>
            </w:r>
          </w:p>
        </w:tc>
        <w:tc>
          <w:tcPr>
            <w:tcW w:w="1984" w:type="dxa"/>
          </w:tcPr>
          <w:p w14:paraId="0EE85298"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0.93 (0.41–2.13)</w:t>
            </w:r>
          </w:p>
        </w:tc>
        <w:tc>
          <w:tcPr>
            <w:tcW w:w="850" w:type="dxa"/>
          </w:tcPr>
          <w:p w14:paraId="01B54D3E"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0.863</w:t>
            </w:r>
          </w:p>
        </w:tc>
      </w:tr>
      <w:tr w:rsidR="008876EB" w:rsidRPr="00EF5FA0" w14:paraId="28DF05AD" w14:textId="77777777" w:rsidTr="006C7EA2">
        <w:tc>
          <w:tcPr>
            <w:tcW w:w="4252" w:type="dxa"/>
          </w:tcPr>
          <w:p w14:paraId="57080E2B"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Adjacent organ invasion, present</w:t>
            </w:r>
          </w:p>
        </w:tc>
        <w:tc>
          <w:tcPr>
            <w:tcW w:w="737" w:type="dxa"/>
          </w:tcPr>
          <w:p w14:paraId="6B147131"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57</w:t>
            </w:r>
          </w:p>
        </w:tc>
        <w:tc>
          <w:tcPr>
            <w:tcW w:w="1814" w:type="dxa"/>
          </w:tcPr>
          <w:p w14:paraId="0A476262"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21 (36.8%)</w:t>
            </w:r>
          </w:p>
        </w:tc>
        <w:tc>
          <w:tcPr>
            <w:tcW w:w="1984" w:type="dxa"/>
          </w:tcPr>
          <w:p w14:paraId="6F960D8F"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0.81 (0.43–1.53)</w:t>
            </w:r>
          </w:p>
        </w:tc>
        <w:tc>
          <w:tcPr>
            <w:tcW w:w="850" w:type="dxa"/>
          </w:tcPr>
          <w:p w14:paraId="6A931D7C"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0.517</w:t>
            </w:r>
          </w:p>
        </w:tc>
      </w:tr>
      <w:tr w:rsidR="008876EB" w:rsidRPr="00EF5FA0" w14:paraId="76DAC9D5" w14:textId="77777777" w:rsidTr="006C7EA2">
        <w:tc>
          <w:tcPr>
            <w:tcW w:w="4252" w:type="dxa"/>
          </w:tcPr>
          <w:p w14:paraId="0EE97958"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Peripheral rim arterial enhancement, present</w:t>
            </w:r>
          </w:p>
        </w:tc>
        <w:tc>
          <w:tcPr>
            <w:tcW w:w="737" w:type="dxa"/>
          </w:tcPr>
          <w:p w14:paraId="2DE0E0FD"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55</w:t>
            </w:r>
          </w:p>
        </w:tc>
        <w:tc>
          <w:tcPr>
            <w:tcW w:w="1814" w:type="dxa"/>
          </w:tcPr>
          <w:p w14:paraId="27241058"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29 (52.7%)</w:t>
            </w:r>
          </w:p>
        </w:tc>
        <w:tc>
          <w:tcPr>
            <w:tcW w:w="1984" w:type="dxa"/>
          </w:tcPr>
          <w:p w14:paraId="2D93CFEB"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1.64 (0.90–2.99)</w:t>
            </w:r>
          </w:p>
        </w:tc>
        <w:tc>
          <w:tcPr>
            <w:tcW w:w="850" w:type="dxa"/>
          </w:tcPr>
          <w:p w14:paraId="1A9C3CF2"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0.103</w:t>
            </w:r>
          </w:p>
        </w:tc>
      </w:tr>
      <w:tr w:rsidR="008876EB" w:rsidRPr="00EF5FA0" w14:paraId="6E6ABE13" w14:textId="77777777" w:rsidTr="006C7EA2">
        <w:tc>
          <w:tcPr>
            <w:tcW w:w="4252" w:type="dxa"/>
          </w:tcPr>
          <w:p w14:paraId="427DD9E1"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Periductal infiltrative (vs mass-forming) morphologyᶜ</w:t>
            </w:r>
          </w:p>
        </w:tc>
        <w:tc>
          <w:tcPr>
            <w:tcW w:w="737" w:type="dxa"/>
          </w:tcPr>
          <w:p w14:paraId="711C5CFC"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57</w:t>
            </w:r>
          </w:p>
        </w:tc>
        <w:tc>
          <w:tcPr>
            <w:tcW w:w="1814" w:type="dxa"/>
          </w:tcPr>
          <w:p w14:paraId="68281DFD"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4 (7.0%)</w:t>
            </w:r>
          </w:p>
        </w:tc>
        <w:tc>
          <w:tcPr>
            <w:tcW w:w="1984" w:type="dxa"/>
          </w:tcPr>
          <w:p w14:paraId="66136938"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1.77 (0.62–5.02)</w:t>
            </w:r>
          </w:p>
        </w:tc>
        <w:tc>
          <w:tcPr>
            <w:tcW w:w="850" w:type="dxa"/>
          </w:tcPr>
          <w:p w14:paraId="11B88248" w14:textId="77777777" w:rsidR="008876EB" w:rsidRPr="00EF5FA0" w:rsidRDefault="008876EB" w:rsidP="006C7EA2">
            <w:pPr>
              <w:spacing w:line="360" w:lineRule="auto"/>
              <w:jc w:val="both"/>
              <w:rPr>
                <w:rFonts w:ascii="Times New Roman" w:hAnsi="Times New Roman" w:cs="Times New Roman"/>
                <w:sz w:val="24"/>
                <w:szCs w:val="24"/>
                <w:lang w:val="en-US"/>
              </w:rPr>
            </w:pPr>
            <w:r w:rsidRPr="00EF5FA0">
              <w:rPr>
                <w:rFonts w:ascii="Times New Roman" w:hAnsi="Times New Roman" w:cs="Times New Roman"/>
                <w:sz w:val="24"/>
                <w:szCs w:val="24"/>
                <w:lang w:val="en-US"/>
              </w:rPr>
              <w:t>0.285</w:t>
            </w:r>
          </w:p>
        </w:tc>
      </w:tr>
    </w:tbl>
    <w:p w14:paraId="100AC868" w14:textId="77777777" w:rsidR="008876EB" w:rsidRPr="00EF5FA0" w:rsidRDefault="008876EB" w:rsidP="008876EB">
      <w:pPr>
        <w:spacing w:line="360" w:lineRule="auto"/>
        <w:jc w:val="both"/>
        <w:rPr>
          <w:rFonts w:ascii="Times New Roman" w:hAnsi="Times New Roman" w:cs="Times New Roman"/>
          <w:sz w:val="24"/>
          <w:szCs w:val="24"/>
          <w:lang w:val="en-US"/>
        </w:rPr>
      </w:pPr>
      <w:r w:rsidRPr="00EF5FA0">
        <w:rPr>
          <w:rFonts w:ascii="Times New Roman" w:hAnsi="Times New Roman"/>
          <w:sz w:val="24"/>
          <w:lang w:val="en-US"/>
        </w:rPr>
        <w:t>HR, hazard ratio; CI, confidence interval. These exploratory analyses were not corrected for multiple comparisons; results should be interpreted as hypothesis-generating rather than confirmatory. ᵇAvailable in 38/57 patients in whom vascular invasion status was assessable. ᶜFew periductal infiltrative tumors (n = 4) limit the precision of this estimate.</w:t>
      </w:r>
    </w:p>
    <w:p w14:paraId="08B6E7AB" w14:textId="77777777" w:rsidR="008876EB" w:rsidRPr="00EF5FA0" w:rsidRDefault="008876EB" w:rsidP="008876EB">
      <w:pPr>
        <w:spacing w:line="360" w:lineRule="auto"/>
        <w:jc w:val="both"/>
        <w:rPr>
          <w:rFonts w:ascii="Times New Roman" w:hAnsi="Times New Roman" w:cs="Times New Roman"/>
          <w:sz w:val="24"/>
          <w:szCs w:val="24"/>
          <w:lang w:val="en-US"/>
        </w:rPr>
      </w:pPr>
    </w:p>
    <w:p w14:paraId="56B58F04" w14:textId="77777777" w:rsidR="00DC2479" w:rsidRDefault="00DC2479"/>
    <w:sectPr w:rsidR="00DC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6EB"/>
    <w:rsid w:val="004D456F"/>
    <w:rsid w:val="005B6877"/>
    <w:rsid w:val="008876EB"/>
    <w:rsid w:val="00AA0C39"/>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BBFAC"/>
  <w15:chartTrackingRefBased/>
  <w15:docId w15:val="{86D8EF5B-A8DE-4127-B1B0-2E6098DE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6EB"/>
    <w:pPr>
      <w:spacing w:line="259" w:lineRule="auto"/>
    </w:pPr>
    <w:rPr>
      <w:sz w:val="22"/>
      <w:szCs w:val="22"/>
      <w:lang w:val="tr-TR"/>
    </w:rPr>
  </w:style>
  <w:style w:type="paragraph" w:styleId="Heading1">
    <w:name w:val="heading 1"/>
    <w:basedOn w:val="Normal"/>
    <w:next w:val="Normal"/>
    <w:link w:val="Heading1Char"/>
    <w:uiPriority w:val="9"/>
    <w:qFormat/>
    <w:rsid w:val="008876E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8876E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8876EB"/>
    <w:pPr>
      <w:keepNext/>
      <w:keepLines/>
      <w:spacing w:before="160" w:after="80" w:line="278" w:lineRule="auto"/>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8876EB"/>
    <w:pPr>
      <w:keepNext/>
      <w:keepLines/>
      <w:spacing w:before="80" w:after="40" w:line="278" w:lineRule="auto"/>
      <w:outlineLvl w:val="3"/>
    </w:pPr>
    <w:rPr>
      <w:rFonts w:eastAsiaTheme="majorEastAsia" w:cstheme="majorBidi"/>
      <w:i/>
      <w:iCs/>
      <w:color w:val="0F4761" w:themeColor="accent1" w:themeShade="BF"/>
      <w:sz w:val="24"/>
      <w:szCs w:val="24"/>
      <w:lang w:val="en-IN"/>
    </w:rPr>
  </w:style>
  <w:style w:type="paragraph" w:styleId="Heading5">
    <w:name w:val="heading 5"/>
    <w:basedOn w:val="Normal"/>
    <w:next w:val="Normal"/>
    <w:link w:val="Heading5Char"/>
    <w:uiPriority w:val="9"/>
    <w:semiHidden/>
    <w:unhideWhenUsed/>
    <w:qFormat/>
    <w:rsid w:val="008876EB"/>
    <w:pPr>
      <w:keepNext/>
      <w:keepLines/>
      <w:spacing w:before="80" w:after="40" w:line="278" w:lineRule="auto"/>
      <w:outlineLvl w:val="4"/>
    </w:pPr>
    <w:rPr>
      <w:rFonts w:eastAsiaTheme="majorEastAsia" w:cstheme="majorBidi"/>
      <w:color w:val="0F4761" w:themeColor="accent1" w:themeShade="BF"/>
      <w:sz w:val="24"/>
      <w:szCs w:val="24"/>
      <w:lang w:val="en-IN"/>
    </w:rPr>
  </w:style>
  <w:style w:type="paragraph" w:styleId="Heading6">
    <w:name w:val="heading 6"/>
    <w:basedOn w:val="Normal"/>
    <w:next w:val="Normal"/>
    <w:link w:val="Heading6Char"/>
    <w:uiPriority w:val="9"/>
    <w:semiHidden/>
    <w:unhideWhenUsed/>
    <w:qFormat/>
    <w:rsid w:val="008876EB"/>
    <w:pPr>
      <w:keepNext/>
      <w:keepLines/>
      <w:spacing w:before="40" w:after="0" w:line="278" w:lineRule="auto"/>
      <w:outlineLvl w:val="5"/>
    </w:pPr>
    <w:rPr>
      <w:rFonts w:eastAsiaTheme="majorEastAsia" w:cstheme="majorBidi"/>
      <w:i/>
      <w:iCs/>
      <w:color w:val="595959" w:themeColor="text1" w:themeTint="A6"/>
      <w:sz w:val="24"/>
      <w:szCs w:val="24"/>
      <w:lang w:val="en-IN"/>
    </w:rPr>
  </w:style>
  <w:style w:type="paragraph" w:styleId="Heading7">
    <w:name w:val="heading 7"/>
    <w:basedOn w:val="Normal"/>
    <w:next w:val="Normal"/>
    <w:link w:val="Heading7Char"/>
    <w:uiPriority w:val="9"/>
    <w:semiHidden/>
    <w:unhideWhenUsed/>
    <w:qFormat/>
    <w:rsid w:val="008876EB"/>
    <w:pPr>
      <w:keepNext/>
      <w:keepLines/>
      <w:spacing w:before="40" w:after="0" w:line="278" w:lineRule="auto"/>
      <w:outlineLvl w:val="6"/>
    </w:pPr>
    <w:rPr>
      <w:rFonts w:eastAsiaTheme="majorEastAsia" w:cstheme="majorBidi"/>
      <w:color w:val="595959" w:themeColor="text1" w:themeTint="A6"/>
      <w:sz w:val="24"/>
      <w:szCs w:val="24"/>
      <w:lang w:val="en-IN"/>
    </w:rPr>
  </w:style>
  <w:style w:type="paragraph" w:styleId="Heading8">
    <w:name w:val="heading 8"/>
    <w:basedOn w:val="Normal"/>
    <w:next w:val="Normal"/>
    <w:link w:val="Heading8Char"/>
    <w:uiPriority w:val="9"/>
    <w:semiHidden/>
    <w:unhideWhenUsed/>
    <w:qFormat/>
    <w:rsid w:val="008876EB"/>
    <w:pPr>
      <w:keepNext/>
      <w:keepLines/>
      <w:spacing w:after="0" w:line="278" w:lineRule="auto"/>
      <w:outlineLvl w:val="7"/>
    </w:pPr>
    <w:rPr>
      <w:rFonts w:eastAsiaTheme="majorEastAsia" w:cstheme="majorBidi"/>
      <w:i/>
      <w:iCs/>
      <w:color w:val="272727" w:themeColor="text1" w:themeTint="D8"/>
      <w:sz w:val="24"/>
      <w:szCs w:val="24"/>
      <w:lang w:val="en-IN"/>
    </w:rPr>
  </w:style>
  <w:style w:type="paragraph" w:styleId="Heading9">
    <w:name w:val="heading 9"/>
    <w:basedOn w:val="Normal"/>
    <w:next w:val="Normal"/>
    <w:link w:val="Heading9Char"/>
    <w:uiPriority w:val="9"/>
    <w:semiHidden/>
    <w:unhideWhenUsed/>
    <w:qFormat/>
    <w:rsid w:val="008876EB"/>
    <w:pPr>
      <w:keepNext/>
      <w:keepLines/>
      <w:spacing w:after="0" w:line="278" w:lineRule="auto"/>
      <w:outlineLvl w:val="8"/>
    </w:pPr>
    <w:rPr>
      <w:rFonts w:eastAsiaTheme="majorEastAsia" w:cstheme="majorBidi"/>
      <w:color w:val="272727" w:themeColor="text1" w:themeTint="D8"/>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6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6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6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6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6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6EB"/>
    <w:rPr>
      <w:rFonts w:eastAsiaTheme="majorEastAsia" w:cstheme="majorBidi"/>
      <w:color w:val="272727" w:themeColor="text1" w:themeTint="D8"/>
    </w:rPr>
  </w:style>
  <w:style w:type="paragraph" w:styleId="Title">
    <w:name w:val="Title"/>
    <w:basedOn w:val="Normal"/>
    <w:next w:val="Normal"/>
    <w:link w:val="TitleChar"/>
    <w:uiPriority w:val="10"/>
    <w:qFormat/>
    <w:rsid w:val="008876EB"/>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887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6EB"/>
    <w:pPr>
      <w:numPr>
        <w:ilvl w:val="1"/>
      </w:numPr>
      <w:spacing w:line="278" w:lineRule="auto"/>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887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6EB"/>
    <w:pPr>
      <w:spacing w:before="160" w:line="278" w:lineRule="auto"/>
      <w:jc w:val="center"/>
    </w:pPr>
    <w:rPr>
      <w:i/>
      <w:iCs/>
      <w:color w:val="404040" w:themeColor="text1" w:themeTint="BF"/>
      <w:sz w:val="24"/>
      <w:szCs w:val="24"/>
      <w:lang w:val="en-IN"/>
    </w:rPr>
  </w:style>
  <w:style w:type="character" w:customStyle="1" w:styleId="QuoteChar">
    <w:name w:val="Quote Char"/>
    <w:basedOn w:val="DefaultParagraphFont"/>
    <w:link w:val="Quote"/>
    <w:uiPriority w:val="29"/>
    <w:rsid w:val="008876EB"/>
    <w:rPr>
      <w:i/>
      <w:iCs/>
      <w:color w:val="404040" w:themeColor="text1" w:themeTint="BF"/>
    </w:rPr>
  </w:style>
  <w:style w:type="paragraph" w:styleId="ListParagraph">
    <w:name w:val="List Paragraph"/>
    <w:basedOn w:val="Normal"/>
    <w:uiPriority w:val="34"/>
    <w:qFormat/>
    <w:rsid w:val="008876EB"/>
    <w:pPr>
      <w:spacing w:line="278" w:lineRule="auto"/>
      <w:ind w:left="720"/>
      <w:contextualSpacing/>
    </w:pPr>
    <w:rPr>
      <w:sz w:val="24"/>
      <w:szCs w:val="24"/>
      <w:lang w:val="en-IN"/>
    </w:rPr>
  </w:style>
  <w:style w:type="character" w:styleId="IntenseEmphasis">
    <w:name w:val="Intense Emphasis"/>
    <w:basedOn w:val="DefaultParagraphFont"/>
    <w:uiPriority w:val="21"/>
    <w:qFormat/>
    <w:rsid w:val="008876EB"/>
    <w:rPr>
      <w:i/>
      <w:iCs/>
      <w:color w:val="0F4761" w:themeColor="accent1" w:themeShade="BF"/>
    </w:rPr>
  </w:style>
  <w:style w:type="paragraph" w:styleId="IntenseQuote">
    <w:name w:val="Intense Quote"/>
    <w:basedOn w:val="Normal"/>
    <w:next w:val="Normal"/>
    <w:link w:val="IntenseQuoteChar"/>
    <w:uiPriority w:val="30"/>
    <w:qFormat/>
    <w:rsid w:val="008876E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IN"/>
    </w:rPr>
  </w:style>
  <w:style w:type="character" w:customStyle="1" w:styleId="IntenseQuoteChar">
    <w:name w:val="Intense Quote Char"/>
    <w:basedOn w:val="DefaultParagraphFont"/>
    <w:link w:val="IntenseQuote"/>
    <w:uiPriority w:val="30"/>
    <w:rsid w:val="008876EB"/>
    <w:rPr>
      <w:i/>
      <w:iCs/>
      <w:color w:val="0F4761" w:themeColor="accent1" w:themeShade="BF"/>
    </w:rPr>
  </w:style>
  <w:style w:type="character" w:styleId="IntenseReference">
    <w:name w:val="Intense Reference"/>
    <w:basedOn w:val="DefaultParagraphFont"/>
    <w:uiPriority w:val="32"/>
    <w:qFormat/>
    <w:rsid w:val="008876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4524</Characters>
  <Application>Microsoft Office Word</Application>
  <DocSecurity>0</DocSecurity>
  <Lines>37</Lines>
  <Paragraphs>10</Paragraphs>
  <ScaleCrop>false</ScaleCrop>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2026-08-10T18:19:00Z</dcterms:created>
  <dcterms:modified xsi:type="dcterms:W3CDTF">2026-08-10T18:19:00Z</dcterms:modified>
</cp:coreProperties>
</file>