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8981E">
      <w:pPr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Table 1. Nosocomial infection rates and episode rates (2018–2023)</w:t>
      </w:r>
    </w:p>
    <w:tbl>
      <w:tblPr>
        <w:tblStyle w:val="7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204"/>
        <w:gridCol w:w="1725"/>
        <w:gridCol w:w="1236"/>
        <w:gridCol w:w="1917"/>
        <w:gridCol w:w="1709"/>
      </w:tblGrid>
      <w:tr w14:paraId="4D2571B5">
        <w:trPr>
          <w:trHeight w:val="315" w:hRule="atLeast"/>
        </w:trPr>
        <w:tc>
          <w:tcPr>
            <w:tcW w:w="4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F9561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70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C33C60B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inpatients</w:t>
            </w:r>
          </w:p>
        </w:tc>
        <w:tc>
          <w:tcPr>
            <w:tcW w:w="101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B6AE9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infection cases</w:t>
            </w:r>
          </w:p>
        </w:tc>
        <w:tc>
          <w:tcPr>
            <w:tcW w:w="72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BE4F2B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Infection rate (%)</w:t>
            </w:r>
          </w:p>
        </w:tc>
        <w:tc>
          <w:tcPr>
            <w:tcW w:w="112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85FE77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infection episodes</w:t>
            </w:r>
          </w:p>
        </w:tc>
        <w:tc>
          <w:tcPr>
            <w:tcW w:w="10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53CE6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Infection episode rate (%)</w:t>
            </w:r>
          </w:p>
        </w:tc>
      </w:tr>
      <w:tr w14:paraId="1FB2B67D">
        <w:trPr>
          <w:trHeight w:val="315" w:hRule="atLeast"/>
        </w:trPr>
        <w:tc>
          <w:tcPr>
            <w:tcW w:w="4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1C960">
            <w:pPr>
              <w:widowControl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2018</w:t>
            </w:r>
          </w:p>
        </w:tc>
        <w:tc>
          <w:tcPr>
            <w:tcW w:w="70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20DFC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115080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9DC2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1004</w:t>
            </w:r>
          </w:p>
        </w:tc>
        <w:tc>
          <w:tcPr>
            <w:tcW w:w="7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1339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11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9E06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1135</w:t>
            </w:r>
          </w:p>
        </w:tc>
        <w:tc>
          <w:tcPr>
            <w:tcW w:w="10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C245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</w:tr>
      <w:tr w14:paraId="21BABAB0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F2D0E">
            <w:pPr>
              <w:widowControl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2CE7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127872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872B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1475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732F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F216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9932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</w:tr>
      <w:tr w14:paraId="2C5C9A98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86C59">
            <w:pPr>
              <w:widowControl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731A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109068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6630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F59D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4871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1255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25F89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</w:tr>
      <w:tr w14:paraId="56E9922A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73888">
            <w:pPr>
              <w:widowControl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BDC4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118623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8CD3A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920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ABF1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5DFAE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1027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92C6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</w:tr>
      <w:tr w14:paraId="508CCF7B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4B83B">
            <w:pPr>
              <w:widowControl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60D3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94819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B493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930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AEE3A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685E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BEF9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1.14</w:t>
            </w:r>
          </w:p>
        </w:tc>
      </w:tr>
      <w:tr w14:paraId="35B5D2B0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DC0E6B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7D8B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164031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7679C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BF24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B9E7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042D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</w:tr>
      <w:tr w14:paraId="603829CB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A0F54"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Total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4E8B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565462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605D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5481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6F3E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0AF0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6129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71EE9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1.08</w:t>
            </w:r>
          </w:p>
        </w:tc>
      </w:tr>
      <w:tr w14:paraId="2DC32600">
        <w:trPr>
          <w:trHeight w:val="31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8AA9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vertAlign w:val="baseline"/>
                <w:lang w:bidi="ar"/>
              </w:rPr>
              <w:t>χ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24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7AE8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347.756</w:t>
            </w:r>
          </w:p>
        </w:tc>
        <w:tc>
          <w:tcPr>
            <w:tcW w:w="2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9045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353.243</w:t>
            </w:r>
          </w:p>
        </w:tc>
      </w:tr>
      <w:tr w14:paraId="3713A3E2">
        <w:trPr>
          <w:trHeight w:val="90" w:hRule="atLeast"/>
        </w:trPr>
        <w:tc>
          <w:tcPr>
            <w:tcW w:w="4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0968E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443" w:type="pct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B8DC3F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2126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BEFEDD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 w14:paraId="18EC2287">
      <w:pPr>
        <w:rPr>
          <w:rFonts w:hint="default" w:ascii="Times New Roman Regular" w:hAnsi="Times New Roman Regular" w:cs="Times New Roman Regular"/>
        </w:rPr>
      </w:pPr>
    </w:p>
    <w:p w14:paraId="78B85F1B">
      <w:pPr>
        <w:ind w:firstLine="420" w:firstLineChars="200"/>
        <w:rPr>
          <w:rFonts w:hint="default" w:ascii="Times New Roman Regular" w:hAnsi="Times New Roman Regular" w:cs="Times New Roman Regul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28C144">
      <w:pPr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Table 2. Detection rates of major MDROs and comparisons across years (2018–2023)</w:t>
      </w:r>
    </w:p>
    <w:tbl>
      <w:tblPr>
        <w:tblStyle w:val="7"/>
        <w:tblW w:w="5341" w:type="pct"/>
        <w:tblInd w:w="-5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52"/>
        <w:gridCol w:w="652"/>
        <w:gridCol w:w="819"/>
        <w:gridCol w:w="652"/>
        <w:gridCol w:w="652"/>
        <w:gridCol w:w="822"/>
        <w:gridCol w:w="652"/>
        <w:gridCol w:w="652"/>
        <w:gridCol w:w="822"/>
        <w:gridCol w:w="652"/>
        <w:gridCol w:w="652"/>
        <w:gridCol w:w="822"/>
        <w:gridCol w:w="652"/>
        <w:gridCol w:w="652"/>
        <w:gridCol w:w="822"/>
        <w:gridCol w:w="652"/>
        <w:gridCol w:w="651"/>
        <w:gridCol w:w="824"/>
        <w:gridCol w:w="793"/>
        <w:gridCol w:w="751"/>
      </w:tblGrid>
      <w:tr w14:paraId="5DDC724A">
        <w:trPr>
          <w:trHeight w:val="315" w:hRule="atLeast"/>
        </w:trPr>
        <w:tc>
          <w:tcPr>
            <w:tcW w:w="278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8EF38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Pathogen</w:t>
            </w:r>
          </w:p>
        </w:tc>
        <w:tc>
          <w:tcPr>
            <w:tcW w:w="700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47AFD3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2018</w:t>
            </w:r>
          </w:p>
        </w:tc>
        <w:tc>
          <w:tcPr>
            <w:tcW w:w="701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1FE1E3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701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300690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701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C25FAC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2021</w:t>
            </w:r>
          </w:p>
        </w:tc>
        <w:tc>
          <w:tcPr>
            <w:tcW w:w="701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6C6D10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2022</w:t>
            </w:r>
          </w:p>
        </w:tc>
        <w:tc>
          <w:tcPr>
            <w:tcW w:w="702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9F812D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2023</w:t>
            </w:r>
          </w:p>
        </w:tc>
        <w:tc>
          <w:tcPr>
            <w:tcW w:w="262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CD43D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vertAlign w:val="baseline"/>
                <w:lang w:bidi="ar"/>
              </w:rPr>
              <w:t>χ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248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EF0C7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14:paraId="1F73F465">
        <w:trPr>
          <w:trHeight w:val="315" w:hRule="atLeast"/>
        </w:trPr>
        <w:tc>
          <w:tcPr>
            <w:tcW w:w="278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80C0F9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99D338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CCD7C4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19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6EE2FD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C2DF1E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23ED5F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E6C48C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C92BF2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001ED9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A9C644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9E113C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1D90C5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83DC21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D14C76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5A65CA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23B094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2C5C26C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isolates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0E02D9B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F09529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Detection rate (%)</w:t>
            </w:r>
          </w:p>
        </w:tc>
        <w:tc>
          <w:tcPr>
            <w:tcW w:w="262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24D98A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BE23CF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14:paraId="21EE1505">
        <w:trPr>
          <w:trHeight w:val="315" w:hRule="atLeast"/>
        </w:trPr>
        <w:tc>
          <w:tcPr>
            <w:tcW w:w="27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C56AD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CR-AB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8D98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1312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1A07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885</w:t>
            </w:r>
          </w:p>
        </w:tc>
        <w:tc>
          <w:tcPr>
            <w:tcW w:w="27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0EB1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67.45 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1B205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1084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50DC1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734</w:t>
            </w:r>
          </w:p>
        </w:tc>
        <w:tc>
          <w:tcPr>
            <w:tcW w:w="2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8CA8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67.71 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D3F8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790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F464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544</w:t>
            </w:r>
          </w:p>
        </w:tc>
        <w:tc>
          <w:tcPr>
            <w:tcW w:w="2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31F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68.86 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22D9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828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2CC8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596</w:t>
            </w:r>
          </w:p>
        </w:tc>
        <w:tc>
          <w:tcPr>
            <w:tcW w:w="2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6A9B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71.98 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0383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662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20AC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552</w:t>
            </w:r>
          </w:p>
        </w:tc>
        <w:tc>
          <w:tcPr>
            <w:tcW w:w="2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F9FF6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83.38 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907D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2731</w:t>
            </w:r>
          </w:p>
        </w:tc>
        <w:tc>
          <w:tcPr>
            <w:tcW w:w="2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D509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1768</w:t>
            </w:r>
          </w:p>
        </w:tc>
        <w:tc>
          <w:tcPr>
            <w:tcW w:w="2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65B6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64.74 </w:t>
            </w:r>
          </w:p>
        </w:tc>
        <w:tc>
          <w:tcPr>
            <w:tcW w:w="26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D325A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91.642</w:t>
            </w:r>
          </w:p>
        </w:tc>
        <w:tc>
          <w:tcPr>
            <w:tcW w:w="24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821EC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4541F2B">
        <w:trPr>
          <w:trHeight w:val="315" w:hRule="atLeast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8FFFC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CR-PA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9862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AE43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2D43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20.63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BDFC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C56D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89C1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25.80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EFA1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2BEB7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49EB0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27.00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71E6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7DB2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6148D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21.52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F01A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B6F2B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2BA23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17.51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2C7E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962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6C9F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8430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20.48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AD9D5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19.588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694739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38FB951B">
        <w:trPr>
          <w:trHeight w:val="315" w:hRule="atLeast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463CFF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CR-KP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98F76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1694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77B9C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382B9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10.86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9868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1621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586BE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FFDC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4.32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C123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8EFB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F08D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8.11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3982F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BA78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840D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9.26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3416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01EA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619B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7.70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A23C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2978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7C77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366D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12.83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9AA50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99.612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E1C44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753860AB">
        <w:trPr>
          <w:trHeight w:val="315" w:hRule="atLeast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DECC3B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CR-Eco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8E20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DB6C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48D41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0.89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5D83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4543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F730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0.66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163AF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4091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0242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2.29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E2E2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B2E7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B2B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0.23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F079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1549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06FEA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7288A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1.36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DD2D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6F0D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42984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1.36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4AE1E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49.23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70384A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0B30BC1">
        <w:trPr>
          <w:trHeight w:val="315" w:hRule="atLeast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9748D2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MRSA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61C6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1255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C6841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0314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35.94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475EF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1938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CE2E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A5010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47.11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1E7C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27F45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F95C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39.39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89C1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E614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EFC7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34.79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9F46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4A508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7E85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37.72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9F4C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2789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3B37F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DA9F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39.51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BC51F">
            <w:pPr>
              <w:widowControl/>
              <w:jc w:val="righ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69.735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9C56E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788DA890">
        <w:trPr>
          <w:trHeight w:val="315" w:hRule="atLeast"/>
        </w:trPr>
        <w:tc>
          <w:tcPr>
            <w:tcW w:w="2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7A441EF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VRE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2FE745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379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A1A2B3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826B09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2BB472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37E715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EF1889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1.25 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835905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455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C0A7ED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470D6D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0.88 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41BC0E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9D3E0D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83C592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BC202E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458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71F68F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0629F9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0.22 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998F2E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3B5123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FD6815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0.53 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C34623C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8CC0BF2">
            <w:pPr>
              <w:widowControl/>
              <w:jc w:val="left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</w:tbl>
    <w:p w14:paraId="3E2E72D3">
      <w:pPr>
        <w:jc w:val="both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Note: CR-AB,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Acinetobacter baumannii</w:t>
      </w:r>
      <w:r>
        <w:rPr>
          <w:rFonts w:hint="eastAsia" w:ascii="Times New Roman" w:hAnsi="Times New Roman"/>
          <w:color w:val="000000"/>
          <w:szCs w:val="21"/>
        </w:rPr>
        <w:t xml:space="preserve">; MRSA, methicillin-resistant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Staphylococcus aureus</w:t>
      </w:r>
      <w:r>
        <w:rPr>
          <w:rFonts w:hint="eastAsia" w:ascii="Times New Roman" w:hAnsi="Times New Roman"/>
          <w:color w:val="000000"/>
          <w:szCs w:val="21"/>
        </w:rPr>
        <w:t xml:space="preserve">; CR-PA,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Pseudomonas aeruginosa</w:t>
      </w:r>
      <w:r>
        <w:rPr>
          <w:rFonts w:hint="eastAsia" w:ascii="Times New Roman" w:hAnsi="Times New Roman"/>
          <w:color w:val="000000"/>
          <w:szCs w:val="21"/>
        </w:rPr>
        <w:t xml:space="preserve">; CR-KP,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Klebsiella pneumoniae</w:t>
      </w:r>
      <w:r>
        <w:rPr>
          <w:rFonts w:hint="eastAsia" w:ascii="Times New Roman" w:hAnsi="Times New Roman"/>
          <w:color w:val="000000"/>
          <w:szCs w:val="21"/>
        </w:rPr>
        <w:t xml:space="preserve">; CR-Eco,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Escherichia coli</w:t>
      </w:r>
      <w:r>
        <w:rPr>
          <w:rFonts w:hint="eastAsia" w:ascii="Times New Roman" w:hAnsi="Times New Roman"/>
          <w:color w:val="000000"/>
          <w:szCs w:val="21"/>
        </w:rPr>
        <w:t>.</w:t>
      </w:r>
    </w:p>
    <w:p w14:paraId="61729C3F">
      <w:pPr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br w:type="page"/>
      </w:r>
    </w:p>
    <w:p w14:paraId="487E2098">
      <w:pPr>
        <w:jc w:val="center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Table 3. Nosocomial infection episode rates of major MDROs (2018–2023)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966"/>
        <w:gridCol w:w="969"/>
        <w:gridCol w:w="966"/>
        <w:gridCol w:w="969"/>
        <w:gridCol w:w="966"/>
        <w:gridCol w:w="971"/>
        <w:gridCol w:w="966"/>
        <w:gridCol w:w="971"/>
        <w:gridCol w:w="966"/>
        <w:gridCol w:w="973"/>
        <w:gridCol w:w="968"/>
        <w:gridCol w:w="973"/>
        <w:gridCol w:w="873"/>
        <w:gridCol w:w="791"/>
      </w:tblGrid>
      <w:tr w14:paraId="6252EC55">
        <w:trPr>
          <w:trHeight w:val="315" w:hRule="atLeast"/>
        </w:trPr>
        <w:tc>
          <w:tcPr>
            <w:tcW w:w="275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DE08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Pathogen</w:t>
            </w:r>
          </w:p>
        </w:tc>
        <w:tc>
          <w:tcPr>
            <w:tcW w:w="687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726300B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2018（n=115080)</w:t>
            </w:r>
          </w:p>
        </w:tc>
        <w:tc>
          <w:tcPr>
            <w:tcW w:w="687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549E0D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2019（n=127872)</w:t>
            </w:r>
          </w:p>
        </w:tc>
        <w:tc>
          <w:tcPr>
            <w:tcW w:w="68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1C2896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2020（n=109068)</w:t>
            </w:r>
          </w:p>
        </w:tc>
        <w:tc>
          <w:tcPr>
            <w:tcW w:w="68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3588BC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2021（n=118623)</w:t>
            </w:r>
          </w:p>
        </w:tc>
        <w:tc>
          <w:tcPr>
            <w:tcW w:w="68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A642495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2022（n=93403)</w:t>
            </w:r>
          </w:p>
        </w:tc>
        <w:tc>
          <w:tcPr>
            <w:tcW w:w="68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F31CCD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2023（n=164031)</w:t>
            </w:r>
          </w:p>
        </w:tc>
        <w:tc>
          <w:tcPr>
            <w:tcW w:w="31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669B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vertAlign w:val="baseline"/>
                <w:lang w:bidi="ar"/>
              </w:rPr>
              <w:t>χ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22FD1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14:paraId="7506064E">
        <w:trPr>
          <w:trHeight w:val="315" w:hRule="atLeast"/>
        </w:trPr>
        <w:tc>
          <w:tcPr>
            <w:tcW w:w="275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A5CB05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17D0F59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9FB398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E5E9E2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410EC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17263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F7487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8C08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2C5DF3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C5C92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48B87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967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1D5E7E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No. of resistant strains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A03C8B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  <w:t>Infection episode rate (%)</w:t>
            </w:r>
          </w:p>
        </w:tc>
        <w:tc>
          <w:tcPr>
            <w:tcW w:w="311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49655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FAE34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071BFB6">
        <w:trPr>
          <w:trHeight w:val="315" w:hRule="atLeast"/>
        </w:trPr>
        <w:tc>
          <w:tcPr>
            <w:tcW w:w="27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BB1CB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CR-AB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1CE24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411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2E91D1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BCF9B1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D83CC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76ECD6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311</w:t>
            </w:r>
          </w:p>
        </w:tc>
        <w:tc>
          <w:tcPr>
            <w:tcW w:w="34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FDDAE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CDA6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489</w:t>
            </w:r>
          </w:p>
        </w:tc>
        <w:tc>
          <w:tcPr>
            <w:tcW w:w="34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F17E89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1F33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474</w:t>
            </w:r>
          </w:p>
        </w:tc>
        <w:tc>
          <w:tcPr>
            <w:tcW w:w="34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FF56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C05BF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34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860550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0.14 </w:t>
            </w:r>
          </w:p>
        </w:tc>
        <w:tc>
          <w:tcPr>
            <w:tcW w:w="31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0DDBF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505.884</w:t>
            </w:r>
          </w:p>
        </w:tc>
        <w:tc>
          <w:tcPr>
            <w:tcW w:w="28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89821C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35CABF99">
        <w:trPr>
          <w:trHeight w:val="315" w:hRule="atLeast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8D6D6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CR-PA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AF02C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FE5018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EAEA8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0D9659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D005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8DC0A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24034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2AA571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C117C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97494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9FFD5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BE38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0.01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0A976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68.368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9EF485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D0B88E3">
        <w:trPr>
          <w:trHeight w:val="315" w:hRule="atLeast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0BD8F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CR-KP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D1B98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B31E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C46C9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5D685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2150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D67AB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6DD3CC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33DC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FF50E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66157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6E522A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D03E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0.03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5259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99.325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F35D5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0D13F81F">
        <w:trPr>
          <w:trHeight w:val="315" w:hRule="atLeast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DBFC9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CR-Eco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14534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2F5C10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9BBA3E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ADDDC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FEBFE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2E73F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144BA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B0597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80BA9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DAFB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7A1D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88E03A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4FC15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23.543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DCA6B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5459511C">
        <w:trPr>
          <w:trHeight w:val="315" w:hRule="atLeast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0A33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MRSA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1A3D3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442B16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0.12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D7C0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AE8F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43372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4F80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0.14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EB8F4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8925A">
            <w:pPr>
              <w:widowControl/>
              <w:jc w:val="right"/>
              <w:textAlignment w:val="bottom"/>
              <w:rPr>
                <w:rFonts w:hint="default" w:ascii="Times New Roman" w:hAnsi="Times New Roman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9FE6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EE10E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0.18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E040A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67868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0.07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AEFB1F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312.048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A4BC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133EA11">
        <w:trPr>
          <w:trHeight w:val="315" w:hRule="atLeast"/>
        </w:trPr>
        <w:tc>
          <w:tcPr>
            <w:tcW w:w="2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CF1AEFF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VRE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DFF8C87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17061A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806D73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CB09510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DDA53B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27F65BB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E0C2D2F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AC947FD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D4A6B44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5D1DDA0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6AE8F50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A7FB76E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0.00 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5D91E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0D7567C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</w:tbl>
    <w:p w14:paraId="01F6B3F0">
      <w:pPr>
        <w:jc w:val="both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Note: CR-AB,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Acinetobacter baumannii</w:t>
      </w:r>
      <w:r>
        <w:rPr>
          <w:rFonts w:hint="eastAsia" w:ascii="Times New Roman" w:hAnsi="Times New Roman"/>
          <w:color w:val="000000"/>
          <w:szCs w:val="21"/>
        </w:rPr>
        <w:t xml:space="preserve">; MRSA, methicillin-resistant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Staphylococcus aureus</w:t>
      </w:r>
      <w:r>
        <w:rPr>
          <w:rFonts w:hint="eastAsia" w:ascii="Times New Roman" w:hAnsi="Times New Roman"/>
          <w:color w:val="000000"/>
          <w:szCs w:val="21"/>
        </w:rPr>
        <w:t xml:space="preserve">; CR-PA,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Pseudomonas aeruginosa</w:t>
      </w:r>
      <w:r>
        <w:rPr>
          <w:rFonts w:hint="eastAsia" w:ascii="Times New Roman" w:hAnsi="Times New Roman"/>
          <w:color w:val="000000"/>
          <w:szCs w:val="21"/>
        </w:rPr>
        <w:t xml:space="preserve">; CR-KP,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Klebsiella pneumoniae</w:t>
      </w:r>
      <w:r>
        <w:rPr>
          <w:rFonts w:hint="eastAsia" w:ascii="Times New Roman" w:hAnsi="Times New Roman"/>
          <w:color w:val="000000"/>
          <w:szCs w:val="21"/>
        </w:rPr>
        <w:t xml:space="preserve">; CR-Eco, carbapenem-resistant </w:t>
      </w:r>
      <w:r>
        <w:rPr>
          <w:rFonts w:hint="default" w:ascii="Times New Roman Italic" w:hAnsi="Times New Roman Italic" w:cs="Times New Roman Italic"/>
          <w:i/>
          <w:iCs/>
          <w:color w:val="000000"/>
          <w:szCs w:val="21"/>
        </w:rPr>
        <w:t>Escherichia coli</w:t>
      </w:r>
      <w:r>
        <w:rPr>
          <w:rFonts w:hint="eastAsia" w:ascii="Times New Roman" w:hAnsi="Times New Roman"/>
          <w:color w:val="000000"/>
          <w:szCs w:val="21"/>
        </w:rPr>
        <w:t>.</w:t>
      </w:r>
    </w:p>
    <w:p w14:paraId="36361851">
      <w:pPr>
        <w:jc w:val="center"/>
        <w:rPr>
          <w:rFonts w:ascii="Times New Roman" w:hAnsi="Times New Roman"/>
          <w:color w:val="000000"/>
        </w:rPr>
      </w:pPr>
    </w:p>
    <w:p w14:paraId="0594B696">
      <w:pPr>
        <w:ind w:firstLine="420" w:firstLineChars="200"/>
        <w:rPr>
          <w:rFonts w:hint="default" w:ascii="Times New Roman Regular" w:hAnsi="Times New Roman Regular" w:cs="Times New Roman Regular"/>
        </w:rPr>
      </w:pPr>
    </w:p>
    <w:p w14:paraId="4F390946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</w:p>
    <w:p w14:paraId="05A4E379">
      <w:pPr>
        <w:ind w:firstLine="420" w:firstLineChars="200"/>
        <w:rPr>
          <w:rFonts w:hint="default" w:ascii="Times New Roman Regular" w:hAnsi="Times New Roman Regular" w:cs="Times New Roman Regular"/>
        </w:rPr>
      </w:pPr>
    </w:p>
    <w:p w14:paraId="47F1ECB2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Table 4. Device utilization and associated infections in the intensive care unit</w:t>
      </w:r>
    </w:p>
    <w:tbl>
      <w:tblPr>
        <w:tblStyle w:val="7"/>
        <w:tblW w:w="0" w:type="auto"/>
        <w:tblInd w:w="-23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986"/>
        <w:gridCol w:w="747"/>
        <w:gridCol w:w="1043"/>
        <w:gridCol w:w="1125"/>
        <w:gridCol w:w="1252"/>
        <w:gridCol w:w="747"/>
        <w:gridCol w:w="1043"/>
        <w:gridCol w:w="1125"/>
        <w:gridCol w:w="1364"/>
        <w:gridCol w:w="747"/>
        <w:gridCol w:w="1043"/>
        <w:gridCol w:w="1126"/>
        <w:gridCol w:w="1418"/>
      </w:tblGrid>
      <w:tr w14:paraId="71FC01DC">
        <w:trPr>
          <w:trHeight w:val="315" w:hRule="atLeast"/>
        </w:trPr>
        <w:tc>
          <w:tcPr>
            <w:tcW w:w="934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F72E83"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Year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6ABAA1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Total patient-days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08EA8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Ventilator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64082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  <w:lang w:val="en-US" w:eastAsia="zh-CN"/>
              </w:rPr>
              <w:t>Urinary catheter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76A78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Central venous catheter</w:t>
            </w:r>
          </w:p>
        </w:tc>
      </w:tr>
      <w:tr w14:paraId="3A3C4637">
        <w:trPr>
          <w:trHeight w:val="315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1DAF17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ABBF21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CC5C59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Device-days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D5F74B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Utilization rate 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32B5C1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infections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7FCEDC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VAP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incidence rate (‰)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4D1E89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Device-days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A500DF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Utilization rate 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15EE6A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infections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401957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CAUTI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incidence rate (‰)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F7324E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Device-days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41FE8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Utilization rate 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2A185A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Number of infections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F74F52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CLABSI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incidence rate (‰)</w:t>
            </w:r>
          </w:p>
        </w:tc>
      </w:tr>
      <w:tr w14:paraId="5664C61A">
        <w:trPr>
          <w:trHeight w:val="315" w:hRule="atLeast"/>
        </w:trPr>
        <w:tc>
          <w:tcPr>
            <w:tcW w:w="9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9867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613D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41153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FD9D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12121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B619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29.45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A45EE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701B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20.71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72BF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30319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333A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73.67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E6CE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4ACE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7B60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17350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4D7A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42.16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7620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D478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</w:tr>
      <w:tr w14:paraId="5C867AEC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D363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F97AB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76BE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6B9A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1446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00E3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8F0B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BF74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5051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6BA7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DC27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AF0D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7070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9904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</w:tr>
      <w:tr w14:paraId="078608C3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D346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4A9EC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FE56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8D0D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FAF4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1E29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AAB9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934EC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8AE2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7173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E653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683F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FD7DB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A63A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</w:tr>
      <w:tr w14:paraId="6752DBAB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7D59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55ED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7237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F343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91FE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F989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C471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06510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D401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FEEC1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1429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2525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D872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FB4F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</w:tr>
      <w:tr w14:paraId="367C9E2D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8471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1945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1E59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BE44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DDF9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46BA3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26ECE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4FBED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851B5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7706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ECC1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7354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2BC0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E7EC6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</w:tr>
      <w:tr w14:paraId="1E125ADF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EE4E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96F2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07D8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AB90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5542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1AC9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A53B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05ACF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CF28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2191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E8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8522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1E87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D274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</w:tr>
      <w:tr w14:paraId="781D253B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F990D">
            <w:pPr>
              <w:widowControl/>
              <w:jc w:val="center"/>
              <w:textAlignment w:val="bottom"/>
              <w:rPr>
                <w:rFonts w:hint="eastAsia" w:ascii="Times New Roman Regular" w:hAnsi="Times New Roman Regular" w:cs="Times New Roman Regular" w:eastAsiaTheme="minor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Total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26E1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255114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B298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91284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DE2E3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35.78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41B6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578A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16.54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4363C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187529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37093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73.51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395D9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7488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7878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107444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4E4B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 xml:space="preserve">42.12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9ED0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759D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1.45</w:t>
            </w:r>
          </w:p>
        </w:tc>
      </w:tr>
      <w:tr w14:paraId="61EF1C9E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5EE34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vertAlign w:val="baseline"/>
                <w:lang w:bidi="ar"/>
              </w:rPr>
              <w:t>χ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2CCF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9CF0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ABF8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2213.613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B381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C93E4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63C3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0BE32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743.441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BD2D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E9CD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754F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F91B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398.729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2B48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5938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17.428</w:t>
            </w:r>
          </w:p>
        </w:tc>
      </w:tr>
      <w:tr w14:paraId="1DF458E4">
        <w:trPr>
          <w:trHeight w:val="315" w:hRule="atLeast"/>
        </w:trPr>
        <w:tc>
          <w:tcPr>
            <w:tcW w:w="9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919CBF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496B1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C1E38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B04608A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C457ED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F1AB448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2D88BE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7AA9F67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87F63A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DC7C73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BAC758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06E4ADF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994A1D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B3E34D9">
            <w:pPr>
              <w:widowControl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&lt;0.004</w:t>
            </w:r>
          </w:p>
        </w:tc>
      </w:tr>
    </w:tbl>
    <w:p w14:paraId="62702696">
      <w:pPr>
        <w:rPr>
          <w:rFonts w:hint="default" w:ascii="Times New Roman Regular" w:hAnsi="Times New Roman Regular" w:cs="Times New Roman Regular"/>
        </w:rPr>
      </w:pPr>
    </w:p>
    <w:p w14:paraId="1642408A">
      <w:pPr>
        <w:rPr>
          <w:rFonts w:hint="default" w:ascii="Times New Roman Regular" w:hAnsi="Times New Roman Regular" w:cs="Times New Roman Regular"/>
        </w:rPr>
      </w:pPr>
    </w:p>
    <w:p w14:paraId="6B9D7088">
      <w:pPr>
        <w:rPr>
          <w:rFonts w:hint="default" w:ascii="Times New Roman Regular" w:hAnsi="Times New Roman Regular" w:cs="Times New Roman Regular"/>
        </w:rPr>
      </w:pPr>
    </w:p>
    <w:p w14:paraId="0BDA1B09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</w:p>
    <w:p w14:paraId="00BE41FE">
      <w:pPr>
        <w:rPr>
          <w:rFonts w:hint="default" w:ascii="Times New Roman Regular" w:hAnsi="Times New Roman Regular" w:cs="Times New Roman Regular"/>
        </w:rPr>
      </w:pPr>
    </w:p>
    <w:tbl>
      <w:tblPr>
        <w:tblStyle w:val="7"/>
        <w:tblpPr w:leftFromText="180" w:rightFromText="180" w:vertAnchor="text" w:horzAnchor="page" w:tblpXSpec="center" w:tblpY="312"/>
        <w:tblOverlap w:val="never"/>
        <w:tblW w:w="574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905"/>
        <w:gridCol w:w="893"/>
        <w:gridCol w:w="856"/>
        <w:gridCol w:w="846"/>
        <w:gridCol w:w="928"/>
        <w:gridCol w:w="662"/>
        <w:gridCol w:w="691"/>
        <w:gridCol w:w="1002"/>
        <w:gridCol w:w="621"/>
        <w:gridCol w:w="664"/>
        <w:gridCol w:w="937"/>
        <w:gridCol w:w="621"/>
        <w:gridCol w:w="664"/>
        <w:gridCol w:w="800"/>
        <w:gridCol w:w="677"/>
        <w:gridCol w:w="745"/>
        <w:gridCol w:w="813"/>
        <w:gridCol w:w="747"/>
        <w:gridCol w:w="651"/>
        <w:gridCol w:w="644"/>
      </w:tblGrid>
      <w:tr w14:paraId="23110CF0">
        <w:trPr>
          <w:trHeight w:val="315" w:hRule="atLeast"/>
          <w:jc w:val="center"/>
        </w:trPr>
        <w:tc>
          <w:tcPr>
            <w:tcW w:w="278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07C1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815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2DCB2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2018</w:t>
            </w:r>
          </w:p>
        </w:tc>
        <w:tc>
          <w:tcPr>
            <w:tcW w:w="748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51431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710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B1A81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682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8C18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2021</w:t>
            </w:r>
          </w:p>
        </w:tc>
        <w:tc>
          <w:tcPr>
            <w:tcW w:w="657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660E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2022</w:t>
            </w:r>
          </w:p>
        </w:tc>
        <w:tc>
          <w:tcPr>
            <w:tcW w:w="708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959647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2023</w:t>
            </w:r>
          </w:p>
        </w:tc>
        <w:tc>
          <w:tcPr>
            <w:tcW w:w="200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DA43C9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vertAlign w:val="baseline"/>
                <w:lang w:bidi="ar"/>
              </w:rPr>
              <w:t>χ</w:t>
            </w:r>
            <w:r>
              <w:rPr>
                <w:rStyle w:val="11"/>
                <w:rFonts w:hint="default" w:ascii="Times New Roman" w:hAnsi="Times New Roman"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197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54F27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14:paraId="7E91CC27">
        <w:trPr>
          <w:trHeight w:val="315" w:hRule="atLeast"/>
          <w:jc w:val="center"/>
        </w:trPr>
        <w:tc>
          <w:tcPr>
            <w:tcW w:w="278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44CFB2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D60CDC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274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3BB544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262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BFA1DF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59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795CD3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285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556516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203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3F495A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12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E77BC3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307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DA37D5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190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3DDCB0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04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C229F8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287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6C6F05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190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4AF41B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04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9AF825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245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BED2C5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208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F2F865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28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30F6EFE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tests submitted</w:t>
            </w:r>
          </w:p>
        </w:tc>
        <w:tc>
          <w:tcPr>
            <w:tcW w:w="249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C0F5DC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No. of antimicrobial administrations</w:t>
            </w:r>
          </w:p>
        </w:tc>
        <w:tc>
          <w:tcPr>
            <w:tcW w:w="229" w:type="pct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CC56B9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Submission rate (%)</w:t>
            </w:r>
          </w:p>
        </w:tc>
        <w:tc>
          <w:tcPr>
            <w:tcW w:w="200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E62B32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1B6F96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14:paraId="63CE34AB">
        <w:trPr>
          <w:trHeight w:val="315" w:hRule="atLeast"/>
          <w:jc w:val="center"/>
        </w:trPr>
        <w:tc>
          <w:tcPr>
            <w:tcW w:w="27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2289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Restricted-class use</w:t>
            </w:r>
          </w:p>
        </w:tc>
        <w:tc>
          <w:tcPr>
            <w:tcW w:w="27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6A0B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11311</w:t>
            </w:r>
          </w:p>
        </w:tc>
        <w:tc>
          <w:tcPr>
            <w:tcW w:w="27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6EE7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17405</w:t>
            </w:r>
          </w:p>
        </w:tc>
        <w:tc>
          <w:tcPr>
            <w:tcW w:w="26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785C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64.99</w:t>
            </w:r>
          </w:p>
        </w:tc>
        <w:tc>
          <w:tcPr>
            <w:tcW w:w="25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F328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13791</w:t>
            </w:r>
          </w:p>
        </w:tc>
        <w:tc>
          <w:tcPr>
            <w:tcW w:w="28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C069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18758</w:t>
            </w:r>
          </w:p>
        </w:tc>
        <w:tc>
          <w:tcPr>
            <w:tcW w:w="20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7D85A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73.52</w:t>
            </w:r>
          </w:p>
        </w:tc>
        <w:tc>
          <w:tcPr>
            <w:tcW w:w="21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6561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14578</w:t>
            </w:r>
          </w:p>
        </w:tc>
        <w:tc>
          <w:tcPr>
            <w:tcW w:w="30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5392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18339</w:t>
            </w:r>
          </w:p>
        </w:tc>
        <w:tc>
          <w:tcPr>
            <w:tcW w:w="1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BB1C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79.49</w:t>
            </w:r>
          </w:p>
        </w:tc>
        <w:tc>
          <w:tcPr>
            <w:tcW w:w="2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EA1E5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14064</w:t>
            </w:r>
          </w:p>
        </w:tc>
        <w:tc>
          <w:tcPr>
            <w:tcW w:w="28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5A23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16349</w:t>
            </w:r>
          </w:p>
        </w:tc>
        <w:tc>
          <w:tcPr>
            <w:tcW w:w="1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2890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86.02</w:t>
            </w:r>
          </w:p>
        </w:tc>
        <w:tc>
          <w:tcPr>
            <w:tcW w:w="2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DCC5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10576</w:t>
            </w:r>
          </w:p>
        </w:tc>
        <w:tc>
          <w:tcPr>
            <w:tcW w:w="24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0642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13480</w:t>
            </w:r>
          </w:p>
        </w:tc>
        <w:tc>
          <w:tcPr>
            <w:tcW w:w="20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FCC3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78.46</w:t>
            </w:r>
          </w:p>
        </w:tc>
        <w:tc>
          <w:tcPr>
            <w:tcW w:w="22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0C6F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22926</w:t>
            </w:r>
          </w:p>
        </w:tc>
        <w:tc>
          <w:tcPr>
            <w:tcW w:w="24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DE46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26932</w:t>
            </w:r>
          </w:p>
        </w:tc>
        <w:tc>
          <w:tcPr>
            <w:tcW w:w="22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2611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85.13</w:t>
            </w:r>
          </w:p>
        </w:tc>
        <w:tc>
          <w:tcPr>
            <w:tcW w:w="20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6676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3407.794</w:t>
            </w:r>
          </w:p>
        </w:tc>
        <w:tc>
          <w:tcPr>
            <w:tcW w:w="19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F0EF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57BE7343">
        <w:trPr>
          <w:trHeight w:val="315" w:hRule="atLeast"/>
          <w:jc w:val="center"/>
        </w:trPr>
        <w:tc>
          <w:tcPr>
            <w:tcW w:w="2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FFBF77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  <w:t>Special-class use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3DA815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4332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E68687D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4345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D9BF989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99.70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33C50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3451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2130F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3657</w:t>
            </w:r>
          </w:p>
        </w:tc>
        <w:tc>
          <w:tcPr>
            <w:tcW w:w="2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BE162E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94.37</w:t>
            </w:r>
          </w:p>
        </w:tc>
        <w:tc>
          <w:tcPr>
            <w:tcW w:w="2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011522C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3208</w:t>
            </w:r>
          </w:p>
        </w:tc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82F041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3369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F77B8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95.22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CCDC7E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3059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02F2F2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3161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86E278A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96.77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0236F93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2186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F04908B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2358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E0322E8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92.71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B950660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3733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D5C8174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4016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C92B0E6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Cs/>
                <w:color w:val="000000"/>
                <w:kern w:val="0"/>
                <w:sz w:val="18"/>
                <w:szCs w:val="18"/>
                <w:lang w:bidi="ar"/>
              </w:rPr>
              <w:t>92.95</w:t>
            </w:r>
          </w:p>
        </w:tc>
        <w:tc>
          <w:tcPr>
            <w:tcW w:w="2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3738A7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306.487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41FA75F">
            <w:pPr>
              <w:widowControl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 w14:paraId="5D53540C">
      <w:pPr>
        <w:jc w:val="center"/>
        <w:rPr>
          <w:rFonts w:hint="default" w:ascii="Times New Roman Regular" w:hAnsi="Times New Roman Regular" w:cs="Times New Roman Regular"/>
          <w:color w:val="000000"/>
          <w:kern w:val="0"/>
          <w:szCs w:val="21"/>
          <w:lang w:bidi="ar"/>
        </w:rPr>
      </w:pPr>
      <w:r>
        <w:rPr>
          <w:rFonts w:hint="default" w:ascii="Times New Roman Regular" w:hAnsi="Times New Roman Regular" w:cs="Times New Roman Regular"/>
          <w:color w:val="000000"/>
          <w:kern w:val="0"/>
          <w:szCs w:val="21"/>
          <w:lang w:bidi="ar"/>
        </w:rPr>
        <w:t>Table 5. Rate of microbiological testing prior to antimicrobial administration</w:t>
      </w:r>
    </w:p>
    <w:p w14:paraId="22527EE6">
      <w:pPr>
        <w:rPr>
          <w:rFonts w:hint="default" w:ascii="Times New Roman Regular" w:hAnsi="Times New Roman Regular" w:cs="Times New Roman Regul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A99CE2"/>
    <w:rsid w:val="0B3F90F6"/>
    <w:rsid w:val="1BF38FBE"/>
    <w:rsid w:val="2FF9DAF9"/>
    <w:rsid w:val="356F76FA"/>
    <w:rsid w:val="393DD931"/>
    <w:rsid w:val="3EC6BA9F"/>
    <w:rsid w:val="4FDFFBB8"/>
    <w:rsid w:val="5BF7BEDF"/>
    <w:rsid w:val="5F6EE219"/>
    <w:rsid w:val="5FF32C25"/>
    <w:rsid w:val="6FFE211E"/>
    <w:rsid w:val="73BC9153"/>
    <w:rsid w:val="777DCDF8"/>
    <w:rsid w:val="77CE8E6C"/>
    <w:rsid w:val="7B1680C5"/>
    <w:rsid w:val="7BFE0379"/>
    <w:rsid w:val="7D9F0BFA"/>
    <w:rsid w:val="7DD73750"/>
    <w:rsid w:val="7DF5EDB1"/>
    <w:rsid w:val="7F8229C1"/>
    <w:rsid w:val="7FDBB266"/>
    <w:rsid w:val="7FEE68B4"/>
    <w:rsid w:val="7FFFEF66"/>
    <w:rsid w:val="9D7D1CF3"/>
    <w:rsid w:val="A7DDF9D3"/>
    <w:rsid w:val="BBFF5F7F"/>
    <w:rsid w:val="BDEDFBD2"/>
    <w:rsid w:val="BF0FAD78"/>
    <w:rsid w:val="BFFBF549"/>
    <w:rsid w:val="BFFE1416"/>
    <w:rsid w:val="BFFEF352"/>
    <w:rsid w:val="CB7373D5"/>
    <w:rsid w:val="CF7F57D9"/>
    <w:rsid w:val="CFED13FF"/>
    <w:rsid w:val="DFFBC811"/>
    <w:rsid w:val="E6FD8448"/>
    <w:rsid w:val="E7E96568"/>
    <w:rsid w:val="EB7EFE2B"/>
    <w:rsid w:val="EDBB8FB1"/>
    <w:rsid w:val="EDFF6CEB"/>
    <w:rsid w:val="EDFF8120"/>
    <w:rsid w:val="EFBC9ABF"/>
    <w:rsid w:val="EFBFB0BB"/>
    <w:rsid w:val="F5EF28AB"/>
    <w:rsid w:val="F7FE9E31"/>
    <w:rsid w:val="F9FF6FD2"/>
    <w:rsid w:val="FD7F3BBB"/>
    <w:rsid w:val="FDA99CE2"/>
    <w:rsid w:val="FDB97189"/>
    <w:rsid w:val="FDFF86F9"/>
    <w:rsid w:val="FF3EB790"/>
    <w:rsid w:val="FFAFDBDD"/>
    <w:rsid w:val="FFBB172D"/>
    <w:rsid w:val="FFD401B6"/>
    <w:rsid w:val="FFEF73C5"/>
    <w:rsid w:val="FFF7A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TML Code"/>
    <w:basedOn w:val="8"/>
    <w:uiPriority w:val="0"/>
    <w:rPr>
      <w:rFonts w:ascii="Courier New" w:hAnsi="Courier New"/>
      <w:sz w:val="20"/>
    </w:rPr>
  </w:style>
  <w:style w:type="character" w:customStyle="1" w:styleId="10">
    <w:name w:val="font0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12">
    <w:name w:val="font11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2026-07-19T08:06:00Z</dcterms:created>
  <dc:creator>孑孓</dc:creator>
  <cp:lastModifiedBy>孑孓</cp:lastModifiedBy>
  <dcterms:modified xsi:type="dcterms:W3CDTF">2026-08-05T17:43:42Z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B7105D892FA6F5B98A18706A0AAFEBE0_43</vt:lpwstr>
  </property>
</Properties>
</file>