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before="200" w:line="276" w:lineRule="auto"/>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tl w:val="0"/>
        </w:rPr>
        <w:t xml:space="preserve">Supplementary Figures</w:t>
      </w:r>
    </w:p>
    <w:p w:rsidR="00000000" w:rsidDel="00000000" w:rsidP="00000000" w:rsidRDefault="00000000" w:rsidRPr="00000000" w14:paraId="00000002">
      <w:pPr>
        <w:spacing w:after="200" w:before="200" w:line="276" w:lineRule="auto"/>
        <w:jc w:val="both"/>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Pr>
        <w:drawing>
          <wp:inline distB="114300" distT="114300" distL="114300" distR="114300">
            <wp:extent cx="5760410" cy="2501900"/>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5760410" cy="25019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after="200" w:before="200" w:line="276" w:lineRule="auto"/>
        <w:jc w:val="both"/>
        <w:rPr>
          <w:rFonts w:ascii="Montserrat" w:cs="Montserrat" w:eastAsia="Montserrat" w:hAnsi="Montserrat"/>
          <w:sz w:val="24"/>
          <w:szCs w:val="24"/>
        </w:rPr>
      </w:pPr>
      <w:r w:rsidDel="00000000" w:rsidR="00000000" w:rsidRPr="00000000">
        <w:rPr>
          <w:rFonts w:ascii="Montserrat" w:cs="Montserrat" w:eastAsia="Montserrat" w:hAnsi="Montserrat"/>
          <w:b w:val="1"/>
          <w:bCs w:val="1"/>
          <w:sz w:val="24"/>
          <w:szCs w:val="24"/>
          <w:rtl w:val="0"/>
        </w:rPr>
        <w:t xml:space="preserve">Fig. S1. </w:t>
      </w:r>
      <w:r w:rsidDel="00000000" w:rsidR="00000000" w:rsidRPr="00000000">
        <w:rPr>
          <w:rFonts w:ascii="Montserrat" w:cs="Montserrat" w:eastAsia="Montserrat" w:hAnsi="Montserrat"/>
          <w:sz w:val="24"/>
          <w:szCs w:val="24"/>
          <w:rtl w:val="0"/>
        </w:rPr>
        <w:t xml:space="preserve">Ranked feature histograms </w:t>
      </w:r>
      <w:r w:rsidDel="00000000" w:rsidR="00000000" w:rsidRPr="00000000">
        <w:rPr>
          <w:rFonts w:ascii="Montserrat" w:cs="Montserrat" w:eastAsia="Montserrat" w:hAnsi="Montserrat"/>
          <w:b w:val="1"/>
          <w:bCs w:val="1"/>
          <w:sz w:val="24"/>
          <w:szCs w:val="24"/>
          <w:rtl w:val="0"/>
        </w:rPr>
        <w:t xml:space="preserve">(a)</w:t>
      </w:r>
      <w:r w:rsidDel="00000000" w:rsidR="00000000" w:rsidRPr="00000000">
        <w:rPr>
          <w:rFonts w:ascii="Montserrat" w:cs="Montserrat" w:eastAsia="Montserrat" w:hAnsi="Montserrat"/>
          <w:sz w:val="24"/>
          <w:szCs w:val="24"/>
          <w:rtl w:val="0"/>
        </w:rPr>
        <w:t xml:space="preserve"> featuring the strongest impact on age prediction in the regression model, and </w:t>
      </w:r>
      <w:r w:rsidDel="00000000" w:rsidR="00000000" w:rsidRPr="00000000">
        <w:rPr>
          <w:rFonts w:ascii="Montserrat" w:cs="Montserrat" w:eastAsia="Montserrat" w:hAnsi="Montserrat"/>
          <w:b w:val="1"/>
          <w:bCs w:val="1"/>
          <w:sz w:val="24"/>
          <w:szCs w:val="24"/>
          <w:rtl w:val="0"/>
        </w:rPr>
        <w:t xml:space="preserve">(b)</w:t>
      </w:r>
      <w:r w:rsidDel="00000000" w:rsidR="00000000" w:rsidRPr="00000000">
        <w:rPr>
          <w:rFonts w:ascii="Montserrat" w:cs="Montserrat" w:eastAsia="Montserrat" w:hAnsi="Montserrat"/>
          <w:sz w:val="24"/>
          <w:szCs w:val="24"/>
          <w:rtl w:val="0"/>
        </w:rPr>
        <w:t xml:space="preserve"> exhibiting the highest variability in values.</w:t>
      </w:r>
    </w:p>
    <w:p w:rsidR="00000000" w:rsidDel="00000000" w:rsidP="00000000" w:rsidRDefault="00000000" w:rsidRPr="00000000" w14:paraId="00000004">
      <w:pPr>
        <w:spacing w:after="200" w:before="200" w:line="276" w:lineRule="auto"/>
        <w:jc w:val="both"/>
        <w:rPr>
          <w:rFonts w:ascii="Montserrat" w:cs="Montserrat" w:eastAsia="Montserrat" w:hAnsi="Montserrat"/>
          <w:b w:val="1"/>
          <w:bCs w:val="1"/>
          <w:sz w:val="24"/>
          <w:szCs w:val="24"/>
        </w:rPr>
      </w:pPr>
      <w:r w:rsidDel="00000000" w:rsidR="00000000" w:rsidRPr="00000000">
        <w:rPr>
          <w:rtl w:val="0"/>
        </w:rPr>
      </w:r>
    </w:p>
    <w:p w:rsidR="00000000" w:rsidDel="00000000" w:rsidP="00000000" w:rsidRDefault="00000000" w:rsidRPr="00000000" w14:paraId="00000005">
      <w:pPr>
        <w:spacing w:after="200" w:before="200" w:line="276" w:lineRule="auto"/>
        <w:jc w:val="center"/>
        <w:rPr>
          <w:rFonts w:ascii="Montserrat" w:cs="Montserrat" w:eastAsia="Montserrat" w:hAnsi="Montserrat"/>
          <w:b w:val="1"/>
          <w:bCs w:val="1"/>
          <w:sz w:val="24"/>
          <w:szCs w:val="24"/>
        </w:rPr>
      </w:pPr>
      <w:r w:rsidDel="00000000" w:rsidR="00000000" w:rsidRPr="00000000">
        <w:rPr>
          <w:rFonts w:ascii="Montserrat" w:cs="Montserrat" w:eastAsia="Montserrat" w:hAnsi="Montserrat"/>
          <w:b w:val="1"/>
          <w:bCs w:val="1"/>
          <w:sz w:val="24"/>
          <w:szCs w:val="24"/>
        </w:rPr>
        <w:drawing>
          <wp:inline distB="114300" distT="114300" distL="114300" distR="114300">
            <wp:extent cx="5760410" cy="48387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760410" cy="48387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200" w:before="200" w:line="276" w:lineRule="auto"/>
        <w:jc w:val="both"/>
        <w:rPr>
          <w:rFonts w:ascii="Times New Roman" w:cs="Times New Roman" w:eastAsia="Times New Roman" w:hAnsi="Times New Roman"/>
          <w:sz w:val="24"/>
          <w:szCs w:val="24"/>
        </w:rPr>
      </w:pPr>
      <w:r w:rsidDel="00000000" w:rsidR="00000000" w:rsidRPr="00000000">
        <w:rPr>
          <w:rFonts w:ascii="Montserrat" w:cs="Montserrat" w:eastAsia="Montserrat" w:hAnsi="Montserrat"/>
          <w:b w:val="1"/>
          <w:bCs w:val="1"/>
          <w:sz w:val="24"/>
          <w:szCs w:val="24"/>
          <w:rtl w:val="0"/>
        </w:rPr>
        <w:t xml:space="preserve">Fig. S2.</w:t>
      </w:r>
      <w:r w:rsidDel="00000000" w:rsidR="00000000" w:rsidRPr="00000000">
        <w:rPr>
          <w:rFonts w:ascii="Montserrat" w:cs="Montserrat" w:eastAsia="Montserrat" w:hAnsi="Montserrat"/>
          <w:sz w:val="24"/>
          <w:szCs w:val="24"/>
          <w:rtl w:val="0"/>
        </w:rPr>
        <w:t xml:space="preserve"> Stability of feature selection for aging-associated biomarkers. Bars represent the mean proportion of top‑8 selections (averaged over Random Forest and XGBoost) for each protein and clinical parameter in the combined cohort (left), men (center), and women (right). The red line marks the 75 % stability cutoff.</w:t>
      </w: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 </w:t>
      </w:r>
    </w:p>
    <w:p w:rsidR="00000000" w:rsidDel="00000000" w:rsidP="00000000" w:rsidRDefault="00000000" w:rsidRPr="00000000" w14:paraId="00000008">
      <w:pPr>
        <w:rPr/>
      </w:pPr>
      <w:r w:rsidDel="00000000" w:rsidR="00000000" w:rsidRPr="00000000">
        <w:rPr>
          <w:rtl w:val="0"/>
        </w:rPr>
      </w:r>
    </w:p>
    <w:sectPr>
      <w:pgSz w:h="16838" w:w="11906" w:orient="portrait"/>
      <w:pgMar w:bottom="1134" w:top="1134" w:left="1701" w:right="113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color w:val="2f5496"/>
      <w:sz w:val="40"/>
      <w:szCs w:val="40"/>
    </w:rPr>
  </w:style>
  <w:style w:type="paragraph" w:styleId="Heading2">
    <w:name w:val="heading 2"/>
    <w:basedOn w:val="Normal"/>
    <w:next w:val="Normal"/>
    <w:pPr>
      <w:keepNext w:val="1"/>
      <w:keepLines w:val="1"/>
      <w:spacing w:after="80" w:before="160" w:lineRule="auto"/>
    </w:pPr>
    <w:rPr>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