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EE3556" w14:textId="5E8C7B08" w:rsidR="00B80370" w:rsidRPr="00015065" w:rsidRDefault="00015065" w:rsidP="00B80370">
      <w:pPr>
        <w:pStyle w:val="ResimYazs"/>
        <w:keepNext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r w:rsidRPr="00015065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Supplementary Table 2: Association of Ischemic Stroke Etiology and Radiological Features with Infection Development</w:t>
      </w: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178"/>
        <w:gridCol w:w="1735"/>
        <w:gridCol w:w="1819"/>
        <w:gridCol w:w="1497"/>
        <w:gridCol w:w="833"/>
      </w:tblGrid>
      <w:tr w:rsidR="00015065" w:rsidRPr="00015065" w14:paraId="02A780C3" w14:textId="77777777" w:rsidTr="00015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9D953B" w14:textId="77777777" w:rsidR="00015065" w:rsidRPr="00015065" w:rsidRDefault="0001506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872DC29" w14:textId="77777777" w:rsidR="00015065" w:rsidRPr="00015065" w:rsidRDefault="000150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All Patients (n=139)</w:t>
            </w:r>
          </w:p>
        </w:tc>
        <w:tc>
          <w:tcPr>
            <w:tcW w:w="0" w:type="auto"/>
            <w:hideMark/>
          </w:tcPr>
          <w:p w14:paraId="1975081C" w14:textId="77777777" w:rsidR="00015065" w:rsidRPr="00015065" w:rsidRDefault="000150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No Infection (n=120)</w:t>
            </w:r>
          </w:p>
        </w:tc>
        <w:tc>
          <w:tcPr>
            <w:tcW w:w="0" w:type="auto"/>
            <w:hideMark/>
          </w:tcPr>
          <w:p w14:paraId="39C4CD46" w14:textId="77777777" w:rsidR="00015065" w:rsidRPr="00015065" w:rsidRDefault="000150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Infection (n=19)</w:t>
            </w:r>
          </w:p>
        </w:tc>
        <w:tc>
          <w:tcPr>
            <w:tcW w:w="0" w:type="auto"/>
            <w:hideMark/>
          </w:tcPr>
          <w:p w14:paraId="4E03CB9F" w14:textId="77777777" w:rsidR="00015065" w:rsidRPr="00015065" w:rsidRDefault="000150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p-value</w:t>
            </w:r>
          </w:p>
        </w:tc>
      </w:tr>
      <w:tr w:rsidR="00015065" w:rsidRPr="00015065" w14:paraId="4EB7F4C5" w14:textId="77777777" w:rsidTr="00015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035ED3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Stroke Etiology (TOAST), n (%)</w:t>
            </w:r>
          </w:p>
        </w:tc>
        <w:tc>
          <w:tcPr>
            <w:tcW w:w="0" w:type="auto"/>
            <w:hideMark/>
          </w:tcPr>
          <w:p w14:paraId="6F59C860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2690814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267D52F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46A57D3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0.078</w:t>
            </w:r>
          </w:p>
        </w:tc>
      </w:tr>
      <w:tr w:rsidR="00015065" w:rsidRPr="00015065" w14:paraId="250822C5" w14:textId="77777777" w:rsidTr="00015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360F79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Large-artery atherosclerosis</w:t>
            </w:r>
          </w:p>
        </w:tc>
        <w:tc>
          <w:tcPr>
            <w:tcW w:w="0" w:type="auto"/>
            <w:hideMark/>
          </w:tcPr>
          <w:p w14:paraId="6EFC49A1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 (31.7%)</w:t>
            </w:r>
          </w:p>
        </w:tc>
        <w:tc>
          <w:tcPr>
            <w:tcW w:w="0" w:type="auto"/>
            <w:hideMark/>
          </w:tcPr>
          <w:p w14:paraId="5FA199ED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 (33.3%)</w:t>
            </w:r>
          </w:p>
        </w:tc>
        <w:tc>
          <w:tcPr>
            <w:tcW w:w="0" w:type="auto"/>
            <w:hideMark/>
          </w:tcPr>
          <w:p w14:paraId="559B1434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(21.1%)</w:t>
            </w:r>
          </w:p>
        </w:tc>
        <w:tc>
          <w:tcPr>
            <w:tcW w:w="0" w:type="auto"/>
            <w:hideMark/>
          </w:tcPr>
          <w:p w14:paraId="3962F970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15065" w:rsidRPr="00015065" w14:paraId="48069B99" w14:textId="77777777" w:rsidTr="00015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2A9451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Cardioembolism</w:t>
            </w:r>
          </w:p>
        </w:tc>
        <w:tc>
          <w:tcPr>
            <w:tcW w:w="0" w:type="auto"/>
            <w:hideMark/>
          </w:tcPr>
          <w:p w14:paraId="3088BC78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 (30.9%)</w:t>
            </w:r>
          </w:p>
        </w:tc>
        <w:tc>
          <w:tcPr>
            <w:tcW w:w="0" w:type="auto"/>
            <w:hideMark/>
          </w:tcPr>
          <w:p w14:paraId="08B327A8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 (30.8%)</w:t>
            </w:r>
          </w:p>
        </w:tc>
        <w:tc>
          <w:tcPr>
            <w:tcW w:w="0" w:type="auto"/>
            <w:hideMark/>
          </w:tcPr>
          <w:p w14:paraId="5C050643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(31.6%)</w:t>
            </w:r>
          </w:p>
        </w:tc>
        <w:tc>
          <w:tcPr>
            <w:tcW w:w="0" w:type="auto"/>
            <w:hideMark/>
          </w:tcPr>
          <w:p w14:paraId="47CE14F3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15065" w:rsidRPr="00015065" w14:paraId="23B7DB56" w14:textId="77777777" w:rsidTr="00015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8C16F2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Cryptogenic (undetermined cause)</w:t>
            </w:r>
          </w:p>
        </w:tc>
        <w:tc>
          <w:tcPr>
            <w:tcW w:w="0" w:type="auto"/>
            <w:hideMark/>
          </w:tcPr>
          <w:p w14:paraId="59591E00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 (15.8%)</w:t>
            </w:r>
          </w:p>
        </w:tc>
        <w:tc>
          <w:tcPr>
            <w:tcW w:w="0" w:type="auto"/>
            <w:hideMark/>
          </w:tcPr>
          <w:p w14:paraId="4AE0C8E8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 (12.5%)</w:t>
            </w:r>
          </w:p>
        </w:tc>
        <w:tc>
          <w:tcPr>
            <w:tcW w:w="0" w:type="auto"/>
            <w:hideMark/>
          </w:tcPr>
          <w:p w14:paraId="2C883D21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(36.8%)</w:t>
            </w:r>
          </w:p>
        </w:tc>
        <w:tc>
          <w:tcPr>
            <w:tcW w:w="0" w:type="auto"/>
            <w:hideMark/>
          </w:tcPr>
          <w:p w14:paraId="019DF475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15065" w:rsidRPr="00015065" w14:paraId="5C3B996C" w14:textId="77777777" w:rsidTr="00015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6639E0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Small vessel disease</w:t>
            </w:r>
          </w:p>
        </w:tc>
        <w:tc>
          <w:tcPr>
            <w:tcW w:w="0" w:type="auto"/>
            <w:hideMark/>
          </w:tcPr>
          <w:p w14:paraId="6FC71E3A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(15.1%)</w:t>
            </w:r>
          </w:p>
        </w:tc>
        <w:tc>
          <w:tcPr>
            <w:tcW w:w="0" w:type="auto"/>
            <w:hideMark/>
          </w:tcPr>
          <w:p w14:paraId="44DF831E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(16.7%)</w:t>
            </w:r>
          </w:p>
        </w:tc>
        <w:tc>
          <w:tcPr>
            <w:tcW w:w="0" w:type="auto"/>
            <w:hideMark/>
          </w:tcPr>
          <w:p w14:paraId="4DB5ECE4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(5.3%)</w:t>
            </w:r>
          </w:p>
        </w:tc>
        <w:tc>
          <w:tcPr>
            <w:tcW w:w="0" w:type="auto"/>
            <w:hideMark/>
          </w:tcPr>
          <w:p w14:paraId="574DBC3F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15065" w:rsidRPr="00015065" w14:paraId="70F5363F" w14:textId="77777777" w:rsidTr="00015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79AA95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Other etiologies</w:t>
            </w:r>
          </w:p>
        </w:tc>
        <w:tc>
          <w:tcPr>
            <w:tcW w:w="0" w:type="auto"/>
            <w:hideMark/>
          </w:tcPr>
          <w:p w14:paraId="57921AFA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(6.5%)</w:t>
            </w:r>
          </w:p>
        </w:tc>
        <w:tc>
          <w:tcPr>
            <w:tcW w:w="0" w:type="auto"/>
            <w:hideMark/>
          </w:tcPr>
          <w:p w14:paraId="1B21C49C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(6.7%)</w:t>
            </w:r>
          </w:p>
        </w:tc>
        <w:tc>
          <w:tcPr>
            <w:tcW w:w="0" w:type="auto"/>
            <w:hideMark/>
          </w:tcPr>
          <w:p w14:paraId="79805BB3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(5.3%)</w:t>
            </w:r>
          </w:p>
        </w:tc>
        <w:tc>
          <w:tcPr>
            <w:tcW w:w="0" w:type="auto"/>
            <w:hideMark/>
          </w:tcPr>
          <w:p w14:paraId="4C4AE9B9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15065" w:rsidRPr="00015065" w14:paraId="15993DB7" w14:textId="77777777" w:rsidTr="00015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2EF923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Hemispheric Involvement, n (%)</w:t>
            </w: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hideMark/>
          </w:tcPr>
          <w:p w14:paraId="47187CEB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117D2EF9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A7FB3A4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01B625C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0.523</w:t>
            </w:r>
          </w:p>
        </w:tc>
      </w:tr>
      <w:tr w:rsidR="00015065" w:rsidRPr="00015065" w14:paraId="63DBF4B7" w14:textId="77777777" w:rsidTr="00015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E1443D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Right hemisphere</w:t>
            </w:r>
          </w:p>
        </w:tc>
        <w:tc>
          <w:tcPr>
            <w:tcW w:w="0" w:type="auto"/>
            <w:hideMark/>
          </w:tcPr>
          <w:p w14:paraId="070398D4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 (39.6%)</w:t>
            </w:r>
          </w:p>
        </w:tc>
        <w:tc>
          <w:tcPr>
            <w:tcW w:w="0" w:type="auto"/>
            <w:hideMark/>
          </w:tcPr>
          <w:p w14:paraId="300AA720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 (41.7%)</w:t>
            </w:r>
          </w:p>
        </w:tc>
        <w:tc>
          <w:tcPr>
            <w:tcW w:w="0" w:type="auto"/>
            <w:hideMark/>
          </w:tcPr>
          <w:p w14:paraId="23BA539D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(26.3%)</w:t>
            </w:r>
          </w:p>
        </w:tc>
        <w:tc>
          <w:tcPr>
            <w:tcW w:w="0" w:type="auto"/>
            <w:hideMark/>
          </w:tcPr>
          <w:p w14:paraId="3E267179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15065" w:rsidRPr="00015065" w14:paraId="7BB87AC5" w14:textId="77777777" w:rsidTr="00015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47EE72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Left hemisphere</w:t>
            </w:r>
          </w:p>
        </w:tc>
        <w:tc>
          <w:tcPr>
            <w:tcW w:w="0" w:type="auto"/>
            <w:hideMark/>
          </w:tcPr>
          <w:p w14:paraId="4A933659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 (38.1%)</w:t>
            </w:r>
          </w:p>
        </w:tc>
        <w:tc>
          <w:tcPr>
            <w:tcW w:w="0" w:type="auto"/>
            <w:hideMark/>
          </w:tcPr>
          <w:p w14:paraId="0C98D13F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 (37.5%)</w:t>
            </w:r>
          </w:p>
        </w:tc>
        <w:tc>
          <w:tcPr>
            <w:tcW w:w="0" w:type="auto"/>
            <w:hideMark/>
          </w:tcPr>
          <w:p w14:paraId="5DA01A5A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(42.1%)</w:t>
            </w:r>
          </w:p>
        </w:tc>
        <w:tc>
          <w:tcPr>
            <w:tcW w:w="0" w:type="auto"/>
            <w:hideMark/>
          </w:tcPr>
          <w:p w14:paraId="621FDEF0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15065" w:rsidRPr="00015065" w14:paraId="19892FDC" w14:textId="77777777" w:rsidTr="00015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4AD2BF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Bilateral</w:t>
            </w:r>
          </w:p>
        </w:tc>
        <w:tc>
          <w:tcPr>
            <w:tcW w:w="0" w:type="auto"/>
            <w:hideMark/>
          </w:tcPr>
          <w:p w14:paraId="2483DAE8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 (21.6%)</w:t>
            </w:r>
          </w:p>
        </w:tc>
        <w:tc>
          <w:tcPr>
            <w:tcW w:w="0" w:type="auto"/>
            <w:hideMark/>
          </w:tcPr>
          <w:p w14:paraId="7171B0F3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 (20.0%)</w:t>
            </w:r>
          </w:p>
        </w:tc>
        <w:tc>
          <w:tcPr>
            <w:tcW w:w="0" w:type="auto"/>
            <w:hideMark/>
          </w:tcPr>
          <w:p w14:paraId="319E3CBC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(31.6%)</w:t>
            </w:r>
          </w:p>
        </w:tc>
        <w:tc>
          <w:tcPr>
            <w:tcW w:w="0" w:type="auto"/>
            <w:hideMark/>
          </w:tcPr>
          <w:p w14:paraId="1E8CC5B3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15065" w:rsidRPr="00015065" w14:paraId="50AC160B" w14:textId="77777777" w:rsidTr="00015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FDB781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Infarct Localization, n (%)</w:t>
            </w: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0" w:type="auto"/>
            <w:hideMark/>
          </w:tcPr>
          <w:p w14:paraId="2675ACA0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B6C4B06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486D0F0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30A6406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5065" w:rsidRPr="00015065" w14:paraId="3AAE50E8" w14:textId="77777777" w:rsidTr="00015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D671FE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Corticosubcortical</w:t>
            </w:r>
          </w:p>
        </w:tc>
        <w:tc>
          <w:tcPr>
            <w:tcW w:w="0" w:type="auto"/>
            <w:hideMark/>
          </w:tcPr>
          <w:p w14:paraId="61E020D9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 (30.2%)</w:t>
            </w:r>
          </w:p>
        </w:tc>
        <w:tc>
          <w:tcPr>
            <w:tcW w:w="0" w:type="auto"/>
            <w:hideMark/>
          </w:tcPr>
          <w:p w14:paraId="6E58FD2C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 (30.0%)</w:t>
            </w:r>
          </w:p>
        </w:tc>
        <w:tc>
          <w:tcPr>
            <w:tcW w:w="0" w:type="auto"/>
            <w:hideMark/>
          </w:tcPr>
          <w:p w14:paraId="66F560BE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(31.6%)</w:t>
            </w:r>
          </w:p>
        </w:tc>
        <w:tc>
          <w:tcPr>
            <w:tcW w:w="0" w:type="auto"/>
            <w:hideMark/>
          </w:tcPr>
          <w:p w14:paraId="6E8D381B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</w:tr>
      <w:tr w:rsidR="00015065" w:rsidRPr="00015065" w14:paraId="4647560C" w14:textId="77777777" w:rsidTr="00015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6299BD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Subcortical</w:t>
            </w:r>
          </w:p>
        </w:tc>
        <w:tc>
          <w:tcPr>
            <w:tcW w:w="0" w:type="auto"/>
            <w:hideMark/>
          </w:tcPr>
          <w:p w14:paraId="7DB0D01B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 (23.7%)</w:t>
            </w:r>
          </w:p>
        </w:tc>
        <w:tc>
          <w:tcPr>
            <w:tcW w:w="0" w:type="auto"/>
            <w:hideMark/>
          </w:tcPr>
          <w:p w14:paraId="032CA3F5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 (24.2%)</w:t>
            </w:r>
          </w:p>
        </w:tc>
        <w:tc>
          <w:tcPr>
            <w:tcW w:w="0" w:type="auto"/>
            <w:hideMark/>
          </w:tcPr>
          <w:p w14:paraId="629AA320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(21.1%)</w:t>
            </w:r>
          </w:p>
        </w:tc>
        <w:tc>
          <w:tcPr>
            <w:tcW w:w="0" w:type="auto"/>
            <w:hideMark/>
          </w:tcPr>
          <w:p w14:paraId="6170FA83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</w:tr>
      <w:tr w:rsidR="00015065" w:rsidRPr="00015065" w14:paraId="242B49C1" w14:textId="77777777" w:rsidTr="00015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BCD7C3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Cerebellar</w:t>
            </w:r>
          </w:p>
        </w:tc>
        <w:tc>
          <w:tcPr>
            <w:tcW w:w="0" w:type="auto"/>
            <w:hideMark/>
          </w:tcPr>
          <w:p w14:paraId="1CAE1FAB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 (20.1%)</w:t>
            </w:r>
          </w:p>
        </w:tc>
        <w:tc>
          <w:tcPr>
            <w:tcW w:w="0" w:type="auto"/>
            <w:hideMark/>
          </w:tcPr>
          <w:p w14:paraId="5F01B611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 (20.0%)</w:t>
            </w:r>
          </w:p>
        </w:tc>
        <w:tc>
          <w:tcPr>
            <w:tcW w:w="0" w:type="auto"/>
            <w:hideMark/>
          </w:tcPr>
          <w:p w14:paraId="5FB286EF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(21.1%)</w:t>
            </w:r>
          </w:p>
        </w:tc>
        <w:tc>
          <w:tcPr>
            <w:tcW w:w="0" w:type="auto"/>
            <w:hideMark/>
          </w:tcPr>
          <w:p w14:paraId="5EEF7A14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</w:tr>
      <w:tr w:rsidR="00015065" w:rsidRPr="00015065" w14:paraId="428496F2" w14:textId="77777777" w:rsidTr="00015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B92796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Brainstem</w:t>
            </w:r>
          </w:p>
        </w:tc>
        <w:tc>
          <w:tcPr>
            <w:tcW w:w="0" w:type="auto"/>
            <w:hideMark/>
          </w:tcPr>
          <w:p w14:paraId="7930815A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 (17.3%)</w:t>
            </w:r>
          </w:p>
        </w:tc>
        <w:tc>
          <w:tcPr>
            <w:tcW w:w="0" w:type="auto"/>
            <w:hideMark/>
          </w:tcPr>
          <w:p w14:paraId="54DF4E0F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(16.7%)</w:t>
            </w:r>
          </w:p>
        </w:tc>
        <w:tc>
          <w:tcPr>
            <w:tcW w:w="0" w:type="auto"/>
            <w:hideMark/>
          </w:tcPr>
          <w:p w14:paraId="15C272BD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(21.1%)</w:t>
            </w:r>
          </w:p>
        </w:tc>
        <w:tc>
          <w:tcPr>
            <w:tcW w:w="0" w:type="auto"/>
            <w:hideMark/>
          </w:tcPr>
          <w:p w14:paraId="5FB8759B" w14:textId="77777777" w:rsidR="00015065" w:rsidRPr="00015065" w:rsidRDefault="00015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0.743</w:t>
            </w:r>
          </w:p>
        </w:tc>
      </w:tr>
      <w:tr w:rsidR="00015065" w:rsidRPr="00015065" w14:paraId="35F0CCDE" w14:textId="77777777" w:rsidTr="00015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9FA15F" w14:textId="77777777" w:rsidR="00015065" w:rsidRPr="00015065" w:rsidRDefault="0001506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 Cortical</w:t>
            </w:r>
          </w:p>
        </w:tc>
        <w:tc>
          <w:tcPr>
            <w:tcW w:w="0" w:type="auto"/>
            <w:hideMark/>
          </w:tcPr>
          <w:p w14:paraId="4DFEA316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 (17.3%)</w:t>
            </w:r>
          </w:p>
        </w:tc>
        <w:tc>
          <w:tcPr>
            <w:tcW w:w="0" w:type="auto"/>
            <w:hideMark/>
          </w:tcPr>
          <w:p w14:paraId="3CC35A49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 (15.8%)</w:t>
            </w:r>
          </w:p>
        </w:tc>
        <w:tc>
          <w:tcPr>
            <w:tcW w:w="0" w:type="auto"/>
            <w:hideMark/>
          </w:tcPr>
          <w:p w14:paraId="2D6B6D73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(26.3%)</w:t>
            </w:r>
          </w:p>
        </w:tc>
        <w:tc>
          <w:tcPr>
            <w:tcW w:w="0" w:type="auto"/>
            <w:hideMark/>
          </w:tcPr>
          <w:p w14:paraId="0D52A0D5" w14:textId="77777777" w:rsidR="00015065" w:rsidRPr="00015065" w:rsidRDefault="00015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50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0.324</w:t>
            </w:r>
          </w:p>
        </w:tc>
      </w:tr>
    </w:tbl>
    <w:p w14:paraId="15265654" w14:textId="05C6C9AC" w:rsidR="00761ABA" w:rsidRPr="00015065" w:rsidRDefault="00015065" w:rsidP="00015065">
      <w:pPr>
        <w:jc w:val="both"/>
        <w:rPr>
          <w:rFonts w:ascii="Times New Roman" w:hAnsi="Times New Roman" w:cs="Times New Roman"/>
          <w:sz w:val="16"/>
          <w:szCs w:val="16"/>
        </w:rPr>
      </w:pPr>
      <w:r w:rsidRPr="00015065">
        <w:rPr>
          <w:rFonts w:ascii="Times New Roman" w:hAnsi="Times New Roman" w:cs="Times New Roman"/>
          <w:color w:val="000000"/>
          <w:sz w:val="16"/>
          <w:szCs w:val="16"/>
        </w:rPr>
        <w:t>TOAST: The Trial of Org 10172 in Acute Stroke Treatment; n: Number of patients. Categorical variables are presented as frequencies and percentages (%); the Pearson Chi-square test (or Fisher's exact test when expected frequencies were &lt;5) was used for intergroup comparisons. *Data on hemispheric involvement were analyzed in patients with complete follow-up data. Because some patients had multiple infarcts, the sum of localization percentages may exceed 100%, and each localization was analyzed independently for infection development.</w:t>
      </w:r>
    </w:p>
    <w:sectPr w:rsidR="00761ABA" w:rsidRPr="0001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70"/>
    <w:rsid w:val="00015065"/>
    <w:rsid w:val="00127D79"/>
    <w:rsid w:val="001E0EF7"/>
    <w:rsid w:val="0025032C"/>
    <w:rsid w:val="00761ABA"/>
    <w:rsid w:val="00AA6BCA"/>
    <w:rsid w:val="00B80370"/>
    <w:rsid w:val="00BD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6707"/>
  <w15:chartTrackingRefBased/>
  <w15:docId w15:val="{ED9BBC70-9A7E-1E4F-A041-18F7FD04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0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0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0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0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0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0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0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0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0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0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0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0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037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03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03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03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03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03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0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0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0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0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0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03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03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03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0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03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0370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B80370"/>
    <w:rPr>
      <w:b/>
      <w:bCs/>
    </w:rPr>
  </w:style>
  <w:style w:type="character" w:customStyle="1" w:styleId="apple-converted-space">
    <w:name w:val="apple-converted-space"/>
    <w:basedOn w:val="VarsaylanParagrafYazTipi"/>
    <w:rsid w:val="00B80370"/>
  </w:style>
  <w:style w:type="table" w:styleId="DzTablo1">
    <w:name w:val="Plain Table 1"/>
    <w:basedOn w:val="NormalTablo"/>
    <w:uiPriority w:val="41"/>
    <w:rsid w:val="00B803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simYazs">
    <w:name w:val="caption"/>
    <w:basedOn w:val="Normal"/>
    <w:next w:val="Normal"/>
    <w:uiPriority w:val="35"/>
    <w:unhideWhenUsed/>
    <w:qFormat/>
    <w:rsid w:val="00B8037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442243-127B-714F-8AE8-44C2C768F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 Şensoy</dc:creator>
  <cp:keywords/>
  <dc:description/>
  <cp:lastModifiedBy>Levent Şensoy</cp:lastModifiedBy>
  <cp:revision>2</cp:revision>
  <dcterms:created xsi:type="dcterms:W3CDTF">2026-07-30T22:05:00Z</dcterms:created>
  <dcterms:modified xsi:type="dcterms:W3CDTF">2026-07-31T11:19:00Z</dcterms:modified>
</cp:coreProperties>
</file>