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2EF2EE" w14:textId="1480DD42" w:rsidR="001D72AA" w:rsidRDefault="00D153ED" w:rsidP="001D72AA">
      <w:pPr>
        <w:rPr>
          <w:rFonts w:asciiTheme="minorHAnsi" w:hAnsiTheme="minorHAnsi"/>
          <w:sz w:val="22"/>
          <w:szCs w:val="22"/>
          <w:lang w:val="en-US"/>
        </w:rPr>
      </w:pPr>
      <w:r w:rsidRPr="00D153ED">
        <w:rPr>
          <w:rFonts w:asciiTheme="minorHAnsi" w:hAnsiTheme="minorHAnsi"/>
          <w:sz w:val="22"/>
          <w:szCs w:val="22"/>
          <w:lang w:val="en-US"/>
        </w:rPr>
        <w:t xml:space="preserve">Additional file </w:t>
      </w:r>
      <w:r>
        <w:rPr>
          <w:rFonts w:asciiTheme="minorHAnsi" w:hAnsiTheme="minorHAnsi"/>
          <w:sz w:val="22"/>
          <w:szCs w:val="22"/>
          <w:lang w:val="en-US"/>
        </w:rPr>
        <w:t>5</w:t>
      </w:r>
      <w:r w:rsidRPr="00D153ED">
        <w:rPr>
          <w:rFonts w:asciiTheme="minorHAnsi" w:hAnsiTheme="minorHAnsi"/>
          <w:sz w:val="22"/>
          <w:szCs w:val="22"/>
          <w:lang w:val="en-US"/>
        </w:rPr>
        <w:t>:</w:t>
      </w:r>
      <w:r>
        <w:rPr>
          <w:rFonts w:asciiTheme="minorHAnsi" w:hAnsiTheme="minorHAnsi"/>
          <w:sz w:val="22"/>
          <w:szCs w:val="22"/>
          <w:lang w:val="en-US"/>
        </w:rPr>
        <w:t xml:space="preserve"> </w:t>
      </w:r>
      <w:r w:rsidR="001D72AA" w:rsidRPr="00D153ED">
        <w:rPr>
          <w:rFonts w:asciiTheme="minorHAnsi" w:hAnsiTheme="minorHAnsi"/>
          <w:sz w:val="22"/>
          <w:szCs w:val="22"/>
          <w:lang w:val="en-US"/>
        </w:rPr>
        <w:t>Table S5. Association</w:t>
      </w:r>
      <w:r w:rsidR="001D72AA" w:rsidRPr="0039433C">
        <w:rPr>
          <w:rFonts w:asciiTheme="minorHAnsi" w:hAnsiTheme="minorHAnsi"/>
          <w:sz w:val="22"/>
          <w:szCs w:val="22"/>
          <w:lang w:val="en-US"/>
        </w:rPr>
        <w:t xml:space="preserve"> between Gender and Adverse Mental Health Outcomes (χ² Tests and Post Hoc Analysis)</w:t>
      </w:r>
    </w:p>
    <w:tbl>
      <w:tblPr>
        <w:tblStyle w:val="Grilledutableau"/>
        <w:tblW w:w="9176" w:type="dxa"/>
        <w:tblLayout w:type="fixed"/>
        <w:tblLook w:val="04A0" w:firstRow="1" w:lastRow="0" w:firstColumn="1" w:lastColumn="0" w:noHBand="0" w:noVBand="1"/>
      </w:tblPr>
      <w:tblGrid>
        <w:gridCol w:w="988"/>
        <w:gridCol w:w="992"/>
        <w:gridCol w:w="709"/>
        <w:gridCol w:w="708"/>
        <w:gridCol w:w="851"/>
        <w:gridCol w:w="709"/>
        <w:gridCol w:w="708"/>
        <w:gridCol w:w="851"/>
        <w:gridCol w:w="992"/>
        <w:gridCol w:w="841"/>
        <w:gridCol w:w="827"/>
      </w:tblGrid>
      <w:tr w:rsidR="001D72AA" w:rsidRPr="005A0E70" w14:paraId="15FBFACE" w14:textId="77777777" w:rsidTr="00FD5AD5">
        <w:tc>
          <w:tcPr>
            <w:tcW w:w="988" w:type="dxa"/>
            <w:tcBorders>
              <w:left w:val="single" w:sz="4" w:space="0" w:color="FFFFFF" w:themeColor="background1"/>
            </w:tcBorders>
            <w:vAlign w:val="center"/>
            <w:hideMark/>
          </w:tcPr>
          <w:p w14:paraId="779F1BD7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Guideline</w:t>
            </w:r>
          </w:p>
        </w:tc>
        <w:tc>
          <w:tcPr>
            <w:tcW w:w="992" w:type="dxa"/>
            <w:vAlign w:val="center"/>
            <w:hideMark/>
          </w:tcPr>
          <w:p w14:paraId="2DFBF3E7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Category</w:t>
            </w:r>
          </w:p>
        </w:tc>
        <w:tc>
          <w:tcPr>
            <w:tcW w:w="709" w:type="dxa"/>
            <w:vAlign w:val="center"/>
            <w:hideMark/>
          </w:tcPr>
          <w:p w14:paraId="35C8B4DE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Non-binary</w:t>
            </w:r>
          </w:p>
        </w:tc>
        <w:tc>
          <w:tcPr>
            <w:tcW w:w="708" w:type="dxa"/>
            <w:vAlign w:val="center"/>
            <w:hideMark/>
          </w:tcPr>
          <w:p w14:paraId="6FCF7B38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851" w:type="dxa"/>
            <w:vAlign w:val="center"/>
            <w:hideMark/>
          </w:tcPr>
          <w:p w14:paraId="05B6F3A1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709" w:type="dxa"/>
            <w:vAlign w:val="center"/>
            <w:hideMark/>
          </w:tcPr>
          <w:p w14:paraId="56AD2AB3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708" w:type="dxa"/>
            <w:vAlign w:val="center"/>
            <w:hideMark/>
          </w:tcPr>
          <w:p w14:paraId="4C4BEC3E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χ² (</w:t>
            </w:r>
            <w:r w:rsidRPr="005A0E70">
              <w:rPr>
                <w:rStyle w:val="Accentuation"/>
                <w:rFonts w:asciiTheme="minorHAnsi" w:hAnsiTheme="minorHAnsi"/>
                <w:color w:val="000000"/>
                <w:sz w:val="18"/>
                <w:szCs w:val="18"/>
                <w:lang w:val="en-US"/>
              </w:rPr>
              <w:t>df</w:t>
            </w: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,</w:t>
            </w:r>
            <w:r w:rsidRPr="005A0E70">
              <w:rPr>
                <w:rStyle w:val="apple-converted-space"/>
                <w:rFonts w:asciiTheme="minorHAnsi" w:hAnsiTheme="minorHAnsi"/>
                <w:color w:val="000000"/>
                <w:sz w:val="18"/>
                <w:szCs w:val="18"/>
                <w:lang w:val="en-US"/>
              </w:rPr>
              <w:t> </w:t>
            </w:r>
            <w:r w:rsidRPr="005A0E70">
              <w:rPr>
                <w:rStyle w:val="Accentuation"/>
                <w:rFonts w:asciiTheme="minorHAnsi" w:hAnsiTheme="minorHAnsi"/>
                <w:color w:val="000000"/>
                <w:sz w:val="18"/>
                <w:szCs w:val="18"/>
                <w:lang w:val="en-US"/>
              </w:rPr>
              <w:t>p</w:t>
            </w: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851" w:type="dxa"/>
            <w:vAlign w:val="center"/>
            <w:hideMark/>
          </w:tcPr>
          <w:p w14:paraId="17B2F0D9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Cramér's V</w:t>
            </w:r>
          </w:p>
        </w:tc>
        <w:tc>
          <w:tcPr>
            <w:tcW w:w="992" w:type="dxa"/>
            <w:vAlign w:val="center"/>
            <w:hideMark/>
          </w:tcPr>
          <w:p w14:paraId="46CE8501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Std. residual Non-binary</w:t>
            </w:r>
          </w:p>
        </w:tc>
        <w:tc>
          <w:tcPr>
            <w:tcW w:w="841" w:type="dxa"/>
            <w:vAlign w:val="center"/>
            <w:hideMark/>
          </w:tcPr>
          <w:p w14:paraId="7BD15ED6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Std. residual Male</w:t>
            </w:r>
          </w:p>
        </w:tc>
        <w:tc>
          <w:tcPr>
            <w:tcW w:w="827" w:type="dxa"/>
            <w:tcBorders>
              <w:right w:val="single" w:sz="4" w:space="0" w:color="FFFFFF" w:themeColor="background1"/>
            </w:tcBorders>
            <w:vAlign w:val="center"/>
            <w:hideMark/>
          </w:tcPr>
          <w:p w14:paraId="2A303207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Std. residual Female</w:t>
            </w:r>
          </w:p>
        </w:tc>
      </w:tr>
      <w:tr w:rsidR="001D72AA" w:rsidRPr="005A0E70" w14:paraId="2CCCBFA4" w14:textId="77777777" w:rsidTr="00FD5AD5">
        <w:tc>
          <w:tcPr>
            <w:tcW w:w="988" w:type="dxa"/>
            <w:vMerge w:val="restart"/>
            <w:tcBorders>
              <w:left w:val="single" w:sz="4" w:space="0" w:color="FFFFFF" w:themeColor="background1"/>
            </w:tcBorders>
            <w:vAlign w:val="center"/>
            <w:hideMark/>
          </w:tcPr>
          <w:p w14:paraId="7ED17684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Style w:val="lev"/>
                <w:rFonts w:asciiTheme="minorHAnsi" w:hAnsiTheme="minorHAnsi"/>
                <w:b w:val="0"/>
                <w:bCs w:val="0"/>
                <w:color w:val="000000"/>
                <w:sz w:val="18"/>
                <w:szCs w:val="18"/>
                <w:lang w:val="en-US"/>
              </w:rPr>
              <w:t>MVPA</w:t>
            </w:r>
          </w:p>
        </w:tc>
        <w:tc>
          <w:tcPr>
            <w:tcW w:w="992" w:type="dxa"/>
            <w:vAlign w:val="center"/>
            <w:hideMark/>
          </w:tcPr>
          <w:p w14:paraId="44BCA34F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3D1E332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708" w:type="dxa"/>
            <w:vAlign w:val="center"/>
            <w:hideMark/>
          </w:tcPr>
          <w:p w14:paraId="7605B24D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800</w:t>
            </w:r>
          </w:p>
        </w:tc>
        <w:tc>
          <w:tcPr>
            <w:tcW w:w="851" w:type="dxa"/>
            <w:vAlign w:val="center"/>
            <w:hideMark/>
          </w:tcPr>
          <w:p w14:paraId="53963C91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1,343</w:t>
            </w:r>
          </w:p>
        </w:tc>
        <w:tc>
          <w:tcPr>
            <w:tcW w:w="709" w:type="dxa"/>
            <w:vAlign w:val="center"/>
            <w:hideMark/>
          </w:tcPr>
          <w:p w14:paraId="459E659C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2,159</w:t>
            </w:r>
          </w:p>
        </w:tc>
        <w:tc>
          <w:tcPr>
            <w:tcW w:w="708" w:type="dxa"/>
            <w:vMerge w:val="restart"/>
            <w:vAlign w:val="center"/>
            <w:hideMark/>
          </w:tcPr>
          <w:p w14:paraId="68ACF0D4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.907 (2, .635)</w:t>
            </w:r>
          </w:p>
        </w:tc>
        <w:tc>
          <w:tcPr>
            <w:tcW w:w="851" w:type="dxa"/>
            <w:vMerge w:val="restart"/>
            <w:vAlign w:val="center"/>
            <w:hideMark/>
          </w:tcPr>
          <w:p w14:paraId="4D9FE914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.020</w:t>
            </w:r>
          </w:p>
        </w:tc>
        <w:tc>
          <w:tcPr>
            <w:tcW w:w="992" w:type="dxa"/>
            <w:vAlign w:val="center"/>
            <w:hideMark/>
          </w:tcPr>
          <w:p w14:paraId="0ABD8BF8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—</w:t>
            </w:r>
          </w:p>
        </w:tc>
        <w:tc>
          <w:tcPr>
            <w:tcW w:w="841" w:type="dxa"/>
            <w:vAlign w:val="center"/>
            <w:hideMark/>
          </w:tcPr>
          <w:p w14:paraId="24AF6B8F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—</w:t>
            </w:r>
          </w:p>
        </w:tc>
        <w:tc>
          <w:tcPr>
            <w:tcW w:w="827" w:type="dxa"/>
            <w:tcBorders>
              <w:right w:val="single" w:sz="4" w:space="0" w:color="FFFFFF" w:themeColor="background1"/>
            </w:tcBorders>
            <w:vAlign w:val="center"/>
            <w:hideMark/>
          </w:tcPr>
          <w:p w14:paraId="78BE04D8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—</w:t>
            </w:r>
          </w:p>
        </w:tc>
      </w:tr>
      <w:tr w:rsidR="001D72AA" w:rsidRPr="005A0E70" w14:paraId="35C1296B" w14:textId="77777777" w:rsidTr="00FD5AD5">
        <w:tc>
          <w:tcPr>
            <w:tcW w:w="988" w:type="dxa"/>
            <w:vMerge/>
            <w:tcBorders>
              <w:left w:val="single" w:sz="4" w:space="0" w:color="FFFFFF" w:themeColor="background1"/>
            </w:tcBorders>
            <w:vAlign w:val="center"/>
            <w:hideMark/>
          </w:tcPr>
          <w:p w14:paraId="45E0C314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  <w:hideMark/>
          </w:tcPr>
          <w:p w14:paraId="5AA8C190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17168F5A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7862199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49</w:t>
            </w:r>
          </w:p>
        </w:tc>
        <w:tc>
          <w:tcPr>
            <w:tcW w:w="851" w:type="dxa"/>
            <w:vAlign w:val="center"/>
            <w:hideMark/>
          </w:tcPr>
          <w:p w14:paraId="4FC3C35F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84</w:t>
            </w:r>
          </w:p>
        </w:tc>
        <w:tc>
          <w:tcPr>
            <w:tcW w:w="709" w:type="dxa"/>
            <w:vAlign w:val="center"/>
            <w:hideMark/>
          </w:tcPr>
          <w:p w14:paraId="242AF6B8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135</w:t>
            </w:r>
          </w:p>
        </w:tc>
        <w:tc>
          <w:tcPr>
            <w:tcW w:w="708" w:type="dxa"/>
            <w:vMerge/>
            <w:vAlign w:val="center"/>
            <w:hideMark/>
          </w:tcPr>
          <w:p w14:paraId="1F47B734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D4C0EE0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  <w:hideMark/>
          </w:tcPr>
          <w:p w14:paraId="09E357B5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—</w:t>
            </w:r>
          </w:p>
        </w:tc>
        <w:tc>
          <w:tcPr>
            <w:tcW w:w="841" w:type="dxa"/>
            <w:vAlign w:val="center"/>
            <w:hideMark/>
          </w:tcPr>
          <w:p w14:paraId="71A8744C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—</w:t>
            </w:r>
          </w:p>
        </w:tc>
        <w:tc>
          <w:tcPr>
            <w:tcW w:w="827" w:type="dxa"/>
            <w:tcBorders>
              <w:right w:val="single" w:sz="4" w:space="0" w:color="FFFFFF" w:themeColor="background1"/>
            </w:tcBorders>
            <w:vAlign w:val="center"/>
            <w:hideMark/>
          </w:tcPr>
          <w:p w14:paraId="668274A1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—</w:t>
            </w:r>
          </w:p>
        </w:tc>
      </w:tr>
      <w:tr w:rsidR="001D72AA" w:rsidRPr="005A0E70" w14:paraId="01CBE40B" w14:textId="77777777" w:rsidTr="00FD5AD5">
        <w:tc>
          <w:tcPr>
            <w:tcW w:w="988" w:type="dxa"/>
            <w:vMerge/>
            <w:tcBorders>
              <w:left w:val="single" w:sz="4" w:space="0" w:color="FFFFFF" w:themeColor="background1"/>
            </w:tcBorders>
            <w:vAlign w:val="center"/>
            <w:hideMark/>
          </w:tcPr>
          <w:p w14:paraId="4E5EBB0C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  <w:hideMark/>
          </w:tcPr>
          <w:p w14:paraId="233A98A6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709" w:type="dxa"/>
            <w:vAlign w:val="center"/>
            <w:hideMark/>
          </w:tcPr>
          <w:p w14:paraId="19FED141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708" w:type="dxa"/>
            <w:vAlign w:val="center"/>
            <w:hideMark/>
          </w:tcPr>
          <w:p w14:paraId="5FAE5FE3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849</w:t>
            </w:r>
          </w:p>
        </w:tc>
        <w:tc>
          <w:tcPr>
            <w:tcW w:w="851" w:type="dxa"/>
            <w:vAlign w:val="center"/>
            <w:hideMark/>
          </w:tcPr>
          <w:p w14:paraId="3FA166ED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1,427</w:t>
            </w:r>
          </w:p>
        </w:tc>
        <w:tc>
          <w:tcPr>
            <w:tcW w:w="709" w:type="dxa"/>
            <w:vAlign w:val="center"/>
            <w:hideMark/>
          </w:tcPr>
          <w:p w14:paraId="2DF6554F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2,294</w:t>
            </w:r>
          </w:p>
        </w:tc>
        <w:tc>
          <w:tcPr>
            <w:tcW w:w="708" w:type="dxa"/>
            <w:vMerge/>
            <w:vAlign w:val="center"/>
            <w:hideMark/>
          </w:tcPr>
          <w:p w14:paraId="5E338EEA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AFE9154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  <w:hideMark/>
          </w:tcPr>
          <w:p w14:paraId="131A3A0E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—</w:t>
            </w:r>
          </w:p>
        </w:tc>
        <w:tc>
          <w:tcPr>
            <w:tcW w:w="841" w:type="dxa"/>
            <w:vAlign w:val="center"/>
            <w:hideMark/>
          </w:tcPr>
          <w:p w14:paraId="7031EC32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—</w:t>
            </w:r>
          </w:p>
        </w:tc>
        <w:tc>
          <w:tcPr>
            <w:tcW w:w="827" w:type="dxa"/>
            <w:tcBorders>
              <w:right w:val="single" w:sz="4" w:space="0" w:color="FFFFFF" w:themeColor="background1"/>
            </w:tcBorders>
            <w:vAlign w:val="center"/>
            <w:hideMark/>
          </w:tcPr>
          <w:p w14:paraId="463F3472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—</w:t>
            </w:r>
          </w:p>
        </w:tc>
      </w:tr>
      <w:tr w:rsidR="001D72AA" w:rsidRPr="005A0E70" w14:paraId="614DDC9A" w14:textId="77777777" w:rsidTr="00FD5AD5">
        <w:tc>
          <w:tcPr>
            <w:tcW w:w="988" w:type="dxa"/>
            <w:vMerge w:val="restart"/>
            <w:tcBorders>
              <w:left w:val="single" w:sz="4" w:space="0" w:color="FFFFFF" w:themeColor="background1"/>
            </w:tcBorders>
            <w:vAlign w:val="center"/>
            <w:hideMark/>
          </w:tcPr>
          <w:p w14:paraId="05F81952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Style w:val="lev"/>
                <w:rFonts w:asciiTheme="minorHAnsi" w:hAnsiTheme="minorHAnsi"/>
                <w:b w:val="0"/>
                <w:bCs w:val="0"/>
                <w:color w:val="000000"/>
                <w:sz w:val="18"/>
                <w:szCs w:val="18"/>
                <w:lang w:val="en-US"/>
              </w:rPr>
              <w:t>SB</w:t>
            </w:r>
          </w:p>
        </w:tc>
        <w:tc>
          <w:tcPr>
            <w:tcW w:w="992" w:type="dxa"/>
            <w:vAlign w:val="center"/>
            <w:hideMark/>
          </w:tcPr>
          <w:p w14:paraId="19F00F6C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98C684A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708" w:type="dxa"/>
            <w:vAlign w:val="center"/>
            <w:hideMark/>
          </w:tcPr>
          <w:p w14:paraId="0A89AABC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391</w:t>
            </w:r>
          </w:p>
        </w:tc>
        <w:tc>
          <w:tcPr>
            <w:tcW w:w="851" w:type="dxa"/>
            <w:vAlign w:val="center"/>
            <w:hideMark/>
          </w:tcPr>
          <w:p w14:paraId="5E67930C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621</w:t>
            </w:r>
          </w:p>
        </w:tc>
        <w:tc>
          <w:tcPr>
            <w:tcW w:w="709" w:type="dxa"/>
            <w:vAlign w:val="center"/>
            <w:hideMark/>
          </w:tcPr>
          <w:p w14:paraId="46812404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1,018</w:t>
            </w:r>
          </w:p>
        </w:tc>
        <w:tc>
          <w:tcPr>
            <w:tcW w:w="708" w:type="dxa"/>
            <w:vMerge w:val="restart"/>
            <w:vAlign w:val="center"/>
            <w:hideMark/>
          </w:tcPr>
          <w:p w14:paraId="634F77DB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2.86 (2, .239)</w:t>
            </w:r>
          </w:p>
        </w:tc>
        <w:tc>
          <w:tcPr>
            <w:tcW w:w="851" w:type="dxa"/>
            <w:vMerge w:val="restart"/>
            <w:vAlign w:val="center"/>
            <w:hideMark/>
          </w:tcPr>
          <w:p w14:paraId="7AB5F48E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.035</w:t>
            </w:r>
          </w:p>
        </w:tc>
        <w:tc>
          <w:tcPr>
            <w:tcW w:w="992" w:type="dxa"/>
            <w:vAlign w:val="center"/>
            <w:hideMark/>
          </w:tcPr>
          <w:p w14:paraId="3173F049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—</w:t>
            </w:r>
          </w:p>
        </w:tc>
        <w:tc>
          <w:tcPr>
            <w:tcW w:w="841" w:type="dxa"/>
            <w:vAlign w:val="center"/>
            <w:hideMark/>
          </w:tcPr>
          <w:p w14:paraId="47D5EE5F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—</w:t>
            </w:r>
          </w:p>
        </w:tc>
        <w:tc>
          <w:tcPr>
            <w:tcW w:w="827" w:type="dxa"/>
            <w:tcBorders>
              <w:right w:val="single" w:sz="4" w:space="0" w:color="FFFFFF" w:themeColor="background1"/>
            </w:tcBorders>
            <w:vAlign w:val="center"/>
            <w:hideMark/>
          </w:tcPr>
          <w:p w14:paraId="752681C8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—</w:t>
            </w:r>
          </w:p>
        </w:tc>
      </w:tr>
      <w:tr w:rsidR="001D72AA" w:rsidRPr="005A0E70" w14:paraId="226D34D3" w14:textId="77777777" w:rsidTr="00FD5AD5">
        <w:tc>
          <w:tcPr>
            <w:tcW w:w="988" w:type="dxa"/>
            <w:vMerge/>
            <w:tcBorders>
              <w:left w:val="single" w:sz="4" w:space="0" w:color="FFFFFF" w:themeColor="background1"/>
            </w:tcBorders>
            <w:vAlign w:val="center"/>
            <w:hideMark/>
          </w:tcPr>
          <w:p w14:paraId="0314DF09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  <w:hideMark/>
          </w:tcPr>
          <w:p w14:paraId="52BCFCA3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3734E50A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708" w:type="dxa"/>
            <w:vAlign w:val="center"/>
            <w:hideMark/>
          </w:tcPr>
          <w:p w14:paraId="034389BA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457</w:t>
            </w:r>
          </w:p>
        </w:tc>
        <w:tc>
          <w:tcPr>
            <w:tcW w:w="851" w:type="dxa"/>
            <w:vAlign w:val="center"/>
            <w:hideMark/>
          </w:tcPr>
          <w:p w14:paraId="510756EC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821</w:t>
            </w:r>
          </w:p>
        </w:tc>
        <w:tc>
          <w:tcPr>
            <w:tcW w:w="709" w:type="dxa"/>
            <w:vAlign w:val="center"/>
            <w:hideMark/>
          </w:tcPr>
          <w:p w14:paraId="219E77FA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1,290</w:t>
            </w:r>
          </w:p>
        </w:tc>
        <w:tc>
          <w:tcPr>
            <w:tcW w:w="708" w:type="dxa"/>
            <w:vMerge/>
            <w:vAlign w:val="center"/>
            <w:hideMark/>
          </w:tcPr>
          <w:p w14:paraId="576D6CF0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BF91918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  <w:hideMark/>
          </w:tcPr>
          <w:p w14:paraId="3E446265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—</w:t>
            </w:r>
          </w:p>
        </w:tc>
        <w:tc>
          <w:tcPr>
            <w:tcW w:w="841" w:type="dxa"/>
            <w:vAlign w:val="center"/>
            <w:hideMark/>
          </w:tcPr>
          <w:p w14:paraId="607F8AC4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—</w:t>
            </w:r>
          </w:p>
        </w:tc>
        <w:tc>
          <w:tcPr>
            <w:tcW w:w="827" w:type="dxa"/>
            <w:tcBorders>
              <w:right w:val="single" w:sz="4" w:space="0" w:color="FFFFFF" w:themeColor="background1"/>
            </w:tcBorders>
            <w:vAlign w:val="center"/>
            <w:hideMark/>
          </w:tcPr>
          <w:p w14:paraId="17FB6563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—</w:t>
            </w:r>
          </w:p>
        </w:tc>
      </w:tr>
      <w:tr w:rsidR="001D72AA" w:rsidRPr="005A0E70" w14:paraId="67B36770" w14:textId="77777777" w:rsidTr="00FD5AD5">
        <w:tc>
          <w:tcPr>
            <w:tcW w:w="988" w:type="dxa"/>
            <w:vMerge/>
            <w:tcBorders>
              <w:left w:val="single" w:sz="4" w:space="0" w:color="FFFFFF" w:themeColor="background1"/>
            </w:tcBorders>
            <w:vAlign w:val="center"/>
            <w:hideMark/>
          </w:tcPr>
          <w:p w14:paraId="52903C6C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  <w:hideMark/>
          </w:tcPr>
          <w:p w14:paraId="026AD6CD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709" w:type="dxa"/>
            <w:vAlign w:val="center"/>
            <w:hideMark/>
          </w:tcPr>
          <w:p w14:paraId="57BF2899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708" w:type="dxa"/>
            <w:vAlign w:val="center"/>
            <w:hideMark/>
          </w:tcPr>
          <w:p w14:paraId="5B856347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848</w:t>
            </w:r>
          </w:p>
        </w:tc>
        <w:tc>
          <w:tcPr>
            <w:tcW w:w="851" w:type="dxa"/>
            <w:vAlign w:val="center"/>
            <w:hideMark/>
          </w:tcPr>
          <w:p w14:paraId="273E88A4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1,442</w:t>
            </w:r>
          </w:p>
        </w:tc>
        <w:tc>
          <w:tcPr>
            <w:tcW w:w="709" w:type="dxa"/>
            <w:vAlign w:val="center"/>
            <w:hideMark/>
          </w:tcPr>
          <w:p w14:paraId="250CB9FF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2,308</w:t>
            </w:r>
          </w:p>
        </w:tc>
        <w:tc>
          <w:tcPr>
            <w:tcW w:w="708" w:type="dxa"/>
            <w:vMerge/>
            <w:vAlign w:val="center"/>
            <w:hideMark/>
          </w:tcPr>
          <w:p w14:paraId="74482AE0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FA1B8E8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  <w:hideMark/>
          </w:tcPr>
          <w:p w14:paraId="4A3F548D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—</w:t>
            </w:r>
          </w:p>
        </w:tc>
        <w:tc>
          <w:tcPr>
            <w:tcW w:w="841" w:type="dxa"/>
            <w:vAlign w:val="center"/>
            <w:hideMark/>
          </w:tcPr>
          <w:p w14:paraId="7A9B8EDE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—</w:t>
            </w:r>
          </w:p>
        </w:tc>
        <w:tc>
          <w:tcPr>
            <w:tcW w:w="827" w:type="dxa"/>
            <w:tcBorders>
              <w:right w:val="single" w:sz="4" w:space="0" w:color="FFFFFF" w:themeColor="background1"/>
            </w:tcBorders>
            <w:vAlign w:val="center"/>
            <w:hideMark/>
          </w:tcPr>
          <w:p w14:paraId="3CC4DF32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—</w:t>
            </w:r>
          </w:p>
        </w:tc>
      </w:tr>
      <w:tr w:rsidR="001D72AA" w:rsidRPr="005A0E70" w14:paraId="07384658" w14:textId="77777777" w:rsidTr="00FD5AD5">
        <w:tc>
          <w:tcPr>
            <w:tcW w:w="988" w:type="dxa"/>
            <w:vMerge w:val="restart"/>
            <w:tcBorders>
              <w:left w:val="single" w:sz="4" w:space="0" w:color="FFFFFF" w:themeColor="background1"/>
            </w:tcBorders>
            <w:vAlign w:val="center"/>
            <w:hideMark/>
          </w:tcPr>
          <w:p w14:paraId="68943191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Style w:val="lev"/>
                <w:rFonts w:asciiTheme="minorHAnsi" w:hAnsiTheme="minorHAnsi"/>
                <w:b w:val="0"/>
                <w:bCs w:val="0"/>
                <w:color w:val="000000"/>
                <w:sz w:val="18"/>
                <w:szCs w:val="18"/>
                <w:lang w:val="en-US"/>
              </w:rPr>
              <w:t>Leisure screen time</w:t>
            </w:r>
          </w:p>
        </w:tc>
        <w:tc>
          <w:tcPr>
            <w:tcW w:w="992" w:type="dxa"/>
            <w:vAlign w:val="center"/>
            <w:hideMark/>
          </w:tcPr>
          <w:p w14:paraId="183E6783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D15CC48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708" w:type="dxa"/>
            <w:vAlign w:val="center"/>
            <w:hideMark/>
          </w:tcPr>
          <w:p w14:paraId="384AA8C5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509</w:t>
            </w:r>
          </w:p>
        </w:tc>
        <w:tc>
          <w:tcPr>
            <w:tcW w:w="851" w:type="dxa"/>
            <w:vAlign w:val="center"/>
            <w:hideMark/>
          </w:tcPr>
          <w:p w14:paraId="23395367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790</w:t>
            </w:r>
          </w:p>
        </w:tc>
        <w:tc>
          <w:tcPr>
            <w:tcW w:w="709" w:type="dxa"/>
            <w:vAlign w:val="center"/>
            <w:hideMark/>
          </w:tcPr>
          <w:p w14:paraId="694154FB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1,308</w:t>
            </w:r>
          </w:p>
        </w:tc>
        <w:tc>
          <w:tcPr>
            <w:tcW w:w="708" w:type="dxa"/>
            <w:vMerge w:val="restart"/>
            <w:vAlign w:val="center"/>
            <w:hideMark/>
          </w:tcPr>
          <w:p w14:paraId="0A6614BA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7.53 (2, .023)</w:t>
            </w:r>
          </w:p>
        </w:tc>
        <w:tc>
          <w:tcPr>
            <w:tcW w:w="851" w:type="dxa"/>
            <w:vMerge w:val="restart"/>
            <w:vAlign w:val="center"/>
            <w:hideMark/>
          </w:tcPr>
          <w:p w14:paraId="0935DA7F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.062</w:t>
            </w:r>
          </w:p>
        </w:tc>
        <w:tc>
          <w:tcPr>
            <w:tcW w:w="992" w:type="dxa"/>
            <w:vAlign w:val="center"/>
            <w:hideMark/>
          </w:tcPr>
          <w:p w14:paraId="720BF314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−1.18</w:t>
            </w:r>
          </w:p>
        </w:tc>
        <w:tc>
          <w:tcPr>
            <w:tcW w:w="841" w:type="dxa"/>
            <w:vAlign w:val="center"/>
            <w:hideMark/>
          </w:tcPr>
          <w:p w14:paraId="4F794844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Style w:val="lev"/>
                <w:rFonts w:asciiTheme="minorHAnsi" w:hAnsiTheme="minorHAnsi"/>
                <w:color w:val="000000"/>
                <w:sz w:val="18"/>
                <w:szCs w:val="18"/>
                <w:lang w:val="en-US"/>
              </w:rPr>
              <w:t>2.56</w:t>
            </w:r>
          </w:p>
        </w:tc>
        <w:tc>
          <w:tcPr>
            <w:tcW w:w="827" w:type="dxa"/>
            <w:tcBorders>
              <w:right w:val="single" w:sz="4" w:space="0" w:color="FFFFFF" w:themeColor="background1"/>
            </w:tcBorders>
            <w:vAlign w:val="center"/>
            <w:hideMark/>
          </w:tcPr>
          <w:p w14:paraId="7AD6383C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Style w:val="lev"/>
                <w:rFonts w:asciiTheme="minorHAnsi" w:hAnsiTheme="minorHAnsi"/>
                <w:color w:val="000000"/>
                <w:sz w:val="18"/>
                <w:szCs w:val="18"/>
                <w:lang w:val="en-US"/>
              </w:rPr>
              <w:t>−2.32</w:t>
            </w:r>
          </w:p>
        </w:tc>
      </w:tr>
      <w:tr w:rsidR="001D72AA" w:rsidRPr="005A0E70" w14:paraId="3ED75092" w14:textId="77777777" w:rsidTr="00FD5AD5">
        <w:tc>
          <w:tcPr>
            <w:tcW w:w="988" w:type="dxa"/>
            <w:vMerge/>
            <w:tcBorders>
              <w:left w:val="single" w:sz="4" w:space="0" w:color="FFFFFF" w:themeColor="background1"/>
            </w:tcBorders>
            <w:vAlign w:val="center"/>
            <w:hideMark/>
          </w:tcPr>
          <w:p w14:paraId="14EF4AB4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  <w:hideMark/>
          </w:tcPr>
          <w:p w14:paraId="3B119FBA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2E296F39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708" w:type="dxa"/>
            <w:vAlign w:val="center"/>
            <w:hideMark/>
          </w:tcPr>
          <w:p w14:paraId="069CB095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219</w:t>
            </w:r>
          </w:p>
        </w:tc>
        <w:tc>
          <w:tcPr>
            <w:tcW w:w="851" w:type="dxa"/>
            <w:vAlign w:val="center"/>
            <w:hideMark/>
          </w:tcPr>
          <w:p w14:paraId="442EF38F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436</w:t>
            </w:r>
          </w:p>
        </w:tc>
        <w:tc>
          <w:tcPr>
            <w:tcW w:w="709" w:type="dxa"/>
            <w:vAlign w:val="center"/>
            <w:hideMark/>
          </w:tcPr>
          <w:p w14:paraId="58428DF6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663</w:t>
            </w:r>
          </w:p>
        </w:tc>
        <w:tc>
          <w:tcPr>
            <w:tcW w:w="708" w:type="dxa"/>
            <w:vMerge/>
            <w:vAlign w:val="center"/>
            <w:hideMark/>
          </w:tcPr>
          <w:p w14:paraId="0C4D0E7B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3313EAF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  <w:hideMark/>
          </w:tcPr>
          <w:p w14:paraId="133E6351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1.18</w:t>
            </w:r>
          </w:p>
        </w:tc>
        <w:tc>
          <w:tcPr>
            <w:tcW w:w="841" w:type="dxa"/>
            <w:vAlign w:val="center"/>
            <w:hideMark/>
          </w:tcPr>
          <w:p w14:paraId="5B74E68E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Style w:val="lev"/>
                <w:rFonts w:asciiTheme="minorHAnsi" w:hAnsiTheme="minorHAnsi"/>
                <w:color w:val="000000"/>
                <w:sz w:val="18"/>
                <w:szCs w:val="18"/>
                <w:lang w:val="en-US"/>
              </w:rPr>
              <w:t>−2.56</w:t>
            </w:r>
          </w:p>
        </w:tc>
        <w:tc>
          <w:tcPr>
            <w:tcW w:w="827" w:type="dxa"/>
            <w:tcBorders>
              <w:right w:val="single" w:sz="4" w:space="0" w:color="FFFFFF" w:themeColor="background1"/>
            </w:tcBorders>
            <w:vAlign w:val="center"/>
            <w:hideMark/>
          </w:tcPr>
          <w:p w14:paraId="2EBDB50C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Style w:val="lev"/>
                <w:rFonts w:asciiTheme="minorHAnsi" w:hAnsiTheme="minorHAnsi"/>
                <w:color w:val="000000"/>
                <w:sz w:val="18"/>
                <w:szCs w:val="18"/>
                <w:lang w:val="en-US"/>
              </w:rPr>
              <w:t>2.32</w:t>
            </w:r>
          </w:p>
        </w:tc>
      </w:tr>
      <w:tr w:rsidR="001D72AA" w:rsidRPr="005A0E70" w14:paraId="58F46310" w14:textId="77777777" w:rsidTr="00FD5AD5">
        <w:tc>
          <w:tcPr>
            <w:tcW w:w="988" w:type="dxa"/>
            <w:vMerge/>
            <w:tcBorders>
              <w:left w:val="single" w:sz="4" w:space="0" w:color="FFFFFF" w:themeColor="background1"/>
            </w:tcBorders>
            <w:vAlign w:val="center"/>
            <w:hideMark/>
          </w:tcPr>
          <w:p w14:paraId="653AC841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  <w:hideMark/>
          </w:tcPr>
          <w:p w14:paraId="1B214FF0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709" w:type="dxa"/>
            <w:vAlign w:val="center"/>
            <w:hideMark/>
          </w:tcPr>
          <w:p w14:paraId="68047A5C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708" w:type="dxa"/>
            <w:vAlign w:val="center"/>
            <w:hideMark/>
          </w:tcPr>
          <w:p w14:paraId="0ED702E7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728</w:t>
            </w:r>
          </w:p>
        </w:tc>
        <w:tc>
          <w:tcPr>
            <w:tcW w:w="851" w:type="dxa"/>
            <w:vAlign w:val="center"/>
            <w:hideMark/>
          </w:tcPr>
          <w:p w14:paraId="69970579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1,226</w:t>
            </w:r>
          </w:p>
        </w:tc>
        <w:tc>
          <w:tcPr>
            <w:tcW w:w="709" w:type="dxa"/>
            <w:vAlign w:val="center"/>
            <w:hideMark/>
          </w:tcPr>
          <w:p w14:paraId="61B9DD94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1,971</w:t>
            </w:r>
          </w:p>
        </w:tc>
        <w:tc>
          <w:tcPr>
            <w:tcW w:w="708" w:type="dxa"/>
            <w:vMerge/>
            <w:vAlign w:val="center"/>
            <w:hideMark/>
          </w:tcPr>
          <w:p w14:paraId="327662D0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2B99C8F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  <w:hideMark/>
          </w:tcPr>
          <w:p w14:paraId="25B7C902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—</w:t>
            </w:r>
          </w:p>
        </w:tc>
        <w:tc>
          <w:tcPr>
            <w:tcW w:w="841" w:type="dxa"/>
            <w:vAlign w:val="center"/>
            <w:hideMark/>
          </w:tcPr>
          <w:p w14:paraId="16A707E8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—</w:t>
            </w:r>
          </w:p>
        </w:tc>
        <w:tc>
          <w:tcPr>
            <w:tcW w:w="827" w:type="dxa"/>
            <w:tcBorders>
              <w:right w:val="single" w:sz="4" w:space="0" w:color="FFFFFF" w:themeColor="background1"/>
            </w:tcBorders>
            <w:vAlign w:val="center"/>
            <w:hideMark/>
          </w:tcPr>
          <w:p w14:paraId="20E6FFE9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—</w:t>
            </w:r>
          </w:p>
        </w:tc>
      </w:tr>
      <w:tr w:rsidR="001D72AA" w:rsidRPr="005A0E70" w14:paraId="708087CC" w14:textId="77777777" w:rsidTr="00FD5AD5">
        <w:tc>
          <w:tcPr>
            <w:tcW w:w="988" w:type="dxa"/>
            <w:vMerge w:val="restart"/>
            <w:tcBorders>
              <w:left w:val="single" w:sz="4" w:space="0" w:color="FFFFFF" w:themeColor="background1"/>
            </w:tcBorders>
            <w:vAlign w:val="center"/>
            <w:hideMark/>
          </w:tcPr>
          <w:p w14:paraId="3289395A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Style w:val="lev"/>
                <w:rFonts w:asciiTheme="minorHAnsi" w:hAnsiTheme="minorHAnsi"/>
                <w:b w:val="0"/>
                <w:bCs w:val="0"/>
                <w:color w:val="000000"/>
                <w:sz w:val="18"/>
                <w:szCs w:val="18"/>
                <w:lang w:val="en-US"/>
              </w:rPr>
              <w:t>Sleep</w:t>
            </w:r>
          </w:p>
        </w:tc>
        <w:tc>
          <w:tcPr>
            <w:tcW w:w="992" w:type="dxa"/>
            <w:vAlign w:val="center"/>
            <w:hideMark/>
          </w:tcPr>
          <w:p w14:paraId="5569F1AF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C69A50F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708" w:type="dxa"/>
            <w:vAlign w:val="center"/>
            <w:hideMark/>
          </w:tcPr>
          <w:p w14:paraId="5BEE0C29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572</w:t>
            </w:r>
          </w:p>
        </w:tc>
        <w:tc>
          <w:tcPr>
            <w:tcW w:w="851" w:type="dxa"/>
            <w:vAlign w:val="center"/>
            <w:hideMark/>
          </w:tcPr>
          <w:p w14:paraId="56556752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906</w:t>
            </w:r>
          </w:p>
        </w:tc>
        <w:tc>
          <w:tcPr>
            <w:tcW w:w="709" w:type="dxa"/>
            <w:vAlign w:val="center"/>
            <w:hideMark/>
          </w:tcPr>
          <w:p w14:paraId="25699A3E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1,488</w:t>
            </w:r>
          </w:p>
        </w:tc>
        <w:tc>
          <w:tcPr>
            <w:tcW w:w="708" w:type="dxa"/>
            <w:vMerge w:val="restart"/>
            <w:vAlign w:val="center"/>
            <w:hideMark/>
          </w:tcPr>
          <w:p w14:paraId="5F4F141D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6.12 (2, .047)</w:t>
            </w:r>
          </w:p>
        </w:tc>
        <w:tc>
          <w:tcPr>
            <w:tcW w:w="851" w:type="dxa"/>
            <w:vMerge w:val="restart"/>
            <w:vAlign w:val="center"/>
            <w:hideMark/>
          </w:tcPr>
          <w:p w14:paraId="77C38355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.051</w:t>
            </w:r>
          </w:p>
        </w:tc>
        <w:tc>
          <w:tcPr>
            <w:tcW w:w="992" w:type="dxa"/>
            <w:vAlign w:val="center"/>
            <w:hideMark/>
          </w:tcPr>
          <w:p w14:paraId="22925C2D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−0.711</w:t>
            </w:r>
          </w:p>
        </w:tc>
        <w:tc>
          <w:tcPr>
            <w:tcW w:w="841" w:type="dxa"/>
            <w:vAlign w:val="center"/>
            <w:hideMark/>
          </w:tcPr>
          <w:p w14:paraId="63E6ED68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Style w:val="lev"/>
                <w:rFonts w:asciiTheme="minorHAnsi" w:hAnsiTheme="minorHAnsi"/>
                <w:color w:val="000000"/>
                <w:sz w:val="18"/>
                <w:szCs w:val="18"/>
                <w:lang w:val="en-US"/>
              </w:rPr>
              <w:t>2.41</w:t>
            </w:r>
          </w:p>
        </w:tc>
        <w:tc>
          <w:tcPr>
            <w:tcW w:w="827" w:type="dxa"/>
            <w:tcBorders>
              <w:right w:val="single" w:sz="4" w:space="0" w:color="FFFFFF" w:themeColor="background1"/>
            </w:tcBorders>
            <w:vAlign w:val="center"/>
            <w:hideMark/>
          </w:tcPr>
          <w:p w14:paraId="2D2E9E6D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Style w:val="lev"/>
                <w:rFonts w:asciiTheme="minorHAnsi" w:hAnsiTheme="minorHAnsi"/>
                <w:color w:val="000000"/>
                <w:sz w:val="18"/>
                <w:szCs w:val="18"/>
                <w:lang w:val="en-US"/>
              </w:rPr>
              <w:t>−2.27</w:t>
            </w:r>
          </w:p>
        </w:tc>
      </w:tr>
      <w:tr w:rsidR="001D72AA" w:rsidRPr="005A0E70" w14:paraId="535FDBCB" w14:textId="77777777" w:rsidTr="00FD5AD5">
        <w:tc>
          <w:tcPr>
            <w:tcW w:w="988" w:type="dxa"/>
            <w:vMerge/>
            <w:tcBorders>
              <w:left w:val="single" w:sz="4" w:space="0" w:color="FFFFFF" w:themeColor="background1"/>
            </w:tcBorders>
            <w:vAlign w:val="center"/>
            <w:hideMark/>
          </w:tcPr>
          <w:p w14:paraId="0DE692E6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  <w:hideMark/>
          </w:tcPr>
          <w:p w14:paraId="619E49B5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107EA1E3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708" w:type="dxa"/>
            <w:vAlign w:val="center"/>
            <w:hideMark/>
          </w:tcPr>
          <w:p w14:paraId="651541FA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285</w:t>
            </w:r>
          </w:p>
        </w:tc>
        <w:tc>
          <w:tcPr>
            <w:tcW w:w="851" w:type="dxa"/>
            <w:vAlign w:val="center"/>
            <w:hideMark/>
          </w:tcPr>
          <w:p w14:paraId="7B90FCB7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559</w:t>
            </w:r>
          </w:p>
        </w:tc>
        <w:tc>
          <w:tcPr>
            <w:tcW w:w="709" w:type="dxa"/>
            <w:vAlign w:val="center"/>
            <w:hideMark/>
          </w:tcPr>
          <w:p w14:paraId="043C0413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852</w:t>
            </w:r>
          </w:p>
        </w:tc>
        <w:tc>
          <w:tcPr>
            <w:tcW w:w="708" w:type="dxa"/>
            <w:vMerge/>
            <w:vAlign w:val="center"/>
            <w:hideMark/>
          </w:tcPr>
          <w:p w14:paraId="0D750FAB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EE6C087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  <w:hideMark/>
          </w:tcPr>
          <w:p w14:paraId="5574D7BA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0.711</w:t>
            </w:r>
          </w:p>
        </w:tc>
        <w:tc>
          <w:tcPr>
            <w:tcW w:w="841" w:type="dxa"/>
            <w:vAlign w:val="center"/>
            <w:hideMark/>
          </w:tcPr>
          <w:p w14:paraId="7E84EEDB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Style w:val="lev"/>
                <w:rFonts w:asciiTheme="minorHAnsi" w:hAnsiTheme="minorHAnsi"/>
                <w:color w:val="000000"/>
                <w:sz w:val="18"/>
                <w:szCs w:val="18"/>
                <w:lang w:val="en-US"/>
              </w:rPr>
              <w:t>−2.41</w:t>
            </w:r>
          </w:p>
        </w:tc>
        <w:tc>
          <w:tcPr>
            <w:tcW w:w="827" w:type="dxa"/>
            <w:tcBorders>
              <w:right w:val="single" w:sz="4" w:space="0" w:color="FFFFFF" w:themeColor="background1"/>
            </w:tcBorders>
            <w:vAlign w:val="center"/>
            <w:hideMark/>
          </w:tcPr>
          <w:p w14:paraId="4CCC442A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Style w:val="lev"/>
                <w:rFonts w:asciiTheme="minorHAnsi" w:hAnsiTheme="minorHAnsi"/>
                <w:color w:val="000000"/>
                <w:sz w:val="18"/>
                <w:szCs w:val="18"/>
                <w:lang w:val="en-US"/>
              </w:rPr>
              <w:t>2.27</w:t>
            </w:r>
          </w:p>
        </w:tc>
      </w:tr>
      <w:tr w:rsidR="001D72AA" w:rsidRPr="005A0E70" w14:paraId="0057C7F1" w14:textId="77777777" w:rsidTr="00FD5AD5">
        <w:tc>
          <w:tcPr>
            <w:tcW w:w="988" w:type="dxa"/>
            <w:vMerge/>
            <w:tcBorders>
              <w:left w:val="single" w:sz="4" w:space="0" w:color="FFFFFF" w:themeColor="background1"/>
            </w:tcBorders>
            <w:vAlign w:val="center"/>
            <w:hideMark/>
          </w:tcPr>
          <w:p w14:paraId="1F7FE11A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  <w:hideMark/>
          </w:tcPr>
          <w:p w14:paraId="07EB5A92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709" w:type="dxa"/>
            <w:vAlign w:val="center"/>
            <w:hideMark/>
          </w:tcPr>
          <w:p w14:paraId="6AFE4863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708" w:type="dxa"/>
            <w:vAlign w:val="center"/>
            <w:hideMark/>
          </w:tcPr>
          <w:p w14:paraId="382BE465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857</w:t>
            </w:r>
          </w:p>
        </w:tc>
        <w:tc>
          <w:tcPr>
            <w:tcW w:w="851" w:type="dxa"/>
            <w:vAlign w:val="center"/>
            <w:hideMark/>
          </w:tcPr>
          <w:p w14:paraId="06E5B5DC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1,465</w:t>
            </w:r>
          </w:p>
        </w:tc>
        <w:tc>
          <w:tcPr>
            <w:tcW w:w="709" w:type="dxa"/>
            <w:vAlign w:val="center"/>
            <w:hideMark/>
          </w:tcPr>
          <w:p w14:paraId="357E711E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2,340</w:t>
            </w:r>
          </w:p>
        </w:tc>
        <w:tc>
          <w:tcPr>
            <w:tcW w:w="708" w:type="dxa"/>
            <w:vMerge/>
            <w:vAlign w:val="center"/>
            <w:hideMark/>
          </w:tcPr>
          <w:p w14:paraId="4EC66E94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D8D0613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  <w:hideMark/>
          </w:tcPr>
          <w:p w14:paraId="162EC65F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—</w:t>
            </w:r>
          </w:p>
        </w:tc>
        <w:tc>
          <w:tcPr>
            <w:tcW w:w="841" w:type="dxa"/>
            <w:vAlign w:val="center"/>
            <w:hideMark/>
          </w:tcPr>
          <w:p w14:paraId="1B7CD838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—</w:t>
            </w:r>
          </w:p>
        </w:tc>
        <w:tc>
          <w:tcPr>
            <w:tcW w:w="827" w:type="dxa"/>
            <w:tcBorders>
              <w:right w:val="single" w:sz="4" w:space="0" w:color="FFFFFF" w:themeColor="background1"/>
            </w:tcBorders>
            <w:vAlign w:val="center"/>
            <w:hideMark/>
          </w:tcPr>
          <w:p w14:paraId="1F7FAE8B" w14:textId="77777777" w:rsidR="001D72AA" w:rsidRPr="005A0E70" w:rsidRDefault="001D72AA" w:rsidP="007D0E4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5A0E7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—</w:t>
            </w:r>
          </w:p>
        </w:tc>
      </w:tr>
    </w:tbl>
    <w:p w14:paraId="6E2A8035" w14:textId="77777777" w:rsidR="001D72AA" w:rsidRPr="0039433C" w:rsidRDefault="001D72AA" w:rsidP="001D72AA">
      <w:pPr>
        <w:rPr>
          <w:rFonts w:asciiTheme="minorHAnsi" w:hAnsiTheme="minorHAnsi"/>
          <w:lang w:val="en-US"/>
        </w:rPr>
      </w:pPr>
      <w:r w:rsidRPr="0039433C">
        <w:rPr>
          <w:rFonts w:asciiTheme="minorHAnsi" w:hAnsiTheme="minorHAnsi"/>
          <w:i/>
          <w:iCs/>
          <w:sz w:val="22"/>
          <w:szCs w:val="22"/>
          <w:lang w:val="en-US"/>
        </w:rPr>
        <w:t xml:space="preserve">Note. Depression: 0 = No (score &lt;14); 1 = Moderate to extremely severe depressive symptoms (score ≥14). Anxiety: 0 = No (score &lt;10); 1 = Moderate to extremely severe anxiety symptoms (score ≥10). Stress: 0 = No (score &lt;19); 1 = Moderate to extremely severe stress symptoms (score ≥19). General Composite Score (GCS): 0 = GCS ≥0; 1 = GCS &lt;0. All four χ² tests were significant (p &lt; .05), so post hoc standardized residuals were computed for each outcome. </w:t>
      </w:r>
      <w:r w:rsidRPr="0039433C">
        <w:rPr>
          <w:rFonts w:asciiTheme="minorHAnsi" w:hAnsiTheme="minorHAnsi"/>
          <w:b/>
          <w:bCs/>
          <w:i/>
          <w:iCs/>
          <w:sz w:val="22"/>
          <w:szCs w:val="22"/>
          <w:lang w:val="en-US"/>
        </w:rPr>
        <w:t>Bold</w:t>
      </w:r>
      <w:r w:rsidRPr="0039433C">
        <w:rPr>
          <w:rFonts w:asciiTheme="minorHAnsi" w:hAnsiTheme="minorHAnsi"/>
          <w:i/>
          <w:iCs/>
          <w:sz w:val="22"/>
          <w:szCs w:val="22"/>
          <w:lang w:val="en-US"/>
        </w:rPr>
        <w:t xml:space="preserve"> standardized residuals indicate |z| &gt; 1.96 (p &lt; .05), denoting cells that contribute significantly to the overall chi-square association.</w:t>
      </w:r>
    </w:p>
    <w:sectPr w:rsidR="001D72AA" w:rsidRPr="00394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BE60D4A"/>
    <w:multiLevelType w:val="hybridMultilevel"/>
    <w:tmpl w:val="E0C8F16E"/>
    <w:lvl w:ilvl="0" w:tplc="C5EA2F10">
      <w:start w:val="1"/>
      <w:numFmt w:val="decimal"/>
      <w:pStyle w:val="Style12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513772">
    <w:abstractNumId w:val="0"/>
  </w:num>
  <w:num w:numId="2" w16cid:durableId="125242350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BDD"/>
    <w:rsid w:val="00007B60"/>
    <w:rsid w:val="00026C2E"/>
    <w:rsid w:val="00032F26"/>
    <w:rsid w:val="0005735A"/>
    <w:rsid w:val="00057981"/>
    <w:rsid w:val="000747D4"/>
    <w:rsid w:val="00075799"/>
    <w:rsid w:val="00077C27"/>
    <w:rsid w:val="000D424C"/>
    <w:rsid w:val="000E5B96"/>
    <w:rsid w:val="00144E91"/>
    <w:rsid w:val="00147B66"/>
    <w:rsid w:val="001738A6"/>
    <w:rsid w:val="00173F2A"/>
    <w:rsid w:val="00187D49"/>
    <w:rsid w:val="00195BDD"/>
    <w:rsid w:val="001C30E5"/>
    <w:rsid w:val="001D0EE9"/>
    <w:rsid w:val="001D72AA"/>
    <w:rsid w:val="001E5A32"/>
    <w:rsid w:val="0020051D"/>
    <w:rsid w:val="00213C57"/>
    <w:rsid w:val="00260C40"/>
    <w:rsid w:val="0026260D"/>
    <w:rsid w:val="00272854"/>
    <w:rsid w:val="002819DC"/>
    <w:rsid w:val="00292A69"/>
    <w:rsid w:val="002B172C"/>
    <w:rsid w:val="002B73EA"/>
    <w:rsid w:val="002D3312"/>
    <w:rsid w:val="002E05DE"/>
    <w:rsid w:val="002F29E3"/>
    <w:rsid w:val="0032196E"/>
    <w:rsid w:val="00327C5B"/>
    <w:rsid w:val="00331BCA"/>
    <w:rsid w:val="003606CB"/>
    <w:rsid w:val="00361C46"/>
    <w:rsid w:val="00377EEB"/>
    <w:rsid w:val="00391FE6"/>
    <w:rsid w:val="0039433C"/>
    <w:rsid w:val="003A0782"/>
    <w:rsid w:val="003B1C9C"/>
    <w:rsid w:val="003B5A92"/>
    <w:rsid w:val="003B7737"/>
    <w:rsid w:val="003C46B0"/>
    <w:rsid w:val="003F59F5"/>
    <w:rsid w:val="003F70FC"/>
    <w:rsid w:val="00400CEC"/>
    <w:rsid w:val="00404F7A"/>
    <w:rsid w:val="004050DE"/>
    <w:rsid w:val="00452175"/>
    <w:rsid w:val="00453712"/>
    <w:rsid w:val="00454D58"/>
    <w:rsid w:val="0046297F"/>
    <w:rsid w:val="00463D22"/>
    <w:rsid w:val="00470B3D"/>
    <w:rsid w:val="0047396E"/>
    <w:rsid w:val="004978A2"/>
    <w:rsid w:val="004A09D5"/>
    <w:rsid w:val="004B6864"/>
    <w:rsid w:val="004C00E4"/>
    <w:rsid w:val="004D2C44"/>
    <w:rsid w:val="004E2959"/>
    <w:rsid w:val="004F0BCE"/>
    <w:rsid w:val="004F1CC1"/>
    <w:rsid w:val="004F1DB7"/>
    <w:rsid w:val="005011AA"/>
    <w:rsid w:val="00516C82"/>
    <w:rsid w:val="00520FA9"/>
    <w:rsid w:val="00532AEF"/>
    <w:rsid w:val="00560B04"/>
    <w:rsid w:val="005646CA"/>
    <w:rsid w:val="00581B02"/>
    <w:rsid w:val="0059202B"/>
    <w:rsid w:val="0059761E"/>
    <w:rsid w:val="005A0E70"/>
    <w:rsid w:val="005A17E1"/>
    <w:rsid w:val="005A5F2E"/>
    <w:rsid w:val="005B1DB5"/>
    <w:rsid w:val="005E79E9"/>
    <w:rsid w:val="00601DE7"/>
    <w:rsid w:val="0063723B"/>
    <w:rsid w:val="00640A9C"/>
    <w:rsid w:val="00667A09"/>
    <w:rsid w:val="006A2B7E"/>
    <w:rsid w:val="006B2FBE"/>
    <w:rsid w:val="006D0FCE"/>
    <w:rsid w:val="006D16F7"/>
    <w:rsid w:val="006F4AE0"/>
    <w:rsid w:val="00701653"/>
    <w:rsid w:val="00710E3F"/>
    <w:rsid w:val="00720263"/>
    <w:rsid w:val="007235CA"/>
    <w:rsid w:val="00730904"/>
    <w:rsid w:val="00755F03"/>
    <w:rsid w:val="007648FD"/>
    <w:rsid w:val="00782BA4"/>
    <w:rsid w:val="007B3E52"/>
    <w:rsid w:val="007B6B36"/>
    <w:rsid w:val="007B7CF9"/>
    <w:rsid w:val="007C1D8F"/>
    <w:rsid w:val="007D3E78"/>
    <w:rsid w:val="007D599D"/>
    <w:rsid w:val="007E7E06"/>
    <w:rsid w:val="007F0C50"/>
    <w:rsid w:val="00807B50"/>
    <w:rsid w:val="00831583"/>
    <w:rsid w:val="008746BE"/>
    <w:rsid w:val="0088508D"/>
    <w:rsid w:val="00886AA2"/>
    <w:rsid w:val="008950CB"/>
    <w:rsid w:val="008C3C20"/>
    <w:rsid w:val="008D1150"/>
    <w:rsid w:val="008D1ED1"/>
    <w:rsid w:val="008E7D1B"/>
    <w:rsid w:val="008F373E"/>
    <w:rsid w:val="009178F0"/>
    <w:rsid w:val="009506F6"/>
    <w:rsid w:val="00954647"/>
    <w:rsid w:val="00956C5A"/>
    <w:rsid w:val="009A17EF"/>
    <w:rsid w:val="009B3FD4"/>
    <w:rsid w:val="009D0C49"/>
    <w:rsid w:val="009D7F83"/>
    <w:rsid w:val="009F3DCB"/>
    <w:rsid w:val="009F6075"/>
    <w:rsid w:val="00A03746"/>
    <w:rsid w:val="00A12746"/>
    <w:rsid w:val="00A37339"/>
    <w:rsid w:val="00A45B82"/>
    <w:rsid w:val="00A541DE"/>
    <w:rsid w:val="00A84370"/>
    <w:rsid w:val="00AA4396"/>
    <w:rsid w:val="00AB2DE0"/>
    <w:rsid w:val="00AD2BC8"/>
    <w:rsid w:val="00AD522A"/>
    <w:rsid w:val="00AF529B"/>
    <w:rsid w:val="00B24F81"/>
    <w:rsid w:val="00B26B8C"/>
    <w:rsid w:val="00B27B04"/>
    <w:rsid w:val="00B313EB"/>
    <w:rsid w:val="00B345F7"/>
    <w:rsid w:val="00B46787"/>
    <w:rsid w:val="00B712BE"/>
    <w:rsid w:val="00B77A42"/>
    <w:rsid w:val="00BA0677"/>
    <w:rsid w:val="00BA0C87"/>
    <w:rsid w:val="00BB05CF"/>
    <w:rsid w:val="00BD3DA0"/>
    <w:rsid w:val="00BD47B5"/>
    <w:rsid w:val="00BD7500"/>
    <w:rsid w:val="00C17803"/>
    <w:rsid w:val="00C519B0"/>
    <w:rsid w:val="00C53052"/>
    <w:rsid w:val="00C77F36"/>
    <w:rsid w:val="00C87BF2"/>
    <w:rsid w:val="00CA5072"/>
    <w:rsid w:val="00CA51A4"/>
    <w:rsid w:val="00CA565A"/>
    <w:rsid w:val="00CB11C1"/>
    <w:rsid w:val="00CB62D8"/>
    <w:rsid w:val="00CC47D4"/>
    <w:rsid w:val="00CD1D94"/>
    <w:rsid w:val="00CD5652"/>
    <w:rsid w:val="00CD5EBD"/>
    <w:rsid w:val="00CE4EBF"/>
    <w:rsid w:val="00CF35FA"/>
    <w:rsid w:val="00CF74FE"/>
    <w:rsid w:val="00D153ED"/>
    <w:rsid w:val="00D23B70"/>
    <w:rsid w:val="00D267D6"/>
    <w:rsid w:val="00D30DE7"/>
    <w:rsid w:val="00D513A4"/>
    <w:rsid w:val="00D710F6"/>
    <w:rsid w:val="00D855FD"/>
    <w:rsid w:val="00D90A53"/>
    <w:rsid w:val="00DA4625"/>
    <w:rsid w:val="00DB6DA8"/>
    <w:rsid w:val="00DB7ABC"/>
    <w:rsid w:val="00DC516C"/>
    <w:rsid w:val="00DD5CEA"/>
    <w:rsid w:val="00DD7D78"/>
    <w:rsid w:val="00E20BDD"/>
    <w:rsid w:val="00E46B7F"/>
    <w:rsid w:val="00E53358"/>
    <w:rsid w:val="00E578B0"/>
    <w:rsid w:val="00E65D29"/>
    <w:rsid w:val="00E76AEE"/>
    <w:rsid w:val="00E77C79"/>
    <w:rsid w:val="00E843DD"/>
    <w:rsid w:val="00E93C84"/>
    <w:rsid w:val="00EB08ED"/>
    <w:rsid w:val="00EB54C0"/>
    <w:rsid w:val="00EC2F86"/>
    <w:rsid w:val="00EF2457"/>
    <w:rsid w:val="00F02197"/>
    <w:rsid w:val="00F0626A"/>
    <w:rsid w:val="00F13F36"/>
    <w:rsid w:val="00F209E2"/>
    <w:rsid w:val="00F32F1D"/>
    <w:rsid w:val="00F33269"/>
    <w:rsid w:val="00F35679"/>
    <w:rsid w:val="00F41575"/>
    <w:rsid w:val="00F54C74"/>
    <w:rsid w:val="00F55DF8"/>
    <w:rsid w:val="00F60384"/>
    <w:rsid w:val="00F61EC8"/>
    <w:rsid w:val="00F62616"/>
    <w:rsid w:val="00F63ACB"/>
    <w:rsid w:val="00F70E68"/>
    <w:rsid w:val="00F801DD"/>
    <w:rsid w:val="00F91290"/>
    <w:rsid w:val="00F952DE"/>
    <w:rsid w:val="00F959D1"/>
    <w:rsid w:val="00FC7645"/>
    <w:rsid w:val="00FD5AD5"/>
    <w:rsid w:val="00FE2D3D"/>
    <w:rsid w:val="00FE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023A8"/>
  <w15:chartTrackingRefBased/>
  <w15:docId w15:val="{1406AD69-9507-B547-A713-7FD2F7653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0CB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195B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44E9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26"/>
      <w:szCs w:val="26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95BD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95BD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95BD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95BD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95BD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95BD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95BD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1">
    <w:name w:val="Style11"/>
    <w:basedOn w:val="Titre2"/>
    <w:qFormat/>
    <w:rsid w:val="00144E91"/>
    <w:pPr>
      <w:spacing w:line="264" w:lineRule="auto"/>
    </w:pPr>
    <w:rPr>
      <w:rFonts w:ascii="Times New Roman" w:hAnsi="Times New Roman" w:cs="Times New Roman"/>
      <w:b/>
      <w:bCs/>
      <w:i/>
      <w:iCs/>
      <w:color w:val="E97132" w:themeColor="accent2"/>
      <w:sz w:val="24"/>
      <w:szCs w:val="24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144E91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Style12">
    <w:name w:val="Style12"/>
    <w:basedOn w:val="Titre2"/>
    <w:autoRedefine/>
    <w:qFormat/>
    <w:rsid w:val="00144E91"/>
    <w:pPr>
      <w:numPr>
        <w:numId w:val="2"/>
      </w:numPr>
      <w:spacing w:line="264" w:lineRule="auto"/>
    </w:pPr>
    <w:rPr>
      <w:rFonts w:ascii="Times New Roman" w:hAnsi="Times New Roman" w:cs="Times New Roman"/>
      <w:b/>
      <w:bCs/>
      <w:i/>
      <w:iCs/>
      <w:color w:val="E97132" w:themeColor="accent2"/>
      <w:sz w:val="24"/>
      <w:szCs w:val="24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195B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3Car">
    <w:name w:val="Titre 3 Car"/>
    <w:basedOn w:val="Policepardfaut"/>
    <w:link w:val="Titre3"/>
    <w:uiPriority w:val="9"/>
    <w:semiHidden/>
    <w:rsid w:val="00195B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95BD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95BD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95BD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95BD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95BD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95BD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95B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195B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95BD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195B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95BDD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195BD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95BDD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195BD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95B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95BD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95BDD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0D424C"/>
    <w:rPr>
      <w:kern w:val="0"/>
      <w:sz w:val="22"/>
      <w:szCs w:val="22"/>
      <w:lang w:val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olicepardfaut"/>
    <w:rsid w:val="000D424C"/>
  </w:style>
  <w:style w:type="character" w:styleId="Marquedecommentaire">
    <w:name w:val="annotation reference"/>
    <w:basedOn w:val="Policepardfaut"/>
    <w:uiPriority w:val="99"/>
    <w:semiHidden/>
    <w:unhideWhenUsed/>
    <w:rsid w:val="00AF529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F529B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CommentaireCar">
    <w:name w:val="Commentaire Car"/>
    <w:basedOn w:val="Policepardfaut"/>
    <w:link w:val="Commentaire"/>
    <w:uiPriority w:val="99"/>
    <w:rsid w:val="00AF529B"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C00E4"/>
    <w:pPr>
      <w:spacing w:before="100" w:beforeAutospacing="1" w:after="100" w:afterAutospacing="1"/>
    </w:pPr>
  </w:style>
  <w:style w:type="paragraph" w:customStyle="1" w:styleId="font-claude-response-body">
    <w:name w:val="font-claude-response-body"/>
    <w:basedOn w:val="Normal"/>
    <w:rsid w:val="00400CEC"/>
    <w:pPr>
      <w:spacing w:before="100" w:beforeAutospacing="1" w:after="100" w:afterAutospacing="1"/>
    </w:pPr>
  </w:style>
  <w:style w:type="character" w:styleId="lev">
    <w:name w:val="Strong"/>
    <w:basedOn w:val="Policepardfaut"/>
    <w:uiPriority w:val="22"/>
    <w:qFormat/>
    <w:rsid w:val="00400CEC"/>
    <w:rPr>
      <w:b/>
      <w:bCs/>
    </w:rPr>
  </w:style>
  <w:style w:type="character" w:styleId="Accentuation">
    <w:name w:val="Emphasis"/>
    <w:basedOn w:val="Policepardfaut"/>
    <w:uiPriority w:val="20"/>
    <w:qFormat/>
    <w:rsid w:val="00F55DF8"/>
    <w:rPr>
      <w:i/>
      <w:iCs/>
    </w:rPr>
  </w:style>
  <w:style w:type="table" w:styleId="Grilledetableauclaire">
    <w:name w:val="Grid Table Light"/>
    <w:basedOn w:val="TableauNormal"/>
    <w:uiPriority w:val="40"/>
    <w:rsid w:val="0020051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742DB9-9FDF-9045-A07C-AF09CD4A0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Alyzee Lebas</dc:creator>
  <cp:keywords/>
  <dc:description/>
  <cp:lastModifiedBy>Alyzee Lebas</cp:lastModifiedBy>
  <cp:revision>3</cp:revision>
  <dcterms:created xsi:type="dcterms:W3CDTF">2026-08-04T07:45:00Z</dcterms:created>
  <dcterms:modified xsi:type="dcterms:W3CDTF">2026-08-04T08:04:00Z</dcterms:modified>
</cp:coreProperties>
</file>