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AA4B1">
      <w:pPr>
        <w:spacing w:line="360" w:lineRule="auto"/>
        <w:jc w:val="both"/>
        <w:rPr>
          <w:rFonts w:ascii="Calibri" w:hAnsi="Calibri" w:eastAsia="Calibri" w:cs="Calibri"/>
          <w:b/>
          <w:color w:val="000000"/>
          <w:sz w:val="22"/>
          <w:szCs w:val="22"/>
          <w:lang w:val="en-GB"/>
        </w:rPr>
      </w:pPr>
      <w:r>
        <w:rPr>
          <w:rFonts w:ascii="Calibri" w:hAnsi="Calibri" w:eastAsia="Calibri" w:cs="Calibri"/>
          <w:b/>
          <w:color w:val="000000"/>
          <w:sz w:val="22"/>
          <w:szCs w:val="22"/>
          <w:lang w:val="en-GB"/>
        </w:rPr>
        <w:t xml:space="preserve">CONSORT 2025 checklist of information to include when reporting a randomised trial* </w:t>
      </w:r>
    </w:p>
    <w:tbl>
      <w:tblPr>
        <w:tblStyle w:val="23"/>
        <w:tblW w:w="1431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547"/>
        <w:gridCol w:w="992"/>
        <w:gridCol w:w="9356"/>
        <w:gridCol w:w="1417"/>
      </w:tblGrid>
      <w:tr w14:paraId="42F6C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shd w:val="clear" w:color="auto" w:fill="BFBFBF"/>
          </w:tcPr>
          <w:p w14:paraId="07AEEDF9">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Section / Topic</w:t>
            </w:r>
          </w:p>
          <w:p w14:paraId="0F5F40E3">
            <w:pPr>
              <w:spacing w:line="240" w:lineRule="auto"/>
              <w:rPr>
                <w:rFonts w:ascii="Calibri" w:hAnsi="Calibri" w:eastAsia="Calibri" w:cs="Calibri"/>
                <w:b/>
                <w:color w:val="000000"/>
                <w:sz w:val="22"/>
                <w:szCs w:val="22"/>
                <w:lang w:val="en-GB"/>
              </w:rPr>
            </w:pPr>
          </w:p>
        </w:tc>
        <w:tc>
          <w:tcPr>
            <w:tcW w:w="992" w:type="dxa"/>
            <w:shd w:val="clear" w:color="auto" w:fill="BFBFBF"/>
          </w:tcPr>
          <w:p w14:paraId="5449031B">
            <w:pPr>
              <w:spacing w:line="240" w:lineRule="auto"/>
              <w:jc w:val="center"/>
              <w:rPr>
                <w:rFonts w:ascii="Calibri" w:hAnsi="Calibri" w:eastAsia="Calibri" w:cs="Calibri"/>
                <w:b/>
                <w:color w:val="000000"/>
                <w:sz w:val="22"/>
                <w:szCs w:val="22"/>
                <w:lang w:val="en-GB"/>
              </w:rPr>
            </w:pPr>
            <w:r>
              <w:rPr>
                <w:rFonts w:ascii="Calibri" w:hAnsi="Calibri" w:eastAsia="Calibri" w:cs="Calibri"/>
                <w:b/>
                <w:color w:val="000000"/>
                <w:sz w:val="22"/>
                <w:szCs w:val="22"/>
                <w:lang w:val="en-GB"/>
              </w:rPr>
              <w:t>No</w:t>
            </w:r>
          </w:p>
        </w:tc>
        <w:tc>
          <w:tcPr>
            <w:tcW w:w="9356" w:type="dxa"/>
            <w:shd w:val="clear" w:color="auto" w:fill="BEBEBE" w:themeFill="background1" w:themeFillShade="BF"/>
          </w:tcPr>
          <w:p w14:paraId="1008F6F5">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CONSORT 2025 checklist item description</w:t>
            </w:r>
          </w:p>
        </w:tc>
        <w:tc>
          <w:tcPr>
            <w:tcW w:w="1417" w:type="dxa"/>
            <w:shd w:val="clear" w:color="auto" w:fill="BEBEBE" w:themeFill="background1" w:themeFillShade="BF"/>
          </w:tcPr>
          <w:p w14:paraId="6927BCB3">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Reported on page no.</w:t>
            </w:r>
          </w:p>
        </w:tc>
      </w:tr>
      <w:tr w14:paraId="35E60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12895" w:type="dxa"/>
            <w:gridSpan w:val="3"/>
            <w:shd w:val="clear" w:color="auto" w:fill="C6D9F0" w:themeFill="text2" w:themeFillTint="33"/>
          </w:tcPr>
          <w:p w14:paraId="105C0986">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Title and abstract</w:t>
            </w:r>
          </w:p>
        </w:tc>
        <w:tc>
          <w:tcPr>
            <w:tcW w:w="1417" w:type="dxa"/>
            <w:shd w:val="clear" w:color="auto" w:fill="C6D9F0" w:themeFill="text2" w:themeFillTint="33"/>
          </w:tcPr>
          <w:p w14:paraId="0AC158EA">
            <w:pPr>
              <w:spacing w:line="240" w:lineRule="auto"/>
              <w:rPr>
                <w:rFonts w:ascii="Calibri" w:hAnsi="Calibri" w:eastAsia="Calibri" w:cs="Calibri"/>
                <w:b/>
                <w:color w:val="000000"/>
                <w:sz w:val="22"/>
                <w:szCs w:val="22"/>
                <w:lang w:val="en-GB"/>
              </w:rPr>
            </w:pPr>
          </w:p>
        </w:tc>
      </w:tr>
      <w:tr w14:paraId="10FCC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restart"/>
          </w:tcPr>
          <w:p w14:paraId="55516C2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Title and structured abstract</w:t>
            </w:r>
          </w:p>
        </w:tc>
        <w:tc>
          <w:tcPr>
            <w:tcW w:w="992" w:type="dxa"/>
          </w:tcPr>
          <w:p w14:paraId="2FAFE5C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1a</w:t>
            </w:r>
          </w:p>
        </w:tc>
        <w:tc>
          <w:tcPr>
            <w:tcW w:w="9356" w:type="dxa"/>
          </w:tcPr>
          <w:p w14:paraId="0A0F88B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Identification as a randomised trial </w:t>
            </w:r>
          </w:p>
        </w:tc>
        <w:tc>
          <w:tcPr>
            <w:tcW w:w="1417" w:type="dxa"/>
          </w:tcPr>
          <w:p w14:paraId="682CEBAD">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w:t>
            </w:r>
          </w:p>
        </w:tc>
      </w:tr>
      <w:tr w14:paraId="29622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8" w:hRule="atLeast"/>
        </w:trPr>
        <w:tc>
          <w:tcPr>
            <w:tcW w:w="2547" w:type="dxa"/>
            <w:vMerge w:val="continue"/>
          </w:tcPr>
          <w:p w14:paraId="4CFF8030">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0E58D9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1b</w:t>
            </w:r>
          </w:p>
        </w:tc>
        <w:tc>
          <w:tcPr>
            <w:tcW w:w="9356" w:type="dxa"/>
          </w:tcPr>
          <w:p w14:paraId="0176107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Structured summary of the trial design, methods, results, and conclusions</w:t>
            </w:r>
          </w:p>
        </w:tc>
        <w:tc>
          <w:tcPr>
            <w:tcW w:w="1417" w:type="dxa"/>
          </w:tcPr>
          <w:p w14:paraId="078952E4">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3,4</w:t>
            </w:r>
          </w:p>
        </w:tc>
      </w:tr>
      <w:tr w14:paraId="3A57C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353B2DC6">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Open science</w:t>
            </w:r>
          </w:p>
        </w:tc>
        <w:tc>
          <w:tcPr>
            <w:tcW w:w="1417" w:type="dxa"/>
            <w:shd w:val="clear" w:color="auto" w:fill="C6D9F0" w:themeFill="text2" w:themeFillTint="33"/>
          </w:tcPr>
          <w:p w14:paraId="6C7112DB">
            <w:pPr>
              <w:spacing w:line="240" w:lineRule="auto"/>
              <w:rPr>
                <w:rFonts w:hint="eastAsia" w:ascii="Calibri" w:hAnsi="Calibri" w:eastAsia="宋体" w:cs="Calibri"/>
                <w:b/>
                <w:color w:val="000000"/>
                <w:sz w:val="22"/>
                <w:szCs w:val="22"/>
                <w:lang w:val="en-US" w:eastAsia="zh-CN"/>
              </w:rPr>
            </w:pPr>
          </w:p>
        </w:tc>
      </w:tr>
      <w:tr w14:paraId="6325B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559029C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registration</w:t>
            </w:r>
          </w:p>
        </w:tc>
        <w:tc>
          <w:tcPr>
            <w:tcW w:w="992" w:type="dxa"/>
          </w:tcPr>
          <w:p w14:paraId="169EB1A0">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w:t>
            </w:r>
          </w:p>
        </w:tc>
        <w:tc>
          <w:tcPr>
            <w:tcW w:w="9356" w:type="dxa"/>
          </w:tcPr>
          <w:p w14:paraId="6110F8C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Name of trial registry, identifying number (with URL) and date of registration</w:t>
            </w:r>
          </w:p>
        </w:tc>
        <w:tc>
          <w:tcPr>
            <w:tcW w:w="1417" w:type="dxa"/>
          </w:tcPr>
          <w:p w14:paraId="5384896B">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4</w:t>
            </w:r>
          </w:p>
        </w:tc>
      </w:tr>
      <w:tr w14:paraId="5732C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3979146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Protocol and statistical analysis plan</w:t>
            </w:r>
          </w:p>
        </w:tc>
        <w:tc>
          <w:tcPr>
            <w:tcW w:w="992" w:type="dxa"/>
          </w:tcPr>
          <w:p w14:paraId="7510EBB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3</w:t>
            </w:r>
          </w:p>
        </w:tc>
        <w:tc>
          <w:tcPr>
            <w:tcW w:w="9356" w:type="dxa"/>
          </w:tcPr>
          <w:p w14:paraId="2530AB9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Where the trial protocol and statistical analysis plan can be accessed</w:t>
            </w:r>
          </w:p>
        </w:tc>
        <w:tc>
          <w:tcPr>
            <w:tcW w:w="1417" w:type="dxa"/>
          </w:tcPr>
          <w:p w14:paraId="628ED577">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6,7,8,9,10</w:t>
            </w:r>
          </w:p>
        </w:tc>
      </w:tr>
      <w:tr w14:paraId="5457C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14:paraId="522B7D7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Data sharing</w:t>
            </w:r>
          </w:p>
        </w:tc>
        <w:tc>
          <w:tcPr>
            <w:tcW w:w="992" w:type="dxa"/>
          </w:tcPr>
          <w:p w14:paraId="697875C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4</w:t>
            </w:r>
          </w:p>
        </w:tc>
        <w:tc>
          <w:tcPr>
            <w:tcW w:w="9356" w:type="dxa"/>
          </w:tcPr>
          <w:p w14:paraId="4D4B145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18</w:t>
            </w:r>
          </w:p>
        </w:tc>
      </w:tr>
      <w:tr w14:paraId="53FD3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vMerge w:val="restart"/>
          </w:tcPr>
          <w:p w14:paraId="47802CC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Funding and conflicts of interest</w:t>
            </w:r>
          </w:p>
        </w:tc>
        <w:tc>
          <w:tcPr>
            <w:tcW w:w="992" w:type="dxa"/>
          </w:tcPr>
          <w:p w14:paraId="1B41FA27">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5a</w:t>
            </w:r>
          </w:p>
        </w:tc>
        <w:tc>
          <w:tcPr>
            <w:tcW w:w="9356" w:type="dxa"/>
          </w:tcPr>
          <w:p w14:paraId="4D265E5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18</w:t>
            </w:r>
          </w:p>
        </w:tc>
      </w:tr>
      <w:tr w14:paraId="0D642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vMerge w:val="continue"/>
          </w:tcPr>
          <w:p w14:paraId="33AB9D71">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59C3C9A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5b</w:t>
            </w:r>
          </w:p>
        </w:tc>
        <w:tc>
          <w:tcPr>
            <w:tcW w:w="9356" w:type="dxa"/>
          </w:tcPr>
          <w:p w14:paraId="471BB7B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Financial and other conflicts of interest of the manuscript authors</w:t>
            </w:r>
          </w:p>
        </w:tc>
        <w:tc>
          <w:tcPr>
            <w:tcW w:w="1417" w:type="dxa"/>
          </w:tcPr>
          <w:p w14:paraId="2C85AC6B">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18</w:t>
            </w:r>
          </w:p>
        </w:tc>
      </w:tr>
      <w:tr w14:paraId="6808DB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571BFEBF">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Introduction</w:t>
            </w:r>
          </w:p>
        </w:tc>
        <w:tc>
          <w:tcPr>
            <w:tcW w:w="1417" w:type="dxa"/>
            <w:shd w:val="clear" w:color="auto" w:fill="C6D9F0" w:themeFill="text2" w:themeFillTint="33"/>
          </w:tcPr>
          <w:p w14:paraId="32FD8D83">
            <w:pPr>
              <w:spacing w:line="240" w:lineRule="auto"/>
              <w:rPr>
                <w:rFonts w:ascii="Calibri" w:hAnsi="Calibri" w:eastAsia="Calibri" w:cs="Calibri"/>
                <w:b/>
                <w:color w:val="000000"/>
                <w:sz w:val="22"/>
                <w:szCs w:val="22"/>
                <w:lang w:val="en-GB"/>
              </w:rPr>
            </w:pPr>
          </w:p>
        </w:tc>
      </w:tr>
      <w:tr w14:paraId="37A36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1" w:hRule="atLeast"/>
        </w:trPr>
        <w:tc>
          <w:tcPr>
            <w:tcW w:w="2547" w:type="dxa"/>
            <w:tcBorders>
              <w:bottom w:val="single" w:color="000000" w:sz="4" w:space="0"/>
            </w:tcBorders>
          </w:tcPr>
          <w:p w14:paraId="36CFF56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Background and rationale</w:t>
            </w:r>
          </w:p>
        </w:tc>
        <w:tc>
          <w:tcPr>
            <w:tcW w:w="992" w:type="dxa"/>
            <w:tcBorders>
              <w:bottom w:val="single" w:color="000000" w:sz="4" w:space="0"/>
            </w:tcBorders>
          </w:tcPr>
          <w:p w14:paraId="6305368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6</w:t>
            </w:r>
          </w:p>
        </w:tc>
        <w:tc>
          <w:tcPr>
            <w:tcW w:w="9356" w:type="dxa"/>
          </w:tcPr>
          <w:p w14:paraId="5A09739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Scientific background and rationale</w:t>
            </w:r>
          </w:p>
        </w:tc>
        <w:tc>
          <w:tcPr>
            <w:tcW w:w="1417" w:type="dxa"/>
          </w:tcPr>
          <w:p w14:paraId="3333AA56">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5,6</w:t>
            </w:r>
          </w:p>
        </w:tc>
      </w:tr>
      <w:tr w14:paraId="55C5B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Align w:val="center"/>
          </w:tcPr>
          <w:p w14:paraId="12B554B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Objectives</w:t>
            </w:r>
          </w:p>
        </w:tc>
        <w:tc>
          <w:tcPr>
            <w:tcW w:w="992" w:type="dxa"/>
          </w:tcPr>
          <w:p w14:paraId="517F8E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7</w:t>
            </w:r>
          </w:p>
        </w:tc>
        <w:tc>
          <w:tcPr>
            <w:tcW w:w="9356" w:type="dxa"/>
          </w:tcPr>
          <w:p w14:paraId="2591646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Specific objectives related to benefits and harms</w:t>
            </w:r>
          </w:p>
        </w:tc>
        <w:tc>
          <w:tcPr>
            <w:tcW w:w="1417" w:type="dxa"/>
          </w:tcPr>
          <w:p w14:paraId="70B2DB04">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6,7,8,9</w:t>
            </w:r>
          </w:p>
        </w:tc>
      </w:tr>
      <w:tr w14:paraId="1B31CF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1C08DDCD">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Methods</w:t>
            </w:r>
          </w:p>
        </w:tc>
        <w:tc>
          <w:tcPr>
            <w:tcW w:w="1417" w:type="dxa"/>
            <w:shd w:val="clear" w:color="auto" w:fill="C6D9F0" w:themeFill="text2" w:themeFillTint="33"/>
          </w:tcPr>
          <w:p w14:paraId="61DDDBB5">
            <w:pPr>
              <w:spacing w:line="240" w:lineRule="auto"/>
              <w:rPr>
                <w:rFonts w:ascii="Calibri" w:hAnsi="Calibri" w:eastAsia="Calibri" w:cs="Calibri"/>
                <w:b/>
                <w:color w:val="000000"/>
                <w:sz w:val="22"/>
                <w:szCs w:val="22"/>
                <w:lang w:val="en-GB"/>
              </w:rPr>
            </w:pPr>
          </w:p>
        </w:tc>
      </w:tr>
      <w:tr w14:paraId="05C5A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2547" w:type="dxa"/>
          </w:tcPr>
          <w:p w14:paraId="6102716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Patient and public involvement</w:t>
            </w:r>
          </w:p>
        </w:tc>
        <w:tc>
          <w:tcPr>
            <w:tcW w:w="992" w:type="dxa"/>
          </w:tcPr>
          <w:p w14:paraId="35C4EF4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8</w:t>
            </w:r>
          </w:p>
        </w:tc>
        <w:tc>
          <w:tcPr>
            <w:tcW w:w="9356" w:type="dxa"/>
          </w:tcPr>
          <w:p w14:paraId="5F1D655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Details of patient or public involvement in the design, conduct and reporting of the trial</w:t>
            </w:r>
          </w:p>
        </w:tc>
        <w:tc>
          <w:tcPr>
            <w:tcW w:w="1417" w:type="dxa"/>
          </w:tcPr>
          <w:p w14:paraId="736CE81D">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6,7</w:t>
            </w:r>
          </w:p>
        </w:tc>
      </w:tr>
      <w:tr w14:paraId="1118C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2547" w:type="dxa"/>
          </w:tcPr>
          <w:p w14:paraId="0B3B044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design</w:t>
            </w:r>
          </w:p>
        </w:tc>
        <w:tc>
          <w:tcPr>
            <w:tcW w:w="992" w:type="dxa"/>
          </w:tcPr>
          <w:p w14:paraId="72205B94">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9</w:t>
            </w:r>
          </w:p>
        </w:tc>
        <w:tc>
          <w:tcPr>
            <w:tcW w:w="9356" w:type="dxa"/>
          </w:tcPr>
          <w:p w14:paraId="5E662EA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6,7,8,9</w:t>
            </w:r>
          </w:p>
        </w:tc>
      </w:tr>
      <w:tr w14:paraId="3B0F7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2547" w:type="dxa"/>
          </w:tcPr>
          <w:p w14:paraId="7D9C827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Changes to trial protocol</w:t>
            </w:r>
          </w:p>
        </w:tc>
        <w:tc>
          <w:tcPr>
            <w:tcW w:w="992" w:type="dxa"/>
          </w:tcPr>
          <w:p w14:paraId="784655B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10</w:t>
            </w:r>
          </w:p>
        </w:tc>
        <w:tc>
          <w:tcPr>
            <w:tcW w:w="9356" w:type="dxa"/>
          </w:tcPr>
          <w:p w14:paraId="3D532DC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Important changes to the trial after it commenced including any outcomes or analyses that were not prespecified, with reason</w:t>
            </w:r>
          </w:p>
        </w:tc>
        <w:tc>
          <w:tcPr>
            <w:tcW w:w="1417" w:type="dxa"/>
          </w:tcPr>
          <w:p w14:paraId="58F0C5A6">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8</w:t>
            </w:r>
          </w:p>
        </w:tc>
      </w:tr>
      <w:tr w14:paraId="18EEE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tcPr>
          <w:p w14:paraId="5BFE68B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setting</w:t>
            </w:r>
          </w:p>
        </w:tc>
        <w:tc>
          <w:tcPr>
            <w:tcW w:w="992" w:type="dxa"/>
          </w:tcPr>
          <w:p w14:paraId="4A046B8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11</w:t>
            </w:r>
          </w:p>
        </w:tc>
        <w:tc>
          <w:tcPr>
            <w:tcW w:w="9356" w:type="dxa"/>
          </w:tcPr>
          <w:p w14:paraId="269E109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Settings (e.g., community, hospital) and locations (e.g., countries, sites) where the trial was conducted</w:t>
            </w:r>
          </w:p>
        </w:tc>
        <w:tc>
          <w:tcPr>
            <w:tcW w:w="1417" w:type="dxa"/>
          </w:tcPr>
          <w:p w14:paraId="266DD31E">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w:t>
            </w:r>
          </w:p>
        </w:tc>
      </w:tr>
      <w:tr w14:paraId="134AC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restart"/>
            <w:vAlign w:val="center"/>
          </w:tcPr>
          <w:p w14:paraId="1FDD4F7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Eligibility criteria</w:t>
            </w:r>
          </w:p>
        </w:tc>
        <w:tc>
          <w:tcPr>
            <w:tcW w:w="992" w:type="dxa"/>
          </w:tcPr>
          <w:p w14:paraId="083D8C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12a</w:t>
            </w:r>
          </w:p>
        </w:tc>
        <w:tc>
          <w:tcPr>
            <w:tcW w:w="9356" w:type="dxa"/>
          </w:tcPr>
          <w:p w14:paraId="3C4A8E8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Eligibility criteria for participants</w:t>
            </w:r>
          </w:p>
        </w:tc>
        <w:tc>
          <w:tcPr>
            <w:tcW w:w="1417" w:type="dxa"/>
          </w:tcPr>
          <w:p w14:paraId="3128EB9A">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6,7</w:t>
            </w:r>
          </w:p>
        </w:tc>
      </w:tr>
      <w:tr w14:paraId="2E198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continue"/>
            <w:vAlign w:val="center"/>
          </w:tcPr>
          <w:p w14:paraId="37DCF479">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329BA27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12b</w:t>
            </w:r>
          </w:p>
        </w:tc>
        <w:tc>
          <w:tcPr>
            <w:tcW w:w="9356" w:type="dxa"/>
          </w:tcPr>
          <w:p w14:paraId="17B5A22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applicable, eligibility criteria for sites and for individuals delivering the interventions (e.g., surgeons, physiotherapists)</w:t>
            </w:r>
          </w:p>
        </w:tc>
        <w:tc>
          <w:tcPr>
            <w:tcW w:w="1417" w:type="dxa"/>
          </w:tcPr>
          <w:p w14:paraId="6D568B99">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9,10</w:t>
            </w:r>
          </w:p>
        </w:tc>
      </w:tr>
      <w:tr w14:paraId="72C26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63" w:hRule="atLeast"/>
        </w:trPr>
        <w:tc>
          <w:tcPr>
            <w:tcW w:w="2547" w:type="dxa"/>
          </w:tcPr>
          <w:p w14:paraId="23EE01E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w:t>
            </w:r>
          </w:p>
        </w:tc>
        <w:tc>
          <w:tcPr>
            <w:tcW w:w="992" w:type="dxa"/>
          </w:tcPr>
          <w:p w14:paraId="7CCB2186">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13</w:t>
            </w:r>
          </w:p>
        </w:tc>
        <w:tc>
          <w:tcPr>
            <w:tcW w:w="9356" w:type="dxa"/>
          </w:tcPr>
          <w:p w14:paraId="17D21D8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 with sufficient details to allow replication. If relevant, where additional materials describing the intervention and comparator (e.g., intervention manual) can be accessed</w:t>
            </w:r>
          </w:p>
        </w:tc>
        <w:tc>
          <w:tcPr>
            <w:tcW w:w="1417" w:type="dxa"/>
          </w:tcPr>
          <w:p w14:paraId="3D06E337">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6,7,8</w:t>
            </w:r>
          </w:p>
        </w:tc>
      </w:tr>
      <w:tr w14:paraId="2D3DE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14" w:hRule="atLeast"/>
        </w:trPr>
        <w:tc>
          <w:tcPr>
            <w:tcW w:w="2547" w:type="dxa"/>
          </w:tcPr>
          <w:p w14:paraId="273E4E1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Outcomes</w:t>
            </w:r>
          </w:p>
        </w:tc>
        <w:tc>
          <w:tcPr>
            <w:tcW w:w="992" w:type="dxa"/>
          </w:tcPr>
          <w:p w14:paraId="1C478860">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14</w:t>
            </w:r>
          </w:p>
          <w:p w14:paraId="7F479C8B">
            <w:pPr>
              <w:spacing w:line="240" w:lineRule="auto"/>
              <w:jc w:val="center"/>
              <w:rPr>
                <w:rFonts w:ascii="Calibri" w:hAnsi="Calibri" w:eastAsia="Calibri" w:cs="Calibri"/>
                <w:color w:val="000000"/>
                <w:sz w:val="22"/>
                <w:szCs w:val="22"/>
                <w:lang w:val="en-GB"/>
              </w:rPr>
            </w:pPr>
          </w:p>
        </w:tc>
        <w:tc>
          <w:tcPr>
            <w:tcW w:w="9356" w:type="dxa"/>
          </w:tcPr>
          <w:p w14:paraId="794D803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8,9</w:t>
            </w:r>
          </w:p>
        </w:tc>
      </w:tr>
      <w:tr w14:paraId="58D12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39" w:hRule="atLeast"/>
        </w:trPr>
        <w:tc>
          <w:tcPr>
            <w:tcW w:w="2547" w:type="dxa"/>
          </w:tcPr>
          <w:p w14:paraId="3A9C2505">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Harms</w:t>
            </w:r>
          </w:p>
        </w:tc>
        <w:tc>
          <w:tcPr>
            <w:tcW w:w="992" w:type="dxa"/>
          </w:tcPr>
          <w:p w14:paraId="1344FFA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15</w:t>
            </w:r>
          </w:p>
        </w:tc>
        <w:tc>
          <w:tcPr>
            <w:tcW w:w="9356" w:type="dxa"/>
          </w:tcPr>
          <w:p w14:paraId="591013B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harms were defined and assessed (e.g., systematically, non-systematically)</w:t>
            </w:r>
          </w:p>
        </w:tc>
        <w:tc>
          <w:tcPr>
            <w:tcW w:w="1417" w:type="dxa"/>
          </w:tcPr>
          <w:p w14:paraId="5D66BF02">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7,8,9</w:t>
            </w:r>
          </w:p>
        </w:tc>
      </w:tr>
      <w:tr w14:paraId="62973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vMerge w:val="restart"/>
          </w:tcPr>
          <w:p w14:paraId="6A7FA31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Sample size</w:t>
            </w:r>
          </w:p>
        </w:tc>
        <w:tc>
          <w:tcPr>
            <w:tcW w:w="992" w:type="dxa"/>
          </w:tcPr>
          <w:p w14:paraId="3D9FEE9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16a</w:t>
            </w:r>
          </w:p>
        </w:tc>
        <w:tc>
          <w:tcPr>
            <w:tcW w:w="9356" w:type="dxa"/>
          </w:tcPr>
          <w:p w14:paraId="3B91C74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sample size was determined, including all assumptions supporting the sample size calculation</w:t>
            </w:r>
          </w:p>
        </w:tc>
        <w:tc>
          <w:tcPr>
            <w:tcW w:w="1417" w:type="dxa"/>
          </w:tcPr>
          <w:p w14:paraId="180AD325">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10</w:t>
            </w:r>
          </w:p>
        </w:tc>
      </w:tr>
      <w:tr w14:paraId="36560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vMerge w:val="continue"/>
          </w:tcPr>
          <w:p w14:paraId="5EE3997D">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5C8443C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16b</w:t>
            </w:r>
          </w:p>
        </w:tc>
        <w:tc>
          <w:tcPr>
            <w:tcW w:w="9356" w:type="dxa"/>
          </w:tcPr>
          <w:p w14:paraId="5929DED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Explanation of any interim analyses and stopping guidelines</w:t>
            </w:r>
          </w:p>
        </w:tc>
        <w:tc>
          <w:tcPr>
            <w:tcW w:w="1417" w:type="dxa"/>
          </w:tcPr>
          <w:p w14:paraId="74EBB045">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9,10</w:t>
            </w:r>
          </w:p>
        </w:tc>
      </w:tr>
      <w:tr w14:paraId="7CF31D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tcPr>
          <w:p w14:paraId="1D2AE3F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Randomisation:</w:t>
            </w:r>
          </w:p>
        </w:tc>
        <w:tc>
          <w:tcPr>
            <w:tcW w:w="992" w:type="dxa"/>
          </w:tcPr>
          <w:p w14:paraId="11796DC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w:t>
            </w:r>
          </w:p>
        </w:tc>
        <w:tc>
          <w:tcPr>
            <w:tcW w:w="9356" w:type="dxa"/>
          </w:tcPr>
          <w:p w14:paraId="7A75315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w:t>
            </w:r>
          </w:p>
        </w:tc>
        <w:tc>
          <w:tcPr>
            <w:tcW w:w="1417" w:type="dxa"/>
          </w:tcPr>
          <w:p w14:paraId="036862A2">
            <w:pPr>
              <w:spacing w:line="240" w:lineRule="auto"/>
              <w:rPr>
                <w:rFonts w:hint="default" w:ascii="Calibri" w:hAnsi="Calibri" w:eastAsia="宋体" w:cs="Calibri"/>
                <w:color w:val="000000"/>
                <w:sz w:val="22"/>
                <w:szCs w:val="22"/>
                <w:lang w:val="en-US" w:eastAsia="zh-CN"/>
              </w:rPr>
            </w:pPr>
          </w:p>
        </w:tc>
      </w:tr>
      <w:tr w14:paraId="4537F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6" w:hRule="atLeast"/>
        </w:trPr>
        <w:tc>
          <w:tcPr>
            <w:tcW w:w="2547" w:type="dxa"/>
            <w:vMerge w:val="restart"/>
          </w:tcPr>
          <w:p w14:paraId="15B2BB96">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Sequence generation</w:t>
            </w:r>
          </w:p>
        </w:tc>
        <w:tc>
          <w:tcPr>
            <w:tcW w:w="992" w:type="dxa"/>
          </w:tcPr>
          <w:p w14:paraId="04D32F8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17a</w:t>
            </w:r>
          </w:p>
        </w:tc>
        <w:tc>
          <w:tcPr>
            <w:tcW w:w="9356" w:type="dxa"/>
          </w:tcPr>
          <w:p w14:paraId="34D407B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Who generated the random allocation sequence and the method used</w:t>
            </w:r>
          </w:p>
        </w:tc>
        <w:tc>
          <w:tcPr>
            <w:tcW w:w="1417" w:type="dxa"/>
          </w:tcPr>
          <w:p w14:paraId="50468870">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9,10</w:t>
            </w:r>
          </w:p>
        </w:tc>
      </w:tr>
      <w:tr w14:paraId="14EC8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5" w:hRule="atLeast"/>
        </w:trPr>
        <w:tc>
          <w:tcPr>
            <w:tcW w:w="2547" w:type="dxa"/>
            <w:vMerge w:val="continue"/>
          </w:tcPr>
          <w:p w14:paraId="0F443EB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482760AD">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17b</w:t>
            </w:r>
          </w:p>
        </w:tc>
        <w:tc>
          <w:tcPr>
            <w:tcW w:w="9356" w:type="dxa"/>
          </w:tcPr>
          <w:p w14:paraId="29B4B76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Type of randomisation and details of any restriction (e.g., stratification, blocking and block size)</w:t>
            </w:r>
          </w:p>
        </w:tc>
        <w:tc>
          <w:tcPr>
            <w:tcW w:w="1417" w:type="dxa"/>
          </w:tcPr>
          <w:p w14:paraId="6BFED71E">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9,10</w:t>
            </w:r>
          </w:p>
        </w:tc>
      </w:tr>
      <w:tr w14:paraId="30B7C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44" w:hRule="atLeast"/>
        </w:trPr>
        <w:tc>
          <w:tcPr>
            <w:tcW w:w="2547" w:type="dxa"/>
          </w:tcPr>
          <w:p w14:paraId="50619AAE">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Allocation concealment mechanism</w:t>
            </w:r>
          </w:p>
        </w:tc>
        <w:tc>
          <w:tcPr>
            <w:tcW w:w="992" w:type="dxa"/>
          </w:tcPr>
          <w:p w14:paraId="4B77DA4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18</w:t>
            </w:r>
          </w:p>
        </w:tc>
        <w:tc>
          <w:tcPr>
            <w:tcW w:w="9356" w:type="dxa"/>
          </w:tcPr>
          <w:p w14:paraId="4FFCCFAC">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9,10</w:t>
            </w:r>
          </w:p>
        </w:tc>
      </w:tr>
      <w:tr w14:paraId="68535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58" w:hRule="atLeast"/>
        </w:trPr>
        <w:tc>
          <w:tcPr>
            <w:tcW w:w="2547" w:type="dxa"/>
          </w:tcPr>
          <w:p w14:paraId="1669B1E1">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Implementation</w:t>
            </w:r>
          </w:p>
        </w:tc>
        <w:tc>
          <w:tcPr>
            <w:tcW w:w="992" w:type="dxa"/>
          </w:tcPr>
          <w:p w14:paraId="6FD9CBB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19</w:t>
            </w:r>
          </w:p>
        </w:tc>
        <w:tc>
          <w:tcPr>
            <w:tcW w:w="9356" w:type="dxa"/>
          </w:tcPr>
          <w:p w14:paraId="1168460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9,10</w:t>
            </w:r>
          </w:p>
        </w:tc>
      </w:tr>
      <w:tr w14:paraId="14AA8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1" w:hRule="atLeast"/>
        </w:trPr>
        <w:tc>
          <w:tcPr>
            <w:tcW w:w="2547" w:type="dxa"/>
            <w:vMerge w:val="restart"/>
          </w:tcPr>
          <w:p w14:paraId="6035012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Blinding</w:t>
            </w:r>
          </w:p>
        </w:tc>
        <w:tc>
          <w:tcPr>
            <w:tcW w:w="992" w:type="dxa"/>
          </w:tcPr>
          <w:p w14:paraId="6C79645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20a</w:t>
            </w:r>
          </w:p>
        </w:tc>
        <w:tc>
          <w:tcPr>
            <w:tcW w:w="9356" w:type="dxa"/>
          </w:tcPr>
          <w:p w14:paraId="080A780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9,10</w:t>
            </w:r>
          </w:p>
        </w:tc>
      </w:tr>
      <w:tr w14:paraId="19571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4" w:hRule="atLeast"/>
        </w:trPr>
        <w:tc>
          <w:tcPr>
            <w:tcW w:w="2547" w:type="dxa"/>
            <w:vMerge w:val="continue"/>
          </w:tcPr>
          <w:p w14:paraId="6DDD68B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6207EAC2">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20b</w:t>
            </w:r>
          </w:p>
        </w:tc>
        <w:tc>
          <w:tcPr>
            <w:tcW w:w="9356" w:type="dxa"/>
          </w:tcPr>
          <w:p w14:paraId="64C5F50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blinded, how blinding was achieved and description of the similarity of interventions</w:t>
            </w:r>
          </w:p>
        </w:tc>
        <w:tc>
          <w:tcPr>
            <w:tcW w:w="1417" w:type="dxa"/>
          </w:tcPr>
          <w:p w14:paraId="795AB5B0">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9,10</w:t>
            </w:r>
          </w:p>
        </w:tc>
      </w:tr>
      <w:tr w14:paraId="039E9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restart"/>
          </w:tcPr>
          <w:p w14:paraId="3E5EB1A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Statistical methods</w:t>
            </w:r>
          </w:p>
        </w:tc>
        <w:tc>
          <w:tcPr>
            <w:tcW w:w="992" w:type="dxa"/>
          </w:tcPr>
          <w:p w14:paraId="51D15D6E">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21a</w:t>
            </w:r>
          </w:p>
        </w:tc>
        <w:tc>
          <w:tcPr>
            <w:tcW w:w="9356" w:type="dxa"/>
          </w:tcPr>
          <w:p w14:paraId="67FA2D0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Statistical methods used to compare groups for primary and secondary outcomes, including harms</w:t>
            </w:r>
          </w:p>
        </w:tc>
        <w:tc>
          <w:tcPr>
            <w:tcW w:w="1417" w:type="dxa"/>
          </w:tcPr>
          <w:p w14:paraId="1C79083E">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10</w:t>
            </w:r>
          </w:p>
        </w:tc>
      </w:tr>
      <w:tr w14:paraId="06CA6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continue"/>
          </w:tcPr>
          <w:p w14:paraId="7629AC0E">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37BA8421">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21b</w:t>
            </w:r>
          </w:p>
        </w:tc>
        <w:tc>
          <w:tcPr>
            <w:tcW w:w="9356" w:type="dxa"/>
          </w:tcPr>
          <w:p w14:paraId="096BC753">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Definition of who is included in each analysis (e.g., all randomised participants), and in which group</w:t>
            </w:r>
          </w:p>
        </w:tc>
        <w:tc>
          <w:tcPr>
            <w:tcW w:w="1417" w:type="dxa"/>
          </w:tcPr>
          <w:p w14:paraId="6622E359">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10</w:t>
            </w:r>
          </w:p>
        </w:tc>
      </w:tr>
      <w:tr w14:paraId="35065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continue"/>
          </w:tcPr>
          <w:p w14:paraId="1EBB0B6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8B0EF0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21c</w:t>
            </w:r>
          </w:p>
        </w:tc>
        <w:tc>
          <w:tcPr>
            <w:tcW w:w="9356" w:type="dxa"/>
          </w:tcPr>
          <w:p w14:paraId="06CE57AE">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missing data were handled in the analysis</w:t>
            </w:r>
          </w:p>
        </w:tc>
        <w:tc>
          <w:tcPr>
            <w:tcW w:w="1417" w:type="dxa"/>
          </w:tcPr>
          <w:p w14:paraId="295B5602">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10</w:t>
            </w:r>
          </w:p>
        </w:tc>
      </w:tr>
      <w:tr w14:paraId="1498B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7" w:hRule="atLeast"/>
        </w:trPr>
        <w:tc>
          <w:tcPr>
            <w:tcW w:w="2547" w:type="dxa"/>
            <w:vMerge w:val="continue"/>
          </w:tcPr>
          <w:p w14:paraId="5074136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1018E21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21d</w:t>
            </w:r>
          </w:p>
        </w:tc>
        <w:tc>
          <w:tcPr>
            <w:tcW w:w="9356" w:type="dxa"/>
          </w:tcPr>
          <w:p w14:paraId="25A70C8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Methods for any additional analyses (e.g., subgroup and sensitivity analyses), distinguishing prespecified from post-hoc</w:t>
            </w:r>
          </w:p>
        </w:tc>
        <w:tc>
          <w:tcPr>
            <w:tcW w:w="1417" w:type="dxa"/>
          </w:tcPr>
          <w:p w14:paraId="710D1F83">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10</w:t>
            </w:r>
          </w:p>
        </w:tc>
      </w:tr>
      <w:tr w14:paraId="3F41C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vAlign w:val="bottom"/>
          </w:tcPr>
          <w:p w14:paraId="42D9F967">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Results</w:t>
            </w:r>
          </w:p>
        </w:tc>
        <w:tc>
          <w:tcPr>
            <w:tcW w:w="1417" w:type="dxa"/>
            <w:shd w:val="clear" w:color="auto" w:fill="C6D9F0" w:themeFill="text2" w:themeFillTint="33"/>
          </w:tcPr>
          <w:p w14:paraId="6166F990">
            <w:pPr>
              <w:spacing w:line="240" w:lineRule="auto"/>
              <w:rPr>
                <w:rFonts w:ascii="Calibri" w:hAnsi="Calibri" w:eastAsia="Calibri" w:cs="Calibri"/>
                <w:b/>
                <w:color w:val="000000"/>
                <w:sz w:val="22"/>
                <w:szCs w:val="22"/>
                <w:lang w:val="en-GB"/>
              </w:rPr>
            </w:pPr>
          </w:p>
        </w:tc>
      </w:tr>
      <w:tr w14:paraId="510F8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9" w:hRule="atLeast"/>
        </w:trPr>
        <w:tc>
          <w:tcPr>
            <w:tcW w:w="2547" w:type="dxa"/>
            <w:vMerge w:val="restart"/>
          </w:tcPr>
          <w:p w14:paraId="5A5782B0">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Participant flow, including flow diagram</w:t>
            </w:r>
          </w:p>
        </w:tc>
        <w:tc>
          <w:tcPr>
            <w:tcW w:w="992" w:type="dxa"/>
          </w:tcPr>
          <w:p w14:paraId="6A3D7D97">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22a</w:t>
            </w:r>
          </w:p>
        </w:tc>
        <w:tc>
          <w:tcPr>
            <w:tcW w:w="9356" w:type="dxa"/>
          </w:tcPr>
          <w:p w14:paraId="5407FA0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For each group, the numbers of participants who were randomly assigned, received intended intervention, and were analysed for the primary outcome</w:t>
            </w:r>
          </w:p>
        </w:tc>
        <w:tc>
          <w:tcPr>
            <w:tcW w:w="1417" w:type="dxa"/>
          </w:tcPr>
          <w:p w14:paraId="5DEF8ECA">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10</w:t>
            </w:r>
          </w:p>
        </w:tc>
      </w:tr>
      <w:tr w14:paraId="2FE65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9" w:hRule="atLeast"/>
        </w:trPr>
        <w:tc>
          <w:tcPr>
            <w:tcW w:w="2547" w:type="dxa"/>
            <w:vMerge w:val="continue"/>
          </w:tcPr>
          <w:p w14:paraId="5CE6010C">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7EC31A7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22b</w:t>
            </w:r>
          </w:p>
        </w:tc>
        <w:tc>
          <w:tcPr>
            <w:tcW w:w="9356" w:type="dxa"/>
          </w:tcPr>
          <w:p w14:paraId="1DDC84F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For each group, losses and exclusions after randomisation, together with reasons</w:t>
            </w:r>
          </w:p>
        </w:tc>
        <w:tc>
          <w:tcPr>
            <w:tcW w:w="1417" w:type="dxa"/>
          </w:tcPr>
          <w:p w14:paraId="71AA61D4">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10</w:t>
            </w:r>
          </w:p>
        </w:tc>
      </w:tr>
      <w:tr w14:paraId="59CD0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1" w:hRule="atLeast"/>
        </w:trPr>
        <w:tc>
          <w:tcPr>
            <w:tcW w:w="2547" w:type="dxa"/>
            <w:vMerge w:val="restart"/>
          </w:tcPr>
          <w:p w14:paraId="333D7287">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Recruitment</w:t>
            </w:r>
          </w:p>
        </w:tc>
        <w:tc>
          <w:tcPr>
            <w:tcW w:w="992" w:type="dxa"/>
          </w:tcPr>
          <w:p w14:paraId="575F7DFB">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23a</w:t>
            </w:r>
          </w:p>
        </w:tc>
        <w:tc>
          <w:tcPr>
            <w:tcW w:w="9356" w:type="dxa"/>
          </w:tcPr>
          <w:p w14:paraId="0570F75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Dates defining the periods of recruitment and follow-up for outcomes of benefits and harms</w:t>
            </w:r>
          </w:p>
        </w:tc>
        <w:tc>
          <w:tcPr>
            <w:tcW w:w="1417" w:type="dxa"/>
          </w:tcPr>
          <w:p w14:paraId="0798090E">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6,7,8,9</w:t>
            </w:r>
          </w:p>
        </w:tc>
      </w:tr>
      <w:tr w14:paraId="09AF0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continue"/>
          </w:tcPr>
          <w:p w14:paraId="2ADD8395">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0F0DBAC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23b</w:t>
            </w:r>
          </w:p>
        </w:tc>
        <w:tc>
          <w:tcPr>
            <w:tcW w:w="9356" w:type="dxa"/>
          </w:tcPr>
          <w:p w14:paraId="1CC3415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relevant, why the trial ended or was stopped</w:t>
            </w:r>
          </w:p>
        </w:tc>
        <w:tc>
          <w:tcPr>
            <w:tcW w:w="1417" w:type="dxa"/>
          </w:tcPr>
          <w:p w14:paraId="105B15A1">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6,7,8,9</w:t>
            </w:r>
          </w:p>
        </w:tc>
      </w:tr>
      <w:tr w14:paraId="6606AF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41" w:hRule="atLeast"/>
        </w:trPr>
        <w:tc>
          <w:tcPr>
            <w:tcW w:w="2547" w:type="dxa"/>
            <w:vMerge w:val="restart"/>
          </w:tcPr>
          <w:p w14:paraId="1B3138DF">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 delivery</w:t>
            </w:r>
          </w:p>
        </w:tc>
        <w:tc>
          <w:tcPr>
            <w:tcW w:w="992" w:type="dxa"/>
          </w:tcPr>
          <w:p w14:paraId="4A5F7AFC">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24a</w:t>
            </w:r>
          </w:p>
        </w:tc>
        <w:tc>
          <w:tcPr>
            <w:tcW w:w="9356" w:type="dxa"/>
          </w:tcPr>
          <w:p w14:paraId="4BFDE35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Intervention and comparator as they were actually administered (e.g., where appropriate, who delivered the intervention/comparator, how participants adhered, whether they were delivered as intended [fidelity]) </w:t>
            </w:r>
          </w:p>
        </w:tc>
        <w:tc>
          <w:tcPr>
            <w:tcW w:w="1417" w:type="dxa"/>
          </w:tcPr>
          <w:p w14:paraId="33641150">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6,7,8,9</w:t>
            </w:r>
          </w:p>
        </w:tc>
      </w:tr>
      <w:tr w14:paraId="03393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3" w:hRule="atLeast"/>
        </w:trPr>
        <w:tc>
          <w:tcPr>
            <w:tcW w:w="2547" w:type="dxa"/>
            <w:vMerge w:val="continue"/>
          </w:tcPr>
          <w:p w14:paraId="29860036">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14:paraId="14C2CFE4">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24b</w:t>
            </w:r>
          </w:p>
        </w:tc>
        <w:tc>
          <w:tcPr>
            <w:tcW w:w="9356" w:type="dxa"/>
          </w:tcPr>
          <w:p w14:paraId="10AE211E">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Concomitant care received during the trial for each group</w:t>
            </w:r>
          </w:p>
        </w:tc>
        <w:tc>
          <w:tcPr>
            <w:tcW w:w="1417" w:type="dxa"/>
          </w:tcPr>
          <w:p w14:paraId="0A4B9B49">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6,7,8,9</w:t>
            </w:r>
          </w:p>
        </w:tc>
      </w:tr>
      <w:tr w14:paraId="63F6D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3" w:hRule="atLeast"/>
        </w:trPr>
        <w:tc>
          <w:tcPr>
            <w:tcW w:w="2547" w:type="dxa"/>
          </w:tcPr>
          <w:p w14:paraId="4482000C">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Baseline data</w:t>
            </w:r>
          </w:p>
        </w:tc>
        <w:tc>
          <w:tcPr>
            <w:tcW w:w="992" w:type="dxa"/>
          </w:tcPr>
          <w:p w14:paraId="4A489CE9">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25</w:t>
            </w:r>
          </w:p>
        </w:tc>
        <w:tc>
          <w:tcPr>
            <w:tcW w:w="9356" w:type="dxa"/>
          </w:tcPr>
          <w:p w14:paraId="5EB86B3D">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 table showing baseline demographic and clinical characteristics for each group</w:t>
            </w:r>
          </w:p>
        </w:tc>
        <w:tc>
          <w:tcPr>
            <w:tcW w:w="1417" w:type="dxa"/>
          </w:tcPr>
          <w:p w14:paraId="01C9A6AC">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24,25,26</w:t>
            </w:r>
          </w:p>
        </w:tc>
      </w:tr>
      <w:tr w14:paraId="7EA4CB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754" w:hRule="atLeast"/>
        </w:trPr>
        <w:tc>
          <w:tcPr>
            <w:tcW w:w="2547" w:type="dxa"/>
          </w:tcPr>
          <w:p w14:paraId="10F375E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Numbers analysed, </w:t>
            </w:r>
          </w:p>
          <w:p w14:paraId="66FE5FD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outcomes and estimation</w:t>
            </w:r>
          </w:p>
        </w:tc>
        <w:tc>
          <w:tcPr>
            <w:tcW w:w="992" w:type="dxa"/>
          </w:tcPr>
          <w:p w14:paraId="47AF241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26</w:t>
            </w:r>
          </w:p>
        </w:tc>
        <w:tc>
          <w:tcPr>
            <w:tcW w:w="9356" w:type="dxa"/>
          </w:tcPr>
          <w:p w14:paraId="2508DC5A">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For each primary and secondary outcome, by group: </w:t>
            </w:r>
          </w:p>
          <w:p w14:paraId="5FFA398B">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 xml:space="preserve">the number of participants included in the analysis </w:t>
            </w:r>
          </w:p>
          <w:p w14:paraId="1D7E62F7">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the number of participants with available data at the outcome time point</w:t>
            </w:r>
          </w:p>
          <w:p w14:paraId="14A74C90">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 xml:space="preserve">result for each group, and the estimated effect size and its precision (such as 95% confidence interval) </w:t>
            </w:r>
          </w:p>
          <w:p w14:paraId="7130F7F1">
            <w:pPr>
              <w:numPr>
                <w:ilvl w:val="0"/>
                <w:numId w:val="1"/>
              </w:numPr>
              <w:spacing w:after="160" w:line="240" w:lineRule="auto"/>
              <w:rPr>
                <w:color w:val="000000"/>
                <w:sz w:val="22"/>
                <w:szCs w:val="22"/>
                <w:lang w:val="en-GB"/>
              </w:rPr>
            </w:pPr>
            <w:r>
              <w:rPr>
                <w:rFonts w:ascii="Calibri" w:hAnsi="Calibri" w:eastAsia="Calibri" w:cs="Calibri"/>
                <w:color w:val="000000"/>
                <w:sz w:val="22"/>
                <w:szCs w:val="22"/>
                <w:lang w:val="en-GB"/>
              </w:rPr>
              <w:t xml:space="preserve">for binary outcomes, presentation of both absolute and relative effect size </w:t>
            </w:r>
          </w:p>
        </w:tc>
        <w:tc>
          <w:tcPr>
            <w:tcW w:w="1417" w:type="dxa"/>
          </w:tcPr>
          <w:p w14:paraId="50DA64D5">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10,11,12,13</w:t>
            </w:r>
            <w:bookmarkStart w:id="0" w:name="_GoBack"/>
            <w:bookmarkEnd w:id="0"/>
          </w:p>
        </w:tc>
      </w:tr>
      <w:tr w14:paraId="313A3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0" w:hRule="atLeast"/>
        </w:trPr>
        <w:tc>
          <w:tcPr>
            <w:tcW w:w="2547" w:type="dxa"/>
          </w:tcPr>
          <w:p w14:paraId="1316CD24">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Harms</w:t>
            </w:r>
          </w:p>
        </w:tc>
        <w:tc>
          <w:tcPr>
            <w:tcW w:w="992" w:type="dxa"/>
          </w:tcPr>
          <w:p w14:paraId="6CC8A508">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27</w:t>
            </w:r>
          </w:p>
        </w:tc>
        <w:tc>
          <w:tcPr>
            <w:tcW w:w="9356" w:type="dxa"/>
          </w:tcPr>
          <w:p w14:paraId="687024A2">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All harms or unintended events in each group </w:t>
            </w:r>
          </w:p>
        </w:tc>
        <w:tc>
          <w:tcPr>
            <w:tcW w:w="1417" w:type="dxa"/>
          </w:tcPr>
          <w:p w14:paraId="72B82CF4">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12,13</w:t>
            </w:r>
          </w:p>
        </w:tc>
      </w:tr>
      <w:tr w14:paraId="16C77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6" w:hRule="atLeast"/>
        </w:trPr>
        <w:tc>
          <w:tcPr>
            <w:tcW w:w="2547" w:type="dxa"/>
          </w:tcPr>
          <w:p w14:paraId="216037D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Ancillary analyses</w:t>
            </w:r>
          </w:p>
        </w:tc>
        <w:tc>
          <w:tcPr>
            <w:tcW w:w="992" w:type="dxa"/>
          </w:tcPr>
          <w:p w14:paraId="034AD55A">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28</w:t>
            </w:r>
          </w:p>
        </w:tc>
        <w:tc>
          <w:tcPr>
            <w:tcW w:w="9356" w:type="dxa"/>
          </w:tcPr>
          <w:p w14:paraId="68E7918B">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Any other analyses performed, including subgroup and sensitivity analyses, distinguishing pre-specified from post-hoc</w:t>
            </w:r>
          </w:p>
        </w:tc>
        <w:tc>
          <w:tcPr>
            <w:tcW w:w="1417" w:type="dxa"/>
          </w:tcPr>
          <w:p w14:paraId="3457C6CE">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13,14,15,16,17</w:t>
            </w:r>
          </w:p>
        </w:tc>
      </w:tr>
      <w:tr w14:paraId="17517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14:paraId="7D072CE0">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Discussion</w:t>
            </w:r>
          </w:p>
        </w:tc>
        <w:tc>
          <w:tcPr>
            <w:tcW w:w="1417" w:type="dxa"/>
            <w:shd w:val="clear" w:color="auto" w:fill="C6D9F0" w:themeFill="text2" w:themeFillTint="33"/>
          </w:tcPr>
          <w:p w14:paraId="13D65609">
            <w:pPr>
              <w:spacing w:line="240" w:lineRule="auto"/>
              <w:rPr>
                <w:rFonts w:ascii="Calibri" w:hAnsi="Calibri" w:eastAsia="Calibri" w:cs="Calibri"/>
                <w:b/>
                <w:color w:val="000000"/>
                <w:sz w:val="22"/>
                <w:szCs w:val="22"/>
                <w:lang w:val="en-GB"/>
              </w:rPr>
            </w:pPr>
          </w:p>
        </w:tc>
      </w:tr>
      <w:tr w14:paraId="56AC4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1" w:hRule="atLeast"/>
        </w:trPr>
        <w:tc>
          <w:tcPr>
            <w:tcW w:w="2547" w:type="dxa"/>
          </w:tcPr>
          <w:p w14:paraId="2BDFB8E6">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Interpretation</w:t>
            </w:r>
          </w:p>
        </w:tc>
        <w:tc>
          <w:tcPr>
            <w:tcW w:w="992" w:type="dxa"/>
          </w:tcPr>
          <w:p w14:paraId="40C52785">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29</w:t>
            </w:r>
          </w:p>
        </w:tc>
        <w:tc>
          <w:tcPr>
            <w:tcW w:w="9356" w:type="dxa"/>
          </w:tcPr>
          <w:p w14:paraId="6689FC98">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Interpretation consistent with results, balancing benefits and harms, and considering other relevant evidence</w:t>
            </w:r>
          </w:p>
        </w:tc>
        <w:tc>
          <w:tcPr>
            <w:tcW w:w="1417" w:type="dxa"/>
          </w:tcPr>
          <w:p w14:paraId="028813E5">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13,14,15,16,17</w:t>
            </w:r>
          </w:p>
        </w:tc>
      </w:tr>
      <w:tr w14:paraId="29285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1" w:hRule="atLeast"/>
        </w:trPr>
        <w:tc>
          <w:tcPr>
            <w:tcW w:w="2547" w:type="dxa"/>
          </w:tcPr>
          <w:p w14:paraId="2A291D81">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Limitations</w:t>
            </w:r>
          </w:p>
        </w:tc>
        <w:tc>
          <w:tcPr>
            <w:tcW w:w="992" w:type="dxa"/>
          </w:tcPr>
          <w:p w14:paraId="065DB4EF">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30</w:t>
            </w:r>
          </w:p>
        </w:tc>
        <w:tc>
          <w:tcPr>
            <w:tcW w:w="9356" w:type="dxa"/>
          </w:tcPr>
          <w:p w14:paraId="53F2EAD9">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limitations, addressing sources of potential bias, imprecision, generalisability, and, if relevant, multiplicity of analyses</w:t>
            </w:r>
          </w:p>
        </w:tc>
        <w:tc>
          <w:tcPr>
            <w:tcW w:w="1417" w:type="dxa"/>
          </w:tcPr>
          <w:p w14:paraId="16436A34">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17</w:t>
            </w:r>
          </w:p>
        </w:tc>
      </w:tr>
    </w:tbl>
    <w:p w14:paraId="0B985716">
      <w:pPr>
        <w:pStyle w:val="39"/>
        <w:tabs>
          <w:tab w:val="left" w:pos="4830"/>
        </w:tabs>
        <w:spacing w:line="240" w:lineRule="auto"/>
        <w:rPr>
          <w:rFonts w:ascii="Calibri" w:hAnsi="Calibri" w:cs="Calibri"/>
          <w:sz w:val="20"/>
        </w:rPr>
      </w:pPr>
    </w:p>
    <w:sectPr>
      <w:footerReference r:id="rId5" w:type="default"/>
      <w:pgSz w:w="16838" w:h="11906" w:orient="landscape"/>
      <w:pgMar w:top="1440" w:right="1440" w:bottom="1440" w:left="1440"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Georgia">
    <w:panose1 w:val="02040502050405020303"/>
    <w:charset w:val="00"/>
    <w:family w:val="roman"/>
    <w:pitch w:val="default"/>
    <w:sig w:usb0="00000287" w:usb1="00000000" w:usb2="00000000" w:usb3="00000000" w:csb0="2000009F" w:csb1="00000000"/>
  </w:font>
  <w:font w:name="Cambria">
    <w:panose1 w:val="02040503050406030204"/>
    <w:charset w:val="00"/>
    <w:family w:val="roman"/>
    <w:pitch w:val="default"/>
    <w:sig w:usb0="E00006FF" w:usb1="420024FF" w:usb2="02000000" w:usb3="00000000" w:csb0="2000019F" w:csb1="00000000"/>
  </w:font>
  <w:font w:name="Noto Sans Symbols">
    <w:altName w:val="Calibri"/>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9078763"/>
      <w:docPartObj>
        <w:docPartGallery w:val="autotext"/>
      </w:docPartObj>
    </w:sdtPr>
    <w:sdtContent>
      <w:p w14:paraId="4E24581E">
        <w:pPr>
          <w:pStyle w:val="10"/>
          <w:jc w:val="right"/>
        </w:pPr>
        <w:r>
          <w:fldChar w:fldCharType="begin"/>
        </w:r>
        <w:r>
          <w:instrText xml:space="preserve"> PAGE   \* MERGEFORMAT </w:instrText>
        </w:r>
        <w:r>
          <w:fldChar w:fldCharType="separate"/>
        </w:r>
        <w:r>
          <w:t>2</w:t>
        </w:r>
        <w:r>
          <w:fldChar w:fldCharType="end"/>
        </w:r>
      </w:p>
    </w:sdtContent>
  </w:sdt>
  <w:p w14:paraId="651BCB0A">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BE25DE"/>
    <w:multiLevelType w:val="multilevel"/>
    <w:tmpl w:val="13BE25DE"/>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 w:val="092D4711"/>
    <w:rsid w:val="14555D1F"/>
    <w:rsid w:val="15690041"/>
    <w:rsid w:val="28A4025F"/>
    <w:rsid w:val="3DDC627B"/>
    <w:rsid w:val="451D6469"/>
    <w:rsid w:val="4D8436CA"/>
    <w:rsid w:val="71C75353"/>
    <w:rsid w:val="76C6648B"/>
    <w:rsid w:val="77B857B0"/>
    <w:rsid w:val="79BA4CCB"/>
    <w:rsid w:val="7CC16371"/>
    <w:rsid w:val="7DF34C5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80" w:lineRule="auto"/>
    </w:pPr>
    <w:rPr>
      <w:rFonts w:ascii="Times New Roman" w:hAnsi="Times New Roman" w:eastAsia="Times New Roman" w:cs="Times New Roman"/>
      <w:color w:val="333333"/>
      <w:sz w:val="24"/>
      <w:szCs w:val="24"/>
      <w:lang w:val="en-US" w:eastAsia="en-GB" w:bidi="ar-SA"/>
    </w:rPr>
  </w:style>
  <w:style w:type="paragraph" w:styleId="2">
    <w:name w:val="heading 1"/>
    <w:basedOn w:val="1"/>
    <w:next w:val="1"/>
    <w:qFormat/>
    <w:uiPriority w:val="9"/>
    <w:pPr>
      <w:spacing w:after="160" w:line="259" w:lineRule="auto"/>
      <w:outlineLvl w:val="0"/>
    </w:pPr>
    <w:rPr>
      <w:rFonts w:ascii="Calibri" w:hAnsi="Calibri" w:eastAsia="Calibri" w:cs="Calibri"/>
      <w:b/>
      <w:color w:val="000000"/>
      <w:sz w:val="22"/>
      <w:szCs w:val="22"/>
    </w:rPr>
  </w:style>
  <w:style w:type="paragraph" w:styleId="3">
    <w:name w:val="heading 2"/>
    <w:basedOn w:val="1"/>
    <w:next w:val="1"/>
    <w:semiHidden/>
    <w:unhideWhenUsed/>
    <w:qFormat/>
    <w:uiPriority w:val="9"/>
    <w:pPr>
      <w:keepNext/>
      <w:keepLines/>
      <w:spacing w:before="40"/>
      <w:outlineLvl w:val="1"/>
    </w:pPr>
    <w:rPr>
      <w:rFonts w:ascii="Calibri" w:hAnsi="Calibri" w:eastAsia="Calibri" w:cs="Calibri"/>
      <w:color w:val="2F5496"/>
      <w:sz w:val="26"/>
      <w:szCs w:val="2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8">
    <w:name w:val="annotation text"/>
    <w:basedOn w:val="1"/>
    <w:link w:val="25"/>
    <w:unhideWhenUsed/>
    <w:qFormat/>
    <w:uiPriority w:val="99"/>
    <w:pPr>
      <w:spacing w:line="240" w:lineRule="auto"/>
    </w:pPr>
    <w:rPr>
      <w:sz w:val="20"/>
      <w:szCs w:val="20"/>
    </w:rPr>
  </w:style>
  <w:style w:type="paragraph" w:styleId="9">
    <w:name w:val="Balloon Text"/>
    <w:basedOn w:val="1"/>
    <w:link w:val="33"/>
    <w:semiHidden/>
    <w:unhideWhenUsed/>
    <w:qFormat/>
    <w:uiPriority w:val="99"/>
    <w:pPr>
      <w:spacing w:line="240" w:lineRule="auto"/>
    </w:pPr>
    <w:rPr>
      <w:rFonts w:ascii="Segoe UI" w:hAnsi="Segoe UI" w:cs="Segoe UI"/>
      <w:sz w:val="18"/>
      <w:szCs w:val="18"/>
    </w:rPr>
  </w:style>
  <w:style w:type="paragraph" w:styleId="10">
    <w:name w:val="footer"/>
    <w:basedOn w:val="1"/>
    <w:link w:val="36"/>
    <w:unhideWhenUsed/>
    <w:qFormat/>
    <w:uiPriority w:val="99"/>
    <w:pPr>
      <w:tabs>
        <w:tab w:val="center" w:pos="4513"/>
        <w:tab w:val="right" w:pos="9026"/>
      </w:tabs>
      <w:spacing w:line="240" w:lineRule="auto"/>
    </w:pPr>
  </w:style>
  <w:style w:type="paragraph" w:styleId="11">
    <w:name w:val="header"/>
    <w:basedOn w:val="1"/>
    <w:link w:val="35"/>
    <w:unhideWhenUsed/>
    <w:qFormat/>
    <w:uiPriority w:val="99"/>
    <w:pPr>
      <w:tabs>
        <w:tab w:val="center" w:pos="4513"/>
        <w:tab w:val="right" w:pos="9026"/>
      </w:tabs>
      <w:spacing w:line="240" w:lineRule="auto"/>
    </w:pPr>
  </w:style>
  <w:style w:type="paragraph" w:styleId="12">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3">
    <w:name w:val="Normal (Web)"/>
    <w:basedOn w:val="1"/>
    <w:unhideWhenUsed/>
    <w:qFormat/>
    <w:uiPriority w:val="99"/>
    <w:pPr>
      <w:spacing w:before="100" w:beforeAutospacing="1" w:after="100" w:afterAutospacing="1" w:line="240" w:lineRule="auto"/>
    </w:pPr>
    <w:rPr>
      <w:color w:val="auto"/>
      <w:lang w:val="en-CA" w:eastAsia="en-US"/>
    </w:rPr>
  </w:style>
  <w:style w:type="paragraph" w:styleId="14">
    <w:name w:val="Title"/>
    <w:basedOn w:val="1"/>
    <w:next w:val="1"/>
    <w:qFormat/>
    <w:uiPriority w:val="10"/>
    <w:pPr>
      <w:keepNext/>
      <w:keepLines/>
      <w:spacing w:before="480" w:after="120"/>
    </w:pPr>
    <w:rPr>
      <w:b/>
      <w:sz w:val="72"/>
      <w:szCs w:val="72"/>
    </w:rPr>
  </w:style>
  <w:style w:type="paragraph" w:styleId="15">
    <w:name w:val="annotation subject"/>
    <w:basedOn w:val="8"/>
    <w:next w:val="8"/>
    <w:link w:val="26"/>
    <w:semiHidden/>
    <w:unhideWhenUsed/>
    <w:qFormat/>
    <w:uiPriority w:val="99"/>
    <w:rPr>
      <w:b/>
      <w:bCs/>
    </w:rPr>
  </w:style>
  <w:style w:type="table" w:styleId="17">
    <w:name w:val="Table Grid"/>
    <w:basedOn w:val="16"/>
    <w:qFormat/>
    <w:uiPriority w:val="39"/>
    <w:pPr>
      <w:spacing w:line="240" w:lineRule="auto"/>
    </w:pPr>
    <w:rPr>
      <w:rFonts w:asciiTheme="minorHAnsi" w:hAnsiTheme="minorHAnsi" w:eastAsiaTheme="minorHAnsi" w:cstheme="minorBidi"/>
      <w:color w:val="auto"/>
      <w:kern w:val="2"/>
      <w:sz w:val="22"/>
      <w:szCs w:val="22"/>
      <w:lang w:val="en-GB"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FollowedHyperlink"/>
    <w:basedOn w:val="18"/>
    <w:semiHidden/>
    <w:unhideWhenUsed/>
    <w:qFormat/>
    <w:uiPriority w:val="99"/>
    <w:rPr>
      <w:color w:val="800080" w:themeColor="followedHyperlink"/>
      <w:u w:val="single"/>
      <w14:textFill>
        <w14:solidFill>
          <w14:schemeClr w14:val="folHlink"/>
        </w14:solidFill>
      </w14:textFill>
    </w:rPr>
  </w:style>
  <w:style w:type="character" w:styleId="20">
    <w:name w:val="Hyperlink"/>
    <w:qFormat/>
    <w:uiPriority w:val="0"/>
    <w:rPr>
      <w:color w:val="CC0000"/>
      <w:u w:val="single"/>
    </w:rPr>
  </w:style>
  <w:style w:type="character" w:styleId="21">
    <w:name w:val="annotation reference"/>
    <w:basedOn w:val="18"/>
    <w:semiHidden/>
    <w:unhideWhenUsed/>
    <w:qFormat/>
    <w:uiPriority w:val="99"/>
    <w:rPr>
      <w:sz w:val="16"/>
      <w:szCs w:val="16"/>
    </w:rPr>
  </w:style>
  <w:style w:type="table" w:customStyle="1" w:styleId="22">
    <w:name w:val="_Style 11"/>
    <w:basedOn w:val="16"/>
    <w:qFormat/>
    <w:uiPriority w:val="0"/>
    <w:pPr>
      <w:spacing w:line="240" w:lineRule="auto"/>
    </w:pPr>
  </w:style>
  <w:style w:type="table" w:customStyle="1" w:styleId="23">
    <w:name w:val="_Style 12"/>
    <w:basedOn w:val="16"/>
    <w:qFormat/>
    <w:uiPriority w:val="0"/>
    <w:tblPr>
      <w:tblCellMar>
        <w:left w:w="115" w:type="dxa"/>
        <w:right w:w="115" w:type="dxa"/>
      </w:tblCellMar>
    </w:tblPr>
  </w:style>
  <w:style w:type="table" w:customStyle="1" w:styleId="24">
    <w:name w:val="_Style 13"/>
    <w:basedOn w:val="16"/>
    <w:qFormat/>
    <w:uiPriority w:val="0"/>
    <w:tblPr>
      <w:tblCellMar>
        <w:left w:w="115" w:type="dxa"/>
        <w:right w:w="115" w:type="dxa"/>
      </w:tblCellMar>
    </w:tblPr>
  </w:style>
  <w:style w:type="character" w:customStyle="1" w:styleId="25">
    <w:name w:val="Comment Text Char"/>
    <w:basedOn w:val="18"/>
    <w:link w:val="8"/>
    <w:qFormat/>
    <w:uiPriority w:val="99"/>
    <w:rPr>
      <w:sz w:val="20"/>
      <w:szCs w:val="20"/>
    </w:rPr>
  </w:style>
  <w:style w:type="character" w:customStyle="1" w:styleId="26">
    <w:name w:val="Comment Subject Char"/>
    <w:basedOn w:val="25"/>
    <w:link w:val="15"/>
    <w:semiHidden/>
    <w:qFormat/>
    <w:uiPriority w:val="99"/>
    <w:rPr>
      <w:b/>
      <w:bCs/>
      <w:sz w:val="20"/>
      <w:szCs w:val="20"/>
    </w:rPr>
  </w:style>
  <w:style w:type="paragraph" w:customStyle="1" w:styleId="27">
    <w:name w:val="EndNote Bibliography Title"/>
    <w:basedOn w:val="1"/>
    <w:link w:val="28"/>
    <w:qFormat/>
    <w:uiPriority w:val="0"/>
    <w:pPr>
      <w:jc w:val="center"/>
    </w:pPr>
    <w:rPr>
      <w:lang w:val="en-GB"/>
    </w:rPr>
  </w:style>
  <w:style w:type="character" w:customStyle="1" w:styleId="28">
    <w:name w:val="EndNote Bibliography Title Char"/>
    <w:basedOn w:val="18"/>
    <w:link w:val="27"/>
    <w:qFormat/>
    <w:uiPriority w:val="0"/>
    <w:rPr>
      <w:lang w:val="en-GB"/>
    </w:rPr>
  </w:style>
  <w:style w:type="paragraph" w:customStyle="1" w:styleId="29">
    <w:name w:val="EndNote Bibliography"/>
    <w:basedOn w:val="1"/>
    <w:link w:val="30"/>
    <w:qFormat/>
    <w:uiPriority w:val="0"/>
    <w:pPr>
      <w:spacing w:line="240" w:lineRule="auto"/>
    </w:pPr>
    <w:rPr>
      <w:lang w:val="en-GB"/>
    </w:rPr>
  </w:style>
  <w:style w:type="character" w:customStyle="1" w:styleId="30">
    <w:name w:val="EndNote Bibliography Char"/>
    <w:basedOn w:val="18"/>
    <w:link w:val="29"/>
    <w:qFormat/>
    <w:uiPriority w:val="0"/>
    <w:rPr>
      <w:lang w:val="en-GB"/>
    </w:rPr>
  </w:style>
  <w:style w:type="character" w:customStyle="1" w:styleId="31">
    <w:name w:val="Unresolved Mention"/>
    <w:basedOn w:val="18"/>
    <w:semiHidden/>
    <w:unhideWhenUsed/>
    <w:qFormat/>
    <w:uiPriority w:val="99"/>
    <w:rPr>
      <w:color w:val="605E5C"/>
      <w:shd w:val="clear" w:color="auto" w:fill="E1DFDD"/>
    </w:rPr>
  </w:style>
  <w:style w:type="character" w:customStyle="1" w:styleId="32">
    <w:name w:val="cf01"/>
    <w:basedOn w:val="18"/>
    <w:qFormat/>
    <w:uiPriority w:val="0"/>
    <w:rPr>
      <w:rFonts w:hint="default" w:ascii="Segoe UI" w:hAnsi="Segoe UI" w:cs="Segoe UI"/>
      <w:sz w:val="18"/>
      <w:szCs w:val="18"/>
    </w:rPr>
  </w:style>
  <w:style w:type="character" w:customStyle="1" w:styleId="33">
    <w:name w:val="Balloon Text Char"/>
    <w:basedOn w:val="18"/>
    <w:link w:val="9"/>
    <w:semiHidden/>
    <w:qFormat/>
    <w:uiPriority w:val="99"/>
    <w:rPr>
      <w:rFonts w:ascii="Segoe UI" w:hAnsi="Segoe UI" w:cs="Segoe UI"/>
      <w:sz w:val="18"/>
      <w:szCs w:val="18"/>
    </w:rPr>
  </w:style>
  <w:style w:type="paragraph" w:styleId="34">
    <w:name w:val="List Paragraph"/>
    <w:basedOn w:val="1"/>
    <w:qFormat/>
    <w:uiPriority w:val="34"/>
    <w:pPr>
      <w:spacing w:after="160" w:line="259" w:lineRule="auto"/>
      <w:ind w:left="720"/>
      <w:contextualSpacing/>
    </w:pPr>
    <w:rPr>
      <w:rFonts w:ascii="Calibri" w:hAnsi="Calibri" w:eastAsia="Calibri" w:cs="Calibri"/>
      <w:color w:val="auto"/>
      <w:sz w:val="22"/>
      <w:szCs w:val="22"/>
      <w:lang w:val="en-GB"/>
    </w:rPr>
  </w:style>
  <w:style w:type="character" w:customStyle="1" w:styleId="35">
    <w:name w:val="Header Char"/>
    <w:basedOn w:val="18"/>
    <w:link w:val="11"/>
    <w:qFormat/>
    <w:uiPriority w:val="99"/>
  </w:style>
  <w:style w:type="character" w:customStyle="1" w:styleId="36">
    <w:name w:val="Footer Char"/>
    <w:basedOn w:val="18"/>
    <w:link w:val="10"/>
    <w:qFormat/>
    <w:uiPriority w:val="99"/>
  </w:style>
  <w:style w:type="paragraph" w:customStyle="1" w:styleId="37">
    <w:name w:val="Revision"/>
    <w:hidden/>
    <w:semiHidden/>
    <w:qFormat/>
    <w:uiPriority w:val="99"/>
    <w:pPr>
      <w:spacing w:line="240" w:lineRule="auto"/>
    </w:pPr>
    <w:rPr>
      <w:rFonts w:ascii="Times New Roman" w:hAnsi="Times New Roman" w:eastAsia="Times New Roman" w:cs="Times New Roman"/>
      <w:color w:val="333333"/>
      <w:sz w:val="24"/>
      <w:szCs w:val="24"/>
      <w:lang w:val="en-US" w:eastAsia="en-GB" w:bidi="ar-SA"/>
    </w:rPr>
  </w:style>
  <w:style w:type="character" w:customStyle="1" w:styleId="38">
    <w:name w:val="apple-converted-space"/>
    <w:basedOn w:val="18"/>
    <w:qFormat/>
    <w:uiPriority w:val="0"/>
  </w:style>
  <w:style w:type="paragraph" w:customStyle="1" w:styleId="39">
    <w:name w:val="TableNote"/>
    <w:basedOn w:val="1"/>
    <w:qFormat/>
    <w:uiPriority w:val="0"/>
    <w:pPr>
      <w:spacing w:line="300" w:lineRule="exact"/>
    </w:pPr>
    <w:rPr>
      <w:color w:val="auto"/>
      <w:szCs w:val="20"/>
      <w:lang w:val="en-GB"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datastoreItem>
</file>

<file path=docProps/app.xml><?xml version="1.0" encoding="utf-8"?>
<Properties xmlns="http://schemas.openxmlformats.org/officeDocument/2006/extended-properties" xmlns:vt="http://schemas.openxmlformats.org/officeDocument/2006/docPropsVTypes">
  <Template>Normal.dotm</Template>
  <Pages>3</Pages>
  <Words>831</Words>
  <Characters>5096</Characters>
  <Lines>48</Lines>
  <Paragraphs>13</Paragraphs>
  <TotalTime>169</TotalTime>
  <ScaleCrop>false</ScaleCrop>
  <LinksUpToDate>false</LinksUpToDate>
  <CharactersWithSpaces>5767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2024-10-08T14:14:00Z</dcterms:created>
  <dc:creator>Sally Hopewell</dc:creator>
  <cp:lastModifiedBy>言O_O</cp:lastModifiedBy>
  <cp:lastPrinted>2024-03-26T08:52:00Z</cp:lastPrinted>
  <dcterms:modified xsi:type="dcterms:W3CDTF">2026-08-09T16:07:51Z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eyJoZGlkIjoiNmRhZDI0NDYwYzQxMDA4ZDU1Njk0NjRmNTU0NmQ5OGYiLCJ1c2VySWQiOiI0NDUzODQyNDIifQ==</vt:lpwstr>
  </property>
  <property fmtid="{D5CDD505-2E9C-101B-9397-08002B2CF9AE}" pid="3" name="KSOProductBuildVer">
    <vt:lpwstr>2052-12.1.0.26895</vt:lpwstr>
  </property>
  <property fmtid="{D5CDD505-2E9C-101B-9397-08002B2CF9AE}" pid="4" name="ICV">
    <vt:lpwstr>FDD12C48F2ED46D3A911CD87369E9CA5_12</vt:lpwstr>
  </property>
</Properties>
</file>