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05349" w14:textId="6A38C8E2" w:rsidR="007850AE" w:rsidRDefault="007850AE" w:rsidP="007850AE">
      <w:pPr>
        <w:widowControl w:val="0"/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Supplementary </w:t>
      </w:r>
      <w:r w:rsidR="00A21A08">
        <w:rPr>
          <w:sz w:val="22"/>
          <w:szCs w:val="22"/>
          <w:lang w:val="en-US"/>
        </w:rPr>
        <w:t>Material</w:t>
      </w:r>
      <w:bookmarkStart w:id="0" w:name="_GoBack"/>
      <w:bookmarkEnd w:id="0"/>
    </w:p>
    <w:p w14:paraId="5207D93B" w14:textId="77777777" w:rsidR="007850AE" w:rsidRDefault="007850AE" w:rsidP="007850AE">
      <w:pPr>
        <w:widowControl w:val="0"/>
        <w:autoSpaceDE w:val="0"/>
        <w:autoSpaceDN w:val="0"/>
        <w:adjustRightInd w:val="0"/>
        <w:rPr>
          <w:sz w:val="22"/>
          <w:szCs w:val="22"/>
          <w:lang w:val="en-US"/>
        </w:rPr>
      </w:pPr>
    </w:p>
    <w:tbl>
      <w:tblPr>
        <w:tblW w:w="15888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8"/>
      </w:tblGrid>
      <w:tr w:rsidR="007850AE" w14:paraId="4654C951" w14:textId="77777777" w:rsidTr="00061414">
        <w:trPr>
          <w:jc w:val="center"/>
        </w:trPr>
        <w:tc>
          <w:tcPr>
            <w:tcW w:w="15888" w:type="dxa"/>
          </w:tcPr>
          <w:p w14:paraId="122591BD" w14:textId="77777777" w:rsidR="007850AE" w:rsidRDefault="007850AE" w:rsidP="000614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drawing>
                <wp:inline distT="0" distB="0" distL="0" distR="0" wp14:anchorId="245CD8DC" wp14:editId="18F829EB">
                  <wp:extent cx="9931651" cy="434509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ltaKL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5523" cy="4355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0AE" w:rsidRPr="00D8628A" w14:paraId="7BDDCF4D" w14:textId="77777777" w:rsidTr="00061414">
        <w:trPr>
          <w:jc w:val="center"/>
        </w:trPr>
        <w:tc>
          <w:tcPr>
            <w:tcW w:w="15888" w:type="dxa"/>
          </w:tcPr>
          <w:p w14:paraId="3DBBF11B" w14:textId="77777777" w:rsidR="007850AE" w:rsidRDefault="007850AE" w:rsidP="0006141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D8628A">
              <w:rPr>
                <w:b/>
                <w:sz w:val="18"/>
                <w:szCs w:val="18"/>
                <w:lang w:val="en-US"/>
              </w:rPr>
              <w:t>Figure S1.</w:t>
            </w:r>
            <w:r w:rsidRPr="00D8628A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T</w:t>
            </w:r>
            <w:r>
              <w:rPr>
                <w:sz w:val="18"/>
                <w:szCs w:val="18"/>
                <w:lang w:val="en-US"/>
              </w:rPr>
              <w:t>he impact of each tract group o</w:t>
            </w:r>
            <w:r>
              <w:rPr>
                <w:sz w:val="18"/>
                <w:szCs w:val="18"/>
                <w:lang w:val="en-US"/>
              </w:rPr>
              <w:t xml:space="preserve">n the spatial distribution of KL divergence </w:t>
            </w:r>
            <w:r>
              <w:rPr>
                <w:sz w:val="18"/>
                <w:szCs w:val="18"/>
                <w:lang w:val="en-US"/>
              </w:rPr>
              <w:t xml:space="preserve">is demonstrated </w:t>
            </w:r>
            <w:r>
              <w:rPr>
                <w:sz w:val="18"/>
                <w:szCs w:val="18"/>
                <w:lang w:val="en-US"/>
              </w:rPr>
              <w:t xml:space="preserve">by calculating the difference between the KL blueprint containing all WM and a secondary set of four blueprints where each tract group has been left out while the </w:t>
            </w:r>
            <w:r>
              <w:rPr>
                <w:sz w:val="18"/>
                <w:szCs w:val="18"/>
                <w:lang w:val="en-US"/>
              </w:rPr>
              <w:t xml:space="preserve">rest of the tracts are present. </w:t>
            </w:r>
            <w:r>
              <w:rPr>
                <w:b/>
                <w:sz w:val="18"/>
                <w:szCs w:val="18"/>
                <w:lang w:val="en-US"/>
              </w:rPr>
              <w:t xml:space="preserve">A) </w:t>
            </w:r>
            <w:r>
              <w:rPr>
                <w:sz w:val="18"/>
                <w:szCs w:val="18"/>
                <w:lang w:val="en-US"/>
              </w:rPr>
              <w:t>The proje</w:t>
            </w:r>
            <w:r>
              <w:rPr>
                <w:sz w:val="18"/>
                <w:szCs w:val="18"/>
                <w:lang w:val="en-US"/>
              </w:rPr>
              <w:t xml:space="preserve">ction tracts are removed from the full KL </w:t>
            </w:r>
            <w:r>
              <w:rPr>
                <w:sz w:val="18"/>
                <w:szCs w:val="18"/>
                <w:lang w:val="en-US"/>
              </w:rPr>
              <w:t xml:space="preserve">blueprint for both the human and pig and the subsequent difference in KL divergence shows the regions most impacted by their </w:t>
            </w:r>
            <w:r>
              <w:rPr>
                <w:sz w:val="18"/>
                <w:szCs w:val="18"/>
                <w:lang w:val="en-US"/>
              </w:rPr>
              <w:t>removal</w:t>
            </w:r>
            <w:r>
              <w:rPr>
                <w:sz w:val="18"/>
                <w:szCs w:val="18"/>
                <w:lang w:val="en-US"/>
              </w:rPr>
              <w:t xml:space="preserve"> such as the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regions corresponding to the posterior thalamic radiations (PTR)</w:t>
            </w:r>
            <w:r>
              <w:rPr>
                <w:sz w:val="18"/>
                <w:szCs w:val="18"/>
                <w:lang w:val="en-US"/>
              </w:rPr>
              <w:t xml:space="preserve"> in A.1 and A.2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 xml:space="preserve">A.1) </w:t>
            </w:r>
            <w:r>
              <w:rPr>
                <w:sz w:val="18"/>
                <w:szCs w:val="18"/>
                <w:lang w:val="en-US"/>
              </w:rPr>
              <w:t xml:space="preserve">The differences of KL divergence corresponds to areas in the medial frontal cortex </w:t>
            </w:r>
            <w:r>
              <w:rPr>
                <w:sz w:val="18"/>
                <w:szCs w:val="18"/>
                <w:lang w:val="en-US"/>
              </w:rPr>
              <w:t xml:space="preserve">and the precuneus. </w:t>
            </w:r>
            <w:r>
              <w:rPr>
                <w:b/>
                <w:sz w:val="18"/>
                <w:szCs w:val="18"/>
                <w:lang w:val="en-US"/>
              </w:rPr>
              <w:t>A.2)</w:t>
            </w:r>
            <w:r>
              <w:rPr>
                <w:sz w:val="18"/>
                <w:szCs w:val="18"/>
                <w:lang w:val="en-US"/>
              </w:rPr>
              <w:t xml:space="preserve"> The KL difference corresponds to the frontal division of the coronal sulcus where the frontal and somatosensory regions divide in the pig. </w:t>
            </w:r>
            <w:r>
              <w:rPr>
                <w:b/>
                <w:sz w:val="18"/>
                <w:szCs w:val="18"/>
                <w:lang w:val="en-US"/>
              </w:rPr>
              <w:t xml:space="preserve">B). </w:t>
            </w:r>
            <w:r>
              <w:rPr>
                <w:sz w:val="18"/>
                <w:szCs w:val="18"/>
                <w:lang w:val="en-US"/>
              </w:rPr>
              <w:t>The commissural tracts are removed from the full KL blueprint for both the human and pig</w:t>
            </w:r>
            <w:r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b/>
                <w:sz w:val="18"/>
                <w:szCs w:val="18"/>
                <w:lang w:val="en-US"/>
              </w:rPr>
              <w:t xml:space="preserve">B.1) </w:t>
            </w:r>
            <w:r>
              <w:rPr>
                <w:sz w:val="18"/>
                <w:szCs w:val="18"/>
                <w:lang w:val="en-US"/>
              </w:rPr>
              <w:t xml:space="preserve">Mildly changes in KL divergence are associated primarily in the region of the lateral projections </w:t>
            </w:r>
            <w:r>
              <w:rPr>
                <w:sz w:val="18"/>
                <w:szCs w:val="18"/>
                <w:lang w:val="en-US"/>
              </w:rPr>
              <w:t>of the Forceps Minor</w:t>
            </w:r>
            <w:r>
              <w:rPr>
                <w:sz w:val="18"/>
                <w:szCs w:val="18"/>
                <w:lang w:val="en-US"/>
              </w:rPr>
              <w:t xml:space="preserve"> (FMI)</w:t>
            </w:r>
            <w:r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b/>
                <w:sz w:val="18"/>
                <w:szCs w:val="18"/>
                <w:lang w:val="en-US"/>
              </w:rPr>
              <w:t xml:space="preserve">B.2) </w:t>
            </w:r>
            <w:r>
              <w:rPr>
                <w:sz w:val="18"/>
                <w:szCs w:val="18"/>
                <w:lang w:val="en-US"/>
              </w:rPr>
              <w:t>Changes in the KL divergence are shown in the medial terri</w:t>
            </w:r>
            <w:r>
              <w:rPr>
                <w:sz w:val="18"/>
                <w:szCs w:val="18"/>
                <w:lang w:val="en-US"/>
              </w:rPr>
              <w:t xml:space="preserve">tory of the FMI and Forceps Major (FMA). </w:t>
            </w:r>
            <w:r>
              <w:rPr>
                <w:b/>
                <w:sz w:val="18"/>
                <w:szCs w:val="18"/>
                <w:lang w:val="en-US"/>
              </w:rPr>
              <w:t>C)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The association tracts are removed from the full KL blueprint for both the human and pig. </w:t>
            </w:r>
            <w:r>
              <w:rPr>
                <w:b/>
                <w:sz w:val="18"/>
                <w:szCs w:val="18"/>
                <w:lang w:val="en-US"/>
              </w:rPr>
              <w:t>C.1)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∆KL is observed to change</w:t>
            </w:r>
            <w:r>
              <w:rPr>
                <w:sz w:val="18"/>
                <w:szCs w:val="18"/>
                <w:lang w:val="en-US"/>
              </w:rPr>
              <w:t xml:space="preserve"> in the medial frontal gyrus </w:t>
            </w:r>
            <w:r>
              <w:rPr>
                <w:sz w:val="18"/>
                <w:szCs w:val="18"/>
                <w:lang w:val="en-US"/>
              </w:rPr>
              <w:t>implicating</w:t>
            </w:r>
            <w:r>
              <w:rPr>
                <w:sz w:val="18"/>
                <w:szCs w:val="18"/>
                <w:lang w:val="en-US"/>
              </w:rPr>
              <w:t xml:space="preserve"> the association tracts </w:t>
            </w:r>
            <w:r>
              <w:rPr>
                <w:sz w:val="18"/>
                <w:szCs w:val="18"/>
                <w:lang w:val="en-US"/>
              </w:rPr>
              <w:t xml:space="preserve">as </w:t>
            </w:r>
            <w:r>
              <w:rPr>
                <w:sz w:val="18"/>
                <w:szCs w:val="18"/>
                <w:lang w:val="en-US"/>
              </w:rPr>
              <w:t>responsible</w:t>
            </w:r>
            <w:r>
              <w:rPr>
                <w:sz w:val="18"/>
                <w:szCs w:val="18"/>
                <w:lang w:val="en-US"/>
              </w:rPr>
              <w:t xml:space="preserve"> for the KL divergence values of the full blueprint in this region</w:t>
            </w:r>
            <w:r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C.2)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∆KL </w:t>
            </w:r>
            <w:r>
              <w:rPr>
                <w:sz w:val="18"/>
                <w:szCs w:val="18"/>
                <w:lang w:val="en-US"/>
              </w:rPr>
              <w:t xml:space="preserve">in the pig shows changes to the superior </w:t>
            </w:r>
            <w:r>
              <w:rPr>
                <w:sz w:val="18"/>
                <w:szCs w:val="18"/>
                <w:lang w:val="en-US"/>
              </w:rPr>
              <w:t xml:space="preserve">frontal cortex along the medial surface, as well as the inferior temporal gyrus. </w:t>
            </w:r>
            <w:r>
              <w:rPr>
                <w:b/>
                <w:sz w:val="18"/>
                <w:szCs w:val="18"/>
                <w:lang w:val="en-US"/>
              </w:rPr>
              <w:t xml:space="preserve">D). 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The limbic tracts are removed from the full KL blueprint for both the human and pig</w:t>
            </w:r>
            <w:r>
              <w:rPr>
                <w:sz w:val="18"/>
                <w:szCs w:val="18"/>
                <w:lang w:val="en-US"/>
              </w:rPr>
              <w:t xml:space="preserve"> causing the greatest difference between the full KL blueprint of any of the tract groups (Figure S2). </w:t>
            </w:r>
            <w:r>
              <w:rPr>
                <w:b/>
                <w:sz w:val="18"/>
                <w:szCs w:val="18"/>
                <w:lang w:val="en-US"/>
              </w:rPr>
              <w:t xml:space="preserve">D.1)  </w:t>
            </w:r>
            <w:r>
              <w:rPr>
                <w:sz w:val="18"/>
                <w:szCs w:val="18"/>
                <w:lang w:val="en-US"/>
              </w:rPr>
              <w:t>∆KL increases substantially along the body of the cing</w:t>
            </w:r>
            <w:r>
              <w:rPr>
                <w:sz w:val="18"/>
                <w:szCs w:val="18"/>
                <w:lang w:val="en-US"/>
              </w:rPr>
              <w:t xml:space="preserve">ulum but not the fornix. The limbic tracts show a significant role in the divergence of the medial frontal cortex as well as the precuneus. </w:t>
            </w:r>
            <w:r>
              <w:rPr>
                <w:b/>
                <w:sz w:val="18"/>
                <w:szCs w:val="18"/>
                <w:lang w:val="en-US"/>
              </w:rPr>
              <w:t xml:space="preserve">D.2) </w:t>
            </w:r>
            <w:r>
              <w:rPr>
                <w:sz w:val="18"/>
                <w:szCs w:val="18"/>
                <w:lang w:val="en-US"/>
              </w:rPr>
              <w:t>∆KL shows peaks in the frontal cortex of the pig as well as in the precuneus</w:t>
            </w:r>
            <w:r>
              <w:rPr>
                <w:sz w:val="18"/>
                <w:szCs w:val="18"/>
                <w:lang w:val="en-US"/>
              </w:rPr>
              <w:t xml:space="preserve">, but unlike the human does not outline a central body of the cingulum along the anterior-posterior axis. </w:t>
            </w:r>
          </w:p>
          <w:p w14:paraId="6E1D79FD" w14:textId="77777777" w:rsidR="007850AE" w:rsidRPr="00D8628A" w:rsidRDefault="007850AE" w:rsidP="0006141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</w:tc>
      </w:tr>
    </w:tbl>
    <w:p w14:paraId="0766A880" w14:textId="77777777" w:rsidR="007850AE" w:rsidRDefault="007850AE" w:rsidP="007850AE">
      <w:pPr>
        <w:widowControl w:val="0"/>
        <w:autoSpaceDE w:val="0"/>
        <w:autoSpaceDN w:val="0"/>
        <w:adjustRightInd w:val="0"/>
        <w:rPr>
          <w:sz w:val="22"/>
          <w:szCs w:val="22"/>
          <w:lang w:val="en-US"/>
        </w:rPr>
      </w:pPr>
    </w:p>
    <w:tbl>
      <w:tblPr>
        <w:tblW w:w="15572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2"/>
      </w:tblGrid>
      <w:tr w:rsidR="007850AE" w14:paraId="20D50441" w14:textId="77777777" w:rsidTr="00061414">
        <w:trPr>
          <w:trHeight w:val="4247"/>
          <w:jc w:val="center"/>
        </w:trPr>
        <w:tc>
          <w:tcPr>
            <w:tcW w:w="15572" w:type="dxa"/>
          </w:tcPr>
          <w:p w14:paraId="085ADCCB" w14:textId="77777777" w:rsidR="007850AE" w:rsidRDefault="007850AE" w:rsidP="000614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lastRenderedPageBreak/>
              <w:drawing>
                <wp:inline distT="0" distB="0" distL="0" distR="0" wp14:anchorId="036CE67B" wp14:editId="03D2A274">
                  <wp:extent cx="9278152" cy="3376943"/>
                  <wp:effectExtent l="0" t="0" r="5715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eave_one_out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3794" cy="340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0AE" w:rsidRPr="00D8628A" w14:paraId="5355F9CC" w14:textId="77777777" w:rsidTr="00061414">
        <w:trPr>
          <w:trHeight w:val="3377"/>
          <w:jc w:val="center"/>
        </w:trPr>
        <w:tc>
          <w:tcPr>
            <w:tcW w:w="15572" w:type="dxa"/>
          </w:tcPr>
          <w:p w14:paraId="27110768" w14:textId="77777777" w:rsidR="007850AE" w:rsidRPr="00D8628A" w:rsidRDefault="007850AE" w:rsidP="0006141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D8628A">
              <w:rPr>
                <w:b/>
                <w:sz w:val="22"/>
                <w:szCs w:val="22"/>
                <w:lang w:val="en-US"/>
              </w:rPr>
              <w:t>Figure S2</w:t>
            </w:r>
            <w:r w:rsidRPr="00D8628A">
              <w:rPr>
                <w:b/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Spatial correlation of the minimum KL divergence of the full KL blueprint as compared to </w:t>
            </w:r>
            <w:r>
              <w:rPr>
                <w:sz w:val="18"/>
                <w:szCs w:val="18"/>
                <w:lang w:val="en-US"/>
              </w:rPr>
              <w:t xml:space="preserve">minimum KL divergence of blueprints which have had a single tract group removed. </w:t>
            </w:r>
            <w:r>
              <w:rPr>
                <w:b/>
                <w:sz w:val="18"/>
                <w:szCs w:val="18"/>
                <w:lang w:val="en-US"/>
              </w:rPr>
              <w:t>A)</w:t>
            </w:r>
            <w:r>
              <w:rPr>
                <w:sz w:val="18"/>
                <w:szCs w:val="18"/>
                <w:lang w:val="en-US"/>
              </w:rPr>
              <w:t xml:space="preserve"> The projection tracts in the human blueprint </w:t>
            </w:r>
            <w:r>
              <w:rPr>
                <w:sz w:val="18"/>
                <w:szCs w:val="18"/>
                <w:lang w:val="en-US"/>
              </w:rPr>
              <w:t xml:space="preserve">significantly drive the overall KL divergence of the full blueprint as shown by </w:t>
            </w:r>
            <w:r>
              <w:rPr>
                <w:sz w:val="18"/>
                <w:szCs w:val="18"/>
                <w:lang w:val="en-US"/>
              </w:rPr>
              <w:t xml:space="preserve">a low spatial cross correlation of </w:t>
            </w:r>
            <w:r w:rsidRPr="00D8628A">
              <w:rPr>
                <w:b/>
                <w:sz w:val="18"/>
                <w:szCs w:val="18"/>
                <w:lang w:val="en-US"/>
              </w:rPr>
              <w:t>r=</w:t>
            </w:r>
            <w:r w:rsidRPr="00D8628A">
              <w:rPr>
                <w:b/>
                <w:sz w:val="18"/>
                <w:szCs w:val="18"/>
                <w:lang w:val="en-US"/>
              </w:rPr>
              <w:t>0.73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B).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The impact of the commissural tracts is minimal at </w:t>
            </w:r>
            <w:r w:rsidRPr="00D8628A">
              <w:rPr>
                <w:b/>
                <w:sz w:val="18"/>
                <w:szCs w:val="18"/>
                <w:lang w:val="en-US"/>
              </w:rPr>
              <w:t>r=0.92</w:t>
            </w:r>
            <w:r>
              <w:rPr>
                <w:sz w:val="18"/>
                <w:szCs w:val="18"/>
                <w:lang w:val="en-US"/>
              </w:rPr>
              <w:t xml:space="preserve"> implying that these tracts are highly conserved between the pig and human and minimally alter the overall KL divergence between both species. </w:t>
            </w:r>
            <w:r>
              <w:rPr>
                <w:b/>
                <w:sz w:val="18"/>
                <w:szCs w:val="18"/>
                <w:lang w:val="en-US"/>
              </w:rPr>
              <w:t xml:space="preserve">C). </w:t>
            </w:r>
            <w:r>
              <w:rPr>
                <w:sz w:val="18"/>
                <w:szCs w:val="18"/>
                <w:lang w:val="en-US"/>
              </w:rPr>
              <w:t xml:space="preserve">The association tracts tie with the projection tracts with 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 xml:space="preserve">r=0.73 </w:t>
            </w:r>
            <w:r>
              <w:rPr>
                <w:sz w:val="18"/>
                <w:szCs w:val="18"/>
                <w:lang w:val="en-US"/>
              </w:rPr>
              <w:t xml:space="preserve">showing they play a considerable role in driving the dissimilarity measured </w:t>
            </w:r>
            <w:r>
              <w:rPr>
                <w:sz w:val="18"/>
                <w:szCs w:val="18"/>
                <w:lang w:val="en-US"/>
              </w:rPr>
              <w:t xml:space="preserve">in the human cortex. </w:t>
            </w:r>
            <w:r>
              <w:rPr>
                <w:b/>
                <w:sz w:val="18"/>
                <w:szCs w:val="18"/>
                <w:lang w:val="en-US"/>
              </w:rPr>
              <w:t>D)</w:t>
            </w:r>
            <w:r>
              <w:rPr>
                <w:b/>
                <w:sz w:val="18"/>
                <w:szCs w:val="18"/>
                <w:lang w:val="en-US"/>
              </w:rPr>
              <w:t xml:space="preserve">. </w:t>
            </w:r>
            <w:r>
              <w:rPr>
                <w:sz w:val="18"/>
                <w:szCs w:val="18"/>
                <w:lang w:val="en-US"/>
              </w:rPr>
              <w:t>The limbic tracts show</w:t>
            </w:r>
            <w:r>
              <w:rPr>
                <w:sz w:val="18"/>
                <w:szCs w:val="18"/>
                <w:lang w:val="en-US"/>
              </w:rPr>
              <w:t xml:space="preserve"> the worst spatial correlation </w:t>
            </w:r>
            <w:r w:rsidRPr="00D8628A">
              <w:rPr>
                <w:b/>
                <w:sz w:val="18"/>
                <w:szCs w:val="18"/>
                <w:lang w:val="en-US"/>
              </w:rPr>
              <w:t>(r=0.64)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between the min-KL of the full blueprint </w:t>
            </w:r>
            <w:r>
              <w:rPr>
                <w:sz w:val="18"/>
                <w:szCs w:val="18"/>
                <w:lang w:val="en-US"/>
              </w:rPr>
              <w:t>identifying</w:t>
            </w:r>
            <w:r>
              <w:rPr>
                <w:sz w:val="18"/>
                <w:szCs w:val="18"/>
                <w:lang w:val="en-US"/>
              </w:rPr>
              <w:t xml:space="preserve"> them as the tract group which most drives the presence of non-shard connectivity fingerprints in the pig and human. </w:t>
            </w:r>
            <w:r>
              <w:rPr>
                <w:b/>
                <w:sz w:val="18"/>
                <w:szCs w:val="18"/>
                <w:lang w:val="en-US"/>
              </w:rPr>
              <w:t xml:space="preserve">E). </w:t>
            </w:r>
            <w:r>
              <w:rPr>
                <w:sz w:val="18"/>
                <w:szCs w:val="18"/>
                <w:lang w:val="en-US"/>
              </w:rPr>
              <w:t xml:space="preserve">As in the human a significant portion </w:t>
            </w:r>
            <w:r>
              <w:rPr>
                <w:sz w:val="18"/>
                <w:szCs w:val="18"/>
                <w:lang w:val="en-US"/>
              </w:rPr>
              <w:t xml:space="preserve">of the KL divergence can be attributed to the presence of the projection tracts </w:t>
            </w:r>
            <w:r w:rsidRPr="00D8628A">
              <w:rPr>
                <w:sz w:val="18"/>
                <w:szCs w:val="18"/>
                <w:lang w:val="en-US"/>
              </w:rPr>
              <w:t>(</w:t>
            </w:r>
            <w:r>
              <w:rPr>
                <w:b/>
                <w:sz w:val="18"/>
                <w:szCs w:val="18"/>
                <w:lang w:val="en-US"/>
              </w:rPr>
              <w:t>r=0.81</w:t>
            </w:r>
            <w:r w:rsidRPr="00D8628A">
              <w:rPr>
                <w:sz w:val="18"/>
                <w:szCs w:val="18"/>
                <w:lang w:val="en-US"/>
              </w:rPr>
              <w:t>)</w:t>
            </w:r>
            <w:r>
              <w:rPr>
                <w:b/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 xml:space="preserve">F) </w:t>
            </w:r>
            <w:proofErr w:type="gramStart"/>
            <w:r>
              <w:rPr>
                <w:b/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  <w:lang w:val="en-US"/>
              </w:rPr>
              <w:t>imilarly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we </w:t>
            </w:r>
            <w:r>
              <w:rPr>
                <w:sz w:val="18"/>
                <w:szCs w:val="18"/>
                <w:lang w:val="en-US"/>
              </w:rPr>
              <w:t>the commissural tracts play a minimal role in forming the min-KL of the whole blueprint (</w:t>
            </w:r>
            <w:r>
              <w:rPr>
                <w:b/>
                <w:sz w:val="18"/>
                <w:szCs w:val="18"/>
                <w:lang w:val="en-US"/>
              </w:rPr>
              <w:t xml:space="preserve">r=0.92) </w:t>
            </w:r>
            <w:r>
              <w:rPr>
                <w:sz w:val="18"/>
                <w:szCs w:val="18"/>
                <w:lang w:val="en-US"/>
              </w:rPr>
              <w:t xml:space="preserve">suggesting this is the group of tracts most conserved between species. </w:t>
            </w:r>
            <w:r>
              <w:rPr>
                <w:b/>
                <w:sz w:val="18"/>
                <w:szCs w:val="18"/>
                <w:lang w:val="en-US"/>
              </w:rPr>
              <w:t>G)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Unlike in the human the association tracts play a smaller role in driving the full blueprint KL divergence than the projection tracts (</w:t>
            </w:r>
            <w:r>
              <w:rPr>
                <w:b/>
                <w:sz w:val="18"/>
                <w:szCs w:val="18"/>
                <w:lang w:val="en-US"/>
              </w:rPr>
              <w:t>r=0.87)</w:t>
            </w:r>
            <w:r>
              <w:rPr>
                <w:sz w:val="18"/>
                <w:szCs w:val="18"/>
                <w:lang w:val="en-US"/>
              </w:rPr>
              <w:t xml:space="preserve"> suggesting they </w:t>
            </w:r>
            <w:r>
              <w:rPr>
                <w:sz w:val="18"/>
                <w:szCs w:val="18"/>
                <w:lang w:val="en-US"/>
              </w:rPr>
              <w:t xml:space="preserve">may not be well conserved as their effect on the </w:t>
            </w:r>
            <w:r>
              <w:rPr>
                <w:sz w:val="18"/>
                <w:szCs w:val="18"/>
                <w:lang w:val="en-US"/>
              </w:rPr>
              <w:t>KL divergence of the full blueprint differs substantially for both species</w:t>
            </w:r>
            <w:r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b/>
                <w:sz w:val="18"/>
                <w:szCs w:val="18"/>
                <w:lang w:val="en-US"/>
              </w:rPr>
              <w:t xml:space="preserve">H). </w:t>
            </w:r>
            <w:r>
              <w:rPr>
                <w:sz w:val="18"/>
                <w:szCs w:val="18"/>
                <w:lang w:val="en-US"/>
              </w:rPr>
              <w:t>As in the human the li</w:t>
            </w:r>
            <w:r>
              <w:rPr>
                <w:sz w:val="18"/>
                <w:szCs w:val="18"/>
                <w:lang w:val="en-US"/>
              </w:rPr>
              <w:t xml:space="preserve">mbic tracts are the primary </w:t>
            </w:r>
            <w:r>
              <w:rPr>
                <w:sz w:val="18"/>
                <w:szCs w:val="18"/>
                <w:lang w:val="en-US"/>
              </w:rPr>
              <w:t>drivers of the KL divergence in the full connectivity blueprint as shown through minimal spatial correlation (</w:t>
            </w:r>
            <w:r>
              <w:rPr>
                <w:b/>
                <w:sz w:val="18"/>
                <w:szCs w:val="18"/>
                <w:lang w:val="en-US"/>
              </w:rPr>
              <w:t>r=0.74</w:t>
            </w:r>
            <w:r>
              <w:rPr>
                <w:sz w:val="18"/>
                <w:szCs w:val="18"/>
                <w:lang w:val="en-US"/>
              </w:rPr>
              <w:t>). From this we conclude that the limbic tracts are the least conserved tracts between the pig and human cortex.</w:t>
            </w:r>
          </w:p>
        </w:tc>
      </w:tr>
    </w:tbl>
    <w:p w14:paraId="58EB45AD" w14:textId="77777777" w:rsidR="004C37BD" w:rsidRPr="007850AE" w:rsidRDefault="004C37BD">
      <w:pPr>
        <w:rPr>
          <w:lang w:val="en-US"/>
        </w:rPr>
      </w:pPr>
    </w:p>
    <w:sectPr w:rsidR="004C37BD" w:rsidRPr="007850AE" w:rsidSect="007850AE">
      <w:pgSz w:w="16817" w:h="11901" w:orient="landscape"/>
      <w:pgMar w:top="851" w:right="851" w:bottom="851" w:left="851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AE"/>
    <w:rsid w:val="004C37BD"/>
    <w:rsid w:val="00751906"/>
    <w:rsid w:val="007850AE"/>
    <w:rsid w:val="00A2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75BCA1"/>
  <w15:chartTrackingRefBased/>
  <w15:docId w15:val="{C41E5527-DB45-FA4F-B139-D1735CAD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50A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Benn</dc:creator>
  <cp:keywords/>
  <dc:description/>
  <cp:lastModifiedBy>Austin Benn</cp:lastModifiedBy>
  <cp:revision>2</cp:revision>
  <dcterms:created xsi:type="dcterms:W3CDTF">2020-11-03T15:02:00Z</dcterms:created>
  <dcterms:modified xsi:type="dcterms:W3CDTF">2020-11-03T15:04:00Z</dcterms:modified>
</cp:coreProperties>
</file>