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0.svg" ContentType="image/svg+xml"/>
  <Override PartName="/word/media/image12.svg" ContentType="image/svg+xml"/>
  <Override PartName="/word/media/image14.svg" ContentType="image/svg+xml"/>
  <Override PartName="/word/media/image16.svg" ContentType="image/svg+xml"/>
  <Override PartName="/word/media/image18.svg" ContentType="image/svg+xml"/>
  <Override PartName="/word/media/image2.svg" ContentType="image/svg+xml"/>
  <Override PartName="/word/media/image20.svg" ContentType="image/svg+xml"/>
  <Override PartName="/word/media/image22.svg" ContentType="image/svg+xml"/>
  <Override PartName="/word/media/image25.svg" ContentType="image/svg+xml"/>
  <Override PartName="/word/media/image4.svg" ContentType="image/svg+xml"/>
  <Override PartName="/word/media/image6.svg" ContentType="image/svg+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6"/>
        <w:spacing w:line="360" w:lineRule="auto"/>
        <w:rPr>
          <w:b w:val="0"/>
          <w:sz w:val="32"/>
          <w:szCs w:val="32"/>
        </w:rPr>
      </w:pPr>
      <w:bookmarkStart w:id="0" w:name="_Hlk236410720"/>
      <w:bookmarkEnd w:id="0"/>
      <w:r>
        <w:rPr>
          <w:b w:val="0"/>
          <w:sz w:val="32"/>
          <w:szCs w:val="32"/>
        </w:rPr>
        <w:t xml:space="preserve">Supporting Information </w:t>
      </w:r>
    </w:p>
    <w:p>
      <w:pPr>
        <w:pStyle w:val="42"/>
        <w:rPr>
          <w:b w:val="0"/>
          <w:bCs w:val="0"/>
          <w:color w:val="0F1115"/>
          <w:sz w:val="30"/>
          <w:szCs w:val="30"/>
        </w:rPr>
      </w:pPr>
      <w:r>
        <w:rPr>
          <w:color w:val="0F1115"/>
          <w:sz w:val="30"/>
          <w:szCs w:val="30"/>
        </w:rPr>
        <w:t>Cannibalism-inspired biomimetic nanovesicles achieve boosted tumor targeting capacity via senescence</w:t>
      </w:r>
      <w:r>
        <w:rPr>
          <w:rFonts w:hint="eastAsia"/>
          <w:b w:val="0"/>
          <w:bCs w:val="0"/>
          <w:color w:val="0F1115"/>
          <w:sz w:val="30"/>
          <w:szCs w:val="30"/>
        </w:rPr>
        <w:t>-</w:t>
      </w:r>
      <w:r>
        <w:rPr>
          <w:color w:val="0F1115"/>
          <w:sz w:val="30"/>
          <w:szCs w:val="30"/>
        </w:rPr>
        <w:t>induced me</w:t>
      </w:r>
      <w:r>
        <w:rPr>
          <w:rFonts w:hint="eastAsia"/>
          <w:color w:val="0F1115"/>
          <w:sz w:val="30"/>
          <w:szCs w:val="30"/>
        </w:rPr>
        <w:t>m</w:t>
      </w:r>
      <w:r>
        <w:rPr>
          <w:color w:val="0F1115"/>
          <w:sz w:val="30"/>
          <w:szCs w:val="30"/>
        </w:rPr>
        <w:t>brane remodeling</w:t>
      </w:r>
    </w:p>
    <w:p>
      <w:pPr>
        <w:jc w:val="both"/>
        <w:rPr>
          <w:rFonts w:eastAsia="宋体"/>
          <w:lang w:eastAsia="zh-CN"/>
        </w:rPr>
      </w:pPr>
    </w:p>
    <w:p>
      <w:pPr>
        <w:jc w:val="both"/>
        <w:rPr>
          <w:rFonts w:eastAsia="宋体"/>
          <w:lang w:eastAsia="zh-CN"/>
        </w:rPr>
      </w:pPr>
      <w:r>
        <w:rPr>
          <w:rFonts w:eastAsia="宋体"/>
          <w:lang w:eastAsia="zh-CN"/>
        </w:rPr>
        <w:t>Liyuan Zheng</w:t>
      </w:r>
      <w:r>
        <w:rPr>
          <w:rFonts w:hint="eastAsia" w:eastAsia="宋体"/>
          <w:vertAlign w:val="superscript"/>
          <w:lang w:eastAsia="zh-CN"/>
        </w:rPr>
        <w:t>1</w:t>
      </w:r>
      <w:r>
        <w:rPr>
          <w:rFonts w:eastAsia="宋体"/>
          <w:vertAlign w:val="superscript"/>
          <w:lang w:eastAsia="zh-CN"/>
        </w:rPr>
        <w:t>, *</w:t>
      </w:r>
      <w:r>
        <w:rPr>
          <w:rFonts w:eastAsia="宋体"/>
          <w:lang w:eastAsia="zh-CN"/>
        </w:rPr>
        <w:t>, Shuxian Duan</w:t>
      </w:r>
      <w:r>
        <w:rPr>
          <w:rFonts w:hint="eastAsia" w:eastAsia="宋体"/>
          <w:vertAlign w:val="superscript"/>
          <w:lang w:eastAsia="zh-CN"/>
        </w:rPr>
        <w:t>1</w:t>
      </w:r>
      <w:r>
        <w:rPr>
          <w:rFonts w:eastAsia="宋体"/>
          <w:lang w:eastAsia="zh-CN"/>
        </w:rPr>
        <w:t>, Yingying Li</w:t>
      </w:r>
      <w:r>
        <w:rPr>
          <w:rFonts w:hint="eastAsia" w:eastAsia="宋体"/>
          <w:vertAlign w:val="superscript"/>
          <w:lang w:eastAsia="zh-CN"/>
        </w:rPr>
        <w:t>1</w:t>
      </w:r>
      <w:r>
        <w:rPr>
          <w:rFonts w:eastAsia="宋体"/>
          <w:lang w:eastAsia="zh-CN"/>
        </w:rPr>
        <w:t>, Hui Che</w:t>
      </w:r>
      <w:r>
        <w:rPr>
          <w:rFonts w:hint="eastAsia" w:eastAsia="宋体"/>
          <w:vertAlign w:val="superscript"/>
          <w:lang w:eastAsia="zh-CN"/>
        </w:rPr>
        <w:t>1</w:t>
      </w:r>
      <w:r>
        <w:rPr>
          <w:rFonts w:eastAsia="宋体"/>
          <w:lang w:eastAsia="zh-CN"/>
        </w:rPr>
        <w:t>, Yuran Liang</w:t>
      </w:r>
      <w:r>
        <w:rPr>
          <w:rFonts w:hint="eastAsia" w:eastAsia="宋体"/>
          <w:vertAlign w:val="superscript"/>
          <w:lang w:eastAsia="zh-CN"/>
        </w:rPr>
        <w:t>1</w:t>
      </w:r>
      <w:r>
        <w:rPr>
          <w:rFonts w:eastAsia="宋体"/>
          <w:lang w:eastAsia="zh-CN"/>
        </w:rPr>
        <w:t>, Xingding Zhang</w:t>
      </w:r>
      <w:r>
        <w:rPr>
          <w:rFonts w:hint="eastAsia" w:eastAsia="宋体"/>
          <w:vertAlign w:val="superscript"/>
          <w:lang w:eastAsia="zh-CN"/>
        </w:rPr>
        <w:t>2</w:t>
      </w:r>
      <w:r>
        <w:rPr>
          <w:rFonts w:eastAsia="宋体"/>
          <w:lang w:eastAsia="zh-CN"/>
        </w:rPr>
        <w:t>, Bihua Lin</w:t>
      </w:r>
      <w:r>
        <w:rPr>
          <w:rFonts w:hint="eastAsia" w:eastAsia="宋体"/>
          <w:vertAlign w:val="superscript"/>
          <w:lang w:eastAsia="zh-CN"/>
        </w:rPr>
        <w:t>1</w:t>
      </w:r>
      <w:r>
        <w:rPr>
          <w:rFonts w:eastAsia="宋体"/>
          <w:lang w:eastAsia="zh-CN"/>
        </w:rPr>
        <w:t>, Caihong Li</w:t>
      </w:r>
      <w:r>
        <w:rPr>
          <w:rFonts w:hint="eastAsia" w:eastAsia="宋体"/>
          <w:vertAlign w:val="superscript"/>
          <w:lang w:eastAsia="zh-CN"/>
        </w:rPr>
        <w:t>1</w:t>
      </w:r>
      <w:r>
        <w:rPr>
          <w:rFonts w:eastAsia="宋体"/>
          <w:lang w:eastAsia="zh-CN"/>
        </w:rPr>
        <w:t>, Junjie Deng</w:t>
      </w:r>
      <w:r>
        <w:rPr>
          <w:rFonts w:hint="eastAsia" w:eastAsia="宋体"/>
          <w:vertAlign w:val="superscript"/>
          <w:lang w:eastAsia="zh-CN"/>
        </w:rPr>
        <w:t>3</w:t>
      </w:r>
      <w:r>
        <w:rPr>
          <w:rFonts w:eastAsia="宋体"/>
          <w:lang w:eastAsia="zh-CN"/>
        </w:rPr>
        <w:t>, Xianxiu Qiu</w:t>
      </w:r>
      <w:r>
        <w:rPr>
          <w:rFonts w:hint="eastAsia" w:eastAsia="宋体"/>
          <w:vertAlign w:val="superscript"/>
          <w:lang w:eastAsia="zh-CN"/>
        </w:rPr>
        <w:t>1</w:t>
      </w:r>
      <w:r>
        <w:rPr>
          <w:rFonts w:eastAsia="宋体"/>
          <w:lang w:eastAsia="zh-CN"/>
        </w:rPr>
        <w:t>, Qunzhou Zhang</w:t>
      </w:r>
      <w:r>
        <w:rPr>
          <w:rFonts w:hint="eastAsia" w:eastAsia="宋体"/>
          <w:vertAlign w:val="superscript"/>
          <w:lang w:eastAsia="zh-CN"/>
        </w:rPr>
        <w:t>4</w:t>
      </w:r>
      <w:r>
        <w:rPr>
          <w:rFonts w:eastAsia="宋体"/>
          <w:lang w:eastAsia="zh-CN"/>
        </w:rPr>
        <w:t>, Lin Qi</w:t>
      </w:r>
      <w:r>
        <w:rPr>
          <w:rFonts w:hint="eastAsia" w:eastAsia="宋体"/>
          <w:vertAlign w:val="superscript"/>
          <w:lang w:eastAsia="zh-CN"/>
        </w:rPr>
        <w:t>5</w:t>
      </w:r>
      <w:r>
        <w:rPr>
          <w:rFonts w:eastAsia="宋体"/>
          <w:lang w:eastAsia="zh-CN"/>
        </w:rPr>
        <w:t>, Jincheng Zeng</w:t>
      </w:r>
      <w:r>
        <w:rPr>
          <w:rFonts w:hint="eastAsia" w:eastAsia="宋体"/>
          <w:vertAlign w:val="superscript"/>
          <w:lang w:eastAsia="zh-CN"/>
        </w:rPr>
        <w:t>1</w:t>
      </w:r>
      <w:r>
        <w:rPr>
          <w:rFonts w:eastAsia="宋体"/>
          <w:vertAlign w:val="superscript"/>
          <w:lang w:eastAsia="zh-CN"/>
        </w:rPr>
        <w:t>, *</w:t>
      </w:r>
    </w:p>
    <w:p>
      <w:pPr>
        <w:pStyle w:val="42"/>
        <w:rPr>
          <w:lang w:val="de-DE"/>
        </w:rPr>
      </w:pPr>
    </w:p>
    <w:p>
      <w:pPr>
        <w:pStyle w:val="48"/>
        <w:spacing w:line="360" w:lineRule="auto"/>
        <w:rPr>
          <w:rFonts w:eastAsiaTheme="minorEastAsia"/>
          <w:lang w:eastAsia="zh-CN"/>
        </w:rPr>
      </w:pPr>
      <w:r>
        <w:t>Supplementary Materials for this manuscript include the following: Figures. S1 to S</w:t>
      </w:r>
      <w:r>
        <w:rPr>
          <w:rFonts w:hint="eastAsia" w:eastAsiaTheme="minorEastAsia"/>
          <w:lang w:eastAsia="zh-CN"/>
        </w:rPr>
        <w:t>1</w:t>
      </w:r>
      <w:r>
        <w:rPr>
          <w:rFonts w:hint="eastAsia" w:eastAsiaTheme="minorEastAsia"/>
          <w:lang w:val="en-US" w:eastAsia="zh-CN"/>
        </w:rPr>
        <w:t>3</w:t>
      </w:r>
      <w:r>
        <w:t xml:space="preserve"> </w:t>
      </w:r>
    </w:p>
    <w:p>
      <w:pPr>
        <w:pStyle w:val="48"/>
        <w:spacing w:line="360" w:lineRule="auto"/>
      </w:pPr>
      <w:r>
        <w:t>Table S1</w:t>
      </w:r>
    </w:p>
    <w:p>
      <w:pPr>
        <w:pStyle w:val="48"/>
        <w:spacing w:line="360" w:lineRule="auto"/>
        <w:ind w:firstLine="1920" w:firstLineChars="800"/>
        <w:rPr>
          <w:rFonts w:eastAsiaTheme="minorEastAsia"/>
          <w:lang w:eastAsia="zh-CN"/>
        </w:rPr>
      </w:pPr>
    </w:p>
    <w:p>
      <w:pPr>
        <w:spacing w:line="360" w:lineRule="auto"/>
        <w:ind w:firstLine="3200" w:firstLineChars="1600"/>
        <w:jc w:val="both"/>
        <w:rPr>
          <w:rFonts w:ascii="Arial" w:hAnsi="Arial" w:cs="Arial" w:eastAsiaTheme="minorEastAsia"/>
          <w:sz w:val="20"/>
          <w:lang w:eastAsia="zh-CN"/>
        </w:rPr>
      </w:pPr>
      <w:r>
        <w:rPr>
          <w:rFonts w:ascii="Arial" w:hAnsi="Arial" w:cs="Arial" w:eastAsiaTheme="minorEastAsia"/>
          <w:sz w:val="20"/>
          <w:lang w:eastAsia="zh-CN"/>
        </w:rPr>
        <w:drawing>
          <wp:inline distT="0" distB="0" distL="0" distR="0">
            <wp:extent cx="1863090" cy="2230755"/>
            <wp:effectExtent l="0" t="0" r="0" b="0"/>
            <wp:docPr id="183450755"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0755" name="图形 1"/>
                    <pic:cNvPicPr>
                      <a:picLocks noChangeAspect="1"/>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1872232" cy="2242015"/>
                    </a:xfrm>
                    <a:prstGeom prst="rect">
                      <a:avLst/>
                    </a:prstGeom>
                  </pic:spPr>
                </pic:pic>
              </a:graphicData>
            </a:graphic>
          </wp:inline>
        </w:drawing>
      </w:r>
    </w:p>
    <w:p>
      <w:pPr>
        <w:spacing w:line="360" w:lineRule="auto"/>
        <w:jc w:val="both"/>
        <w:rPr>
          <w:rFonts w:hint="eastAsia" w:eastAsiaTheme="minorEastAsia"/>
          <w:b/>
          <w:bCs/>
          <w:color w:val="000000"/>
          <w:lang w:eastAsia="zh-CN"/>
        </w:rPr>
      </w:pPr>
      <w:r>
        <w:rPr>
          <w:rFonts w:eastAsiaTheme="minorEastAsia"/>
          <w:b/>
          <w:bCs/>
          <w:lang w:eastAsia="zh-CN"/>
        </w:rPr>
        <w:t>F</w:t>
      </w:r>
      <w:r>
        <w:rPr>
          <w:b/>
          <w:bCs/>
          <w:lang w:eastAsia="zh-CN"/>
        </w:rPr>
        <w:t xml:space="preserve">igure </w:t>
      </w:r>
      <w:r>
        <w:rPr>
          <w:rFonts w:eastAsiaTheme="minorEastAsia"/>
          <w:b/>
          <w:bCs/>
          <w:lang w:eastAsia="zh-CN"/>
        </w:rPr>
        <w:t>S</w:t>
      </w:r>
      <w:r>
        <w:rPr>
          <w:rFonts w:hint="eastAsia" w:eastAsiaTheme="minorEastAsia"/>
          <w:b/>
          <w:bCs/>
          <w:lang w:eastAsia="zh-CN"/>
        </w:rPr>
        <w:t>1.</w:t>
      </w:r>
      <w:r>
        <w:rPr>
          <w:b/>
          <w:bCs/>
          <w:lang w:eastAsia="zh-CN"/>
        </w:rPr>
        <w:t xml:space="preserve"> </w:t>
      </w:r>
      <w:r>
        <w:rPr>
          <w:b/>
          <w:bCs/>
          <w:color w:val="000000"/>
          <w:lang w:eastAsia="zh-CN"/>
        </w:rPr>
        <w:t xml:space="preserve">Statistical graph of the EdU assay in Figure 1 </w:t>
      </w:r>
      <w:r>
        <w:rPr>
          <w:rFonts w:hint="eastAsia" w:eastAsiaTheme="minorEastAsia"/>
          <w:b/>
          <w:bCs/>
          <w:color w:val="000000"/>
          <w:lang w:eastAsia="zh-CN"/>
        </w:rPr>
        <w:t>B.</w:t>
      </w:r>
    </w:p>
    <w:p>
      <w:pPr>
        <w:spacing w:line="360" w:lineRule="auto"/>
        <w:jc w:val="both"/>
        <w:rPr>
          <w:rFonts w:eastAsiaTheme="minorEastAsia"/>
          <w:color w:val="000000"/>
          <w:lang w:eastAsia="zh-CN"/>
        </w:rPr>
      </w:pPr>
    </w:p>
    <w:p>
      <w:pPr>
        <w:spacing w:line="360" w:lineRule="auto"/>
        <w:jc w:val="both"/>
        <w:rPr>
          <w:rFonts w:eastAsiaTheme="minorEastAsia"/>
          <w:color w:val="000000"/>
          <w:lang w:val="en-US" w:eastAsia="zh-CN"/>
        </w:rPr>
      </w:pPr>
    </w:p>
    <w:p>
      <w:pPr>
        <w:spacing w:line="360" w:lineRule="auto"/>
        <w:jc w:val="both"/>
        <w:rPr>
          <w:rFonts w:eastAsiaTheme="minorEastAsia"/>
          <w:color w:val="000000"/>
          <w:lang w:eastAsia="zh-CN"/>
        </w:rPr>
      </w:pPr>
    </w:p>
    <w:p>
      <w:pPr>
        <w:spacing w:line="360" w:lineRule="auto"/>
        <w:jc w:val="both"/>
        <w:rPr>
          <w:rFonts w:eastAsiaTheme="minorEastAsia"/>
          <w:color w:val="000000"/>
          <w:lang w:eastAsia="zh-CN"/>
        </w:rPr>
      </w:pPr>
    </w:p>
    <w:p>
      <w:pPr>
        <w:spacing w:line="360" w:lineRule="auto"/>
        <w:jc w:val="both"/>
        <w:rPr>
          <w:rFonts w:eastAsiaTheme="minorEastAsia"/>
          <w:color w:val="000000"/>
          <w:lang w:eastAsia="zh-CN"/>
        </w:rPr>
      </w:pPr>
    </w:p>
    <w:p>
      <w:pPr>
        <w:spacing w:line="360" w:lineRule="auto"/>
        <w:jc w:val="both"/>
        <w:rPr>
          <w:rFonts w:eastAsiaTheme="minorEastAsia"/>
          <w:color w:val="000000"/>
          <w:lang w:eastAsia="zh-CN"/>
        </w:rPr>
      </w:pPr>
    </w:p>
    <w:p>
      <w:pPr>
        <w:spacing w:line="360" w:lineRule="auto"/>
        <w:jc w:val="both"/>
        <w:rPr>
          <w:rFonts w:eastAsiaTheme="minorEastAsia"/>
          <w:color w:val="000000"/>
          <w:lang w:eastAsia="zh-CN"/>
        </w:rPr>
      </w:pPr>
    </w:p>
    <w:p>
      <w:pPr>
        <w:spacing w:line="360" w:lineRule="auto"/>
        <w:jc w:val="both"/>
        <w:rPr>
          <w:rFonts w:eastAsiaTheme="minorEastAsia"/>
          <w:color w:val="000000"/>
          <w:lang w:eastAsia="zh-CN"/>
        </w:rPr>
      </w:pPr>
    </w:p>
    <w:p>
      <w:pPr>
        <w:spacing w:line="360" w:lineRule="auto"/>
        <w:jc w:val="both"/>
        <w:rPr>
          <w:rFonts w:eastAsiaTheme="minorEastAsia"/>
          <w:color w:val="000000"/>
          <w:lang w:eastAsia="zh-CN"/>
        </w:rPr>
      </w:pPr>
    </w:p>
    <w:p>
      <w:pPr>
        <w:spacing w:line="360" w:lineRule="auto"/>
        <w:jc w:val="both"/>
        <w:rPr>
          <w:rFonts w:eastAsiaTheme="minorEastAsia"/>
          <w:color w:val="000000"/>
          <w:lang w:eastAsia="zh-CN"/>
        </w:rPr>
      </w:pPr>
    </w:p>
    <w:p>
      <w:pPr>
        <w:spacing w:line="360" w:lineRule="auto"/>
        <w:jc w:val="both"/>
        <w:rPr>
          <w:rFonts w:eastAsiaTheme="minorEastAsia"/>
          <w:color w:val="000000"/>
          <w:lang w:eastAsia="zh-CN"/>
        </w:rPr>
      </w:pPr>
    </w:p>
    <w:p>
      <w:pPr>
        <w:spacing w:line="360" w:lineRule="auto"/>
        <w:jc w:val="both"/>
        <w:rPr>
          <w:rFonts w:eastAsiaTheme="minorEastAsia"/>
          <w:color w:val="000000"/>
          <w:lang w:eastAsia="zh-CN"/>
        </w:rPr>
      </w:pPr>
    </w:p>
    <w:p>
      <w:pPr>
        <w:spacing w:line="360" w:lineRule="auto"/>
        <w:jc w:val="both"/>
        <w:rPr>
          <w:rFonts w:eastAsiaTheme="minorEastAsia"/>
          <w:color w:val="000000"/>
          <w:lang w:eastAsia="zh-CN"/>
        </w:rPr>
      </w:pPr>
    </w:p>
    <w:p>
      <w:pPr>
        <w:spacing w:line="360" w:lineRule="auto"/>
        <w:jc w:val="both"/>
        <w:rPr>
          <w:rFonts w:eastAsiaTheme="minorEastAsia"/>
          <w:color w:val="000000"/>
          <w:lang w:eastAsia="zh-CN"/>
        </w:rPr>
      </w:pPr>
    </w:p>
    <w:p>
      <w:pPr>
        <w:spacing w:line="360" w:lineRule="auto"/>
        <w:jc w:val="both"/>
        <w:rPr>
          <w:rFonts w:eastAsiaTheme="minorEastAsia"/>
          <w:color w:val="000000"/>
          <w:lang w:eastAsia="zh-CN"/>
        </w:rPr>
      </w:pPr>
    </w:p>
    <w:p>
      <w:pPr>
        <w:spacing w:line="360" w:lineRule="auto"/>
        <w:ind w:firstLine="3120" w:firstLineChars="1300"/>
        <w:jc w:val="both"/>
        <w:rPr>
          <w:rFonts w:eastAsiaTheme="minorEastAsia"/>
          <w:lang w:val="en-US" w:eastAsia="zh-CN"/>
        </w:rPr>
      </w:pPr>
      <w:r>
        <w:rPr>
          <w:rFonts w:hint="eastAsia" w:eastAsiaTheme="minorEastAsia"/>
          <w:lang w:val="en-US" w:eastAsia="zh-CN"/>
        </w:rPr>
        <w:drawing>
          <wp:inline distT="0" distB="0" distL="0" distR="0">
            <wp:extent cx="2016760" cy="3044825"/>
            <wp:effectExtent l="0" t="0" r="2540" b="3175"/>
            <wp:docPr id="1740332776" name="图形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32776" name="图形 14"/>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028341" cy="3062186"/>
                    </a:xfrm>
                    <a:prstGeom prst="rect">
                      <a:avLst/>
                    </a:prstGeom>
                  </pic:spPr>
                </pic:pic>
              </a:graphicData>
            </a:graphic>
          </wp:inline>
        </w:drawing>
      </w:r>
    </w:p>
    <w:p>
      <w:pPr>
        <w:spacing w:line="360" w:lineRule="auto"/>
        <w:jc w:val="both"/>
        <w:rPr>
          <w:rFonts w:eastAsiaTheme="minorEastAsia"/>
          <w:b/>
          <w:bCs/>
          <w:lang w:eastAsia="zh-CN"/>
        </w:rPr>
      </w:pPr>
      <w:r>
        <w:rPr>
          <w:b/>
          <w:bCs/>
          <w:lang w:eastAsia="zh-CN"/>
        </w:rPr>
        <w:t xml:space="preserve">Figure </w:t>
      </w:r>
      <w:r>
        <w:rPr>
          <w:rFonts w:eastAsiaTheme="minorEastAsia"/>
          <w:b/>
          <w:bCs/>
          <w:lang w:eastAsia="zh-CN"/>
        </w:rPr>
        <w:t>S</w:t>
      </w:r>
      <w:r>
        <w:rPr>
          <w:rFonts w:hint="eastAsia" w:eastAsiaTheme="minorEastAsia"/>
          <w:b/>
          <w:bCs/>
          <w:lang w:eastAsia="zh-CN"/>
        </w:rPr>
        <w:t>2</w:t>
      </w:r>
      <w:r>
        <w:rPr>
          <w:b/>
          <w:bCs/>
        </w:rPr>
        <w:t>.</w:t>
      </w:r>
      <w:r>
        <w:rPr>
          <w:b/>
          <w:bCs/>
          <w:lang w:eastAsia="zh-CN"/>
        </w:rPr>
        <w:t xml:space="preserve"> In vivo fluorescence images of mice bearing MDA-MB-231 tumors</w:t>
      </w:r>
      <w:r>
        <w:rPr>
          <w:rFonts w:hint="eastAsia" w:eastAsiaTheme="minorEastAsia"/>
          <w:b/>
          <w:bCs/>
          <w:lang w:eastAsia="zh-CN"/>
        </w:rPr>
        <w:t xml:space="preserve"> </w:t>
      </w:r>
      <w:r>
        <w:rPr>
          <w:b/>
          <w:bCs/>
          <w:lang w:eastAsia="zh-CN"/>
        </w:rPr>
        <w:t>48 h post-injection with STCM-NVs or HTCM-NVs.</w:t>
      </w: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pStyle w:val="60"/>
        <w:ind w:firstLine="1561" w:firstLineChars="650"/>
        <w:rPr>
          <w:rFonts w:ascii="Arial" w:hAnsi="Arial" w:cs="Arial"/>
          <w:b/>
          <w:bCs/>
          <w:sz w:val="20"/>
          <w:lang w:eastAsia="zh-CN"/>
        </w:rPr>
      </w:pPr>
      <w:r>
        <w:rPr>
          <w:rFonts w:hint="eastAsia"/>
          <w:b/>
          <w:bCs/>
          <w:lang w:eastAsia="zh-CN"/>
        </w:rPr>
        <w:drawing>
          <wp:inline distT="0" distB="0" distL="0" distR="0">
            <wp:extent cx="4130040" cy="2404745"/>
            <wp:effectExtent l="0" t="0" r="3810" b="0"/>
            <wp:docPr id="1105879349" name="图形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79349" name="图形 15"/>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146673" cy="2414321"/>
                    </a:xfrm>
                    <a:prstGeom prst="rect">
                      <a:avLst/>
                    </a:prstGeom>
                  </pic:spPr>
                </pic:pic>
              </a:graphicData>
            </a:graphic>
          </wp:inline>
        </w:drawing>
      </w:r>
    </w:p>
    <w:p>
      <w:pPr>
        <w:pStyle w:val="60"/>
        <w:rPr>
          <w:b/>
          <w:bCs/>
          <w:szCs w:val="24"/>
          <w:lang w:eastAsia="zh-CN"/>
        </w:rPr>
      </w:pPr>
      <w:r>
        <w:rPr>
          <w:b/>
          <w:bCs/>
          <w:szCs w:val="24"/>
          <w:lang w:eastAsia="zh-CN"/>
        </w:rPr>
        <w:t>Figure S</w:t>
      </w:r>
      <w:r>
        <w:rPr>
          <w:rFonts w:hint="eastAsia"/>
          <w:b/>
          <w:bCs/>
          <w:szCs w:val="24"/>
          <w:lang w:eastAsia="zh-CN"/>
        </w:rPr>
        <w:t>3</w:t>
      </w:r>
      <w:r>
        <w:rPr>
          <w:b/>
          <w:bCs/>
          <w:szCs w:val="24"/>
          <w:lang w:eastAsia="zh-CN"/>
        </w:rPr>
        <w:t>.  The IHC score of (A) Ki67 and (B) F4/80.</w:t>
      </w:r>
    </w:p>
    <w:p>
      <w:pPr>
        <w:pStyle w:val="60"/>
        <w:rPr>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rPr>
          <w:rFonts w:ascii="Arial" w:hAnsi="Arial" w:cs="Arial"/>
          <w:b/>
          <w:bCs/>
          <w:szCs w:val="24"/>
          <w:lang w:eastAsia="zh-CN"/>
        </w:rPr>
      </w:pPr>
    </w:p>
    <w:p>
      <w:pPr>
        <w:pStyle w:val="60"/>
        <w:ind w:firstLine="3000" w:firstLineChars="1250"/>
        <w:rPr>
          <w:rFonts w:ascii="Arial" w:hAnsi="Arial" w:cs="Arial"/>
          <w:szCs w:val="24"/>
          <w:lang w:eastAsia="zh-CN"/>
        </w:rPr>
      </w:pPr>
      <w:r>
        <w:rPr>
          <w:rFonts w:hint="eastAsia" w:ascii="Arial" w:hAnsi="Arial" w:cs="Arial"/>
          <w:szCs w:val="24"/>
          <w:lang w:eastAsia="zh-CN"/>
        </w:rPr>
        <w:drawing>
          <wp:inline distT="0" distB="0" distL="0" distR="0">
            <wp:extent cx="3100705" cy="1965960"/>
            <wp:effectExtent l="0" t="0" r="0" b="0"/>
            <wp:docPr id="428510213" name="图形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10213" name="图形 16"/>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108061" cy="1970973"/>
                    </a:xfrm>
                    <a:prstGeom prst="rect">
                      <a:avLst/>
                    </a:prstGeom>
                  </pic:spPr>
                </pic:pic>
              </a:graphicData>
            </a:graphic>
          </wp:inline>
        </w:drawing>
      </w:r>
    </w:p>
    <w:p>
      <w:pPr>
        <w:pStyle w:val="60"/>
        <w:ind w:firstLine="3480" w:firstLineChars="1450"/>
        <w:rPr>
          <w:rFonts w:ascii="Arial" w:hAnsi="Arial" w:cs="Arial"/>
          <w:szCs w:val="24"/>
          <w:lang w:eastAsia="zh-CN"/>
        </w:rPr>
      </w:pPr>
    </w:p>
    <w:p>
      <w:pPr>
        <w:spacing w:line="360" w:lineRule="auto"/>
        <w:jc w:val="both"/>
        <w:rPr>
          <w:rFonts w:eastAsia="宋体"/>
          <w:b/>
          <w:bCs/>
          <w:color w:val="000000"/>
          <w:lang w:eastAsia="zh-CN"/>
        </w:rPr>
      </w:pPr>
      <w:r>
        <w:rPr>
          <w:b/>
          <w:bCs/>
          <w:lang w:eastAsia="zh-CN"/>
        </w:rPr>
        <w:t xml:space="preserve">Figure </w:t>
      </w:r>
      <w:r>
        <w:rPr>
          <w:rFonts w:eastAsiaTheme="minorEastAsia"/>
          <w:b/>
          <w:bCs/>
          <w:lang w:eastAsia="zh-CN"/>
        </w:rPr>
        <w:t>S</w:t>
      </w:r>
      <w:r>
        <w:rPr>
          <w:rFonts w:hint="eastAsia" w:eastAsiaTheme="minorEastAsia"/>
          <w:b/>
          <w:bCs/>
          <w:lang w:eastAsia="zh-CN"/>
        </w:rPr>
        <w:t>4</w:t>
      </w:r>
      <w:r>
        <w:rPr>
          <w:b/>
          <w:bCs/>
          <w:lang w:eastAsia="zh-CN"/>
        </w:rPr>
        <w:t xml:space="preserve">. </w:t>
      </w:r>
      <w:r>
        <w:rPr>
          <w:rFonts w:eastAsia="宋体"/>
          <w:b/>
          <w:bCs/>
          <w:color w:val="000000"/>
          <w:lang w:eastAsia="zh-CN"/>
        </w:rPr>
        <w:t>Knock down efficiency of CDH1-shRNAs was analyzed by western.</w:t>
      </w: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ind w:firstLine="1681" w:firstLineChars="700"/>
        <w:jc w:val="both"/>
        <w:rPr>
          <w:rFonts w:ascii="Arial" w:hAnsi="Arial" w:cs="Arial" w:eastAsiaTheme="minorEastAsia"/>
          <w:b/>
          <w:bCs/>
          <w:sz w:val="20"/>
          <w:lang w:val="en-US" w:eastAsia="zh-CN"/>
        </w:rPr>
      </w:pPr>
      <w:r>
        <w:rPr>
          <w:rFonts w:eastAsiaTheme="minorEastAsia"/>
          <w:b/>
          <w:bCs/>
          <w:lang w:val="en-US" w:eastAsia="zh-CN"/>
        </w:rPr>
        <w:pict>
          <v:shape id="_x0000_s2050" o:spid="_x0000_s2050" o:spt="202" type="#_x0000_t202" style="position:absolute;left:0pt;margin-left:170.1pt;margin-top:-4.3pt;height:24pt;width:117pt;z-index:251659264;mso-width-relative:page;mso-height-relative:page;" stroked="f" coordsize="21600,21600">
            <v:path/>
            <v:fill focussize="0,0"/>
            <v:stroke on="f" joinstyle="miter"/>
            <v:imagedata o:title=""/>
            <o:lock v:ext="edit"/>
            <v:textbox>
              <w:txbxContent>
                <w:p>
                  <w:pPr>
                    <w:rPr>
                      <w:rFonts w:ascii="Arial" w:hAnsi="Arial" w:cs="Arial" w:eastAsiaTheme="minorEastAsia"/>
                      <w:b/>
                      <w:bCs/>
                      <w:i/>
                      <w:iCs/>
                      <w:lang w:eastAsia="zh-CN"/>
                    </w:rPr>
                  </w:pPr>
                  <w:r>
                    <w:rPr>
                      <w:rFonts w:ascii="Arial" w:hAnsi="Arial" w:cs="Arial" w:eastAsiaTheme="minorEastAsia"/>
                      <w:b/>
                      <w:bCs/>
                      <w:lang w:eastAsia="zh-CN"/>
                    </w:rPr>
                    <w:t>STCM-NVs</w:t>
                  </w:r>
                  <w:r>
                    <w:rPr>
                      <w:rFonts w:ascii="Arial" w:hAnsi="Arial" w:cs="Arial" w:eastAsiaTheme="minorEastAsia"/>
                      <w:b/>
                      <w:bCs/>
                      <w:vertAlign w:val="superscript"/>
                      <w:lang w:eastAsia="zh-CN"/>
                    </w:rPr>
                    <w:t>sh</w:t>
                  </w:r>
                  <w:r>
                    <w:rPr>
                      <w:rFonts w:ascii="Arial" w:hAnsi="Arial" w:cs="Arial" w:eastAsiaTheme="minorEastAsia"/>
                      <w:b/>
                      <w:bCs/>
                      <w:i/>
                      <w:iCs/>
                      <w:vertAlign w:val="superscript"/>
                      <w:lang w:eastAsia="zh-CN"/>
                    </w:rPr>
                    <w:t>CDH1</w:t>
                  </w:r>
                </w:p>
              </w:txbxContent>
            </v:textbox>
          </v:shape>
        </w:pict>
      </w:r>
      <w:r>
        <w:rPr>
          <w:rFonts w:hint="eastAsia" w:eastAsiaTheme="minorEastAsia"/>
          <w:b/>
          <w:bCs/>
          <w:lang w:val="en-US" w:eastAsia="zh-CN"/>
        </w:rPr>
        <w:drawing>
          <wp:inline distT="0" distB="0" distL="0" distR="0">
            <wp:extent cx="3239770" cy="1869440"/>
            <wp:effectExtent l="0" t="0" r="0" b="0"/>
            <wp:docPr id="824007599" name="图形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07599" name="图形 17"/>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260319" cy="1881728"/>
                    </a:xfrm>
                    <a:prstGeom prst="rect">
                      <a:avLst/>
                    </a:prstGeom>
                  </pic:spPr>
                </pic:pic>
              </a:graphicData>
            </a:graphic>
          </wp:inline>
        </w:drawing>
      </w:r>
    </w:p>
    <w:p>
      <w:pPr>
        <w:widowControl w:val="0"/>
        <w:spacing w:line="360" w:lineRule="auto"/>
        <w:rPr>
          <w:rFonts w:eastAsiaTheme="minorEastAsia"/>
          <w:b/>
          <w:bCs/>
          <w:lang w:eastAsia="zh-CN"/>
        </w:rPr>
      </w:pPr>
      <w:r>
        <w:rPr>
          <w:b/>
          <w:bCs/>
          <w:lang w:eastAsia="zh-CN"/>
        </w:rPr>
        <w:t xml:space="preserve">Figure </w:t>
      </w:r>
      <w:r>
        <w:rPr>
          <w:rFonts w:eastAsiaTheme="minorEastAsia"/>
          <w:b/>
          <w:bCs/>
          <w:lang w:eastAsia="zh-CN"/>
        </w:rPr>
        <w:t>S</w:t>
      </w:r>
      <w:r>
        <w:rPr>
          <w:rFonts w:hint="eastAsia" w:eastAsiaTheme="minorEastAsia"/>
          <w:b/>
          <w:bCs/>
          <w:lang w:eastAsia="zh-CN"/>
        </w:rPr>
        <w:t>5</w:t>
      </w:r>
      <w:r>
        <w:rPr>
          <w:b/>
          <w:bCs/>
          <w:lang w:eastAsia="zh-CN"/>
        </w:rPr>
        <w:t>.</w:t>
      </w:r>
      <w:r>
        <w:rPr>
          <w:b/>
          <w:bCs/>
        </w:rPr>
        <w:t xml:space="preserve"> </w:t>
      </w:r>
      <w:r>
        <w:rPr>
          <w:b/>
          <w:bCs/>
          <w:lang w:eastAsia="zh-CN"/>
        </w:rPr>
        <w:t>The homotypic adhesion of HTCM-NVs</w:t>
      </w:r>
      <w:r>
        <w:rPr>
          <w:b/>
          <w:bCs/>
          <w:vertAlign w:val="superscript"/>
          <w:lang w:eastAsia="zh-CN"/>
        </w:rPr>
        <w:t>sh</w:t>
      </w:r>
      <w:r>
        <w:rPr>
          <w:b/>
          <w:bCs/>
          <w:i/>
          <w:iCs/>
          <w:vertAlign w:val="superscript"/>
          <w:lang w:eastAsia="zh-CN"/>
        </w:rPr>
        <w:t>CDH1</w:t>
      </w:r>
      <w:r>
        <w:rPr>
          <w:b/>
          <w:bCs/>
          <w:vertAlign w:val="superscript"/>
          <w:lang w:eastAsia="zh-CN"/>
        </w:rPr>
        <w:t xml:space="preserve"> </w:t>
      </w:r>
      <w:r>
        <w:rPr>
          <w:b/>
          <w:bCs/>
          <w:lang w:eastAsia="zh-CN"/>
        </w:rPr>
        <w:t>was measured with or</w:t>
      </w:r>
    </w:p>
    <w:p>
      <w:pPr>
        <w:widowControl w:val="0"/>
        <w:spacing w:line="360" w:lineRule="auto"/>
        <w:rPr>
          <w:rFonts w:eastAsiaTheme="minorEastAsia"/>
          <w:b/>
          <w:bCs/>
          <w:lang w:eastAsia="zh-CN"/>
        </w:rPr>
      </w:pPr>
      <w:r>
        <w:rPr>
          <w:b/>
          <w:bCs/>
          <w:lang w:eastAsia="zh-CN"/>
        </w:rPr>
        <w:t xml:space="preserve"> without flow shear stress treatme</w:t>
      </w:r>
      <w:r>
        <w:rPr>
          <w:rFonts w:hint="eastAsia" w:eastAsiaTheme="minorEastAsia"/>
          <w:b/>
          <w:bCs/>
          <w:lang w:eastAsia="zh-CN"/>
        </w:rPr>
        <w:t>nt.</w:t>
      </w: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rPr>
          <w:rFonts w:eastAsiaTheme="minorEastAsia"/>
          <w:b/>
          <w:bCs/>
          <w:lang w:eastAsia="zh-CN"/>
        </w:rPr>
      </w:pPr>
    </w:p>
    <w:p>
      <w:pPr>
        <w:widowControl w:val="0"/>
        <w:spacing w:line="360" w:lineRule="auto"/>
        <w:ind w:firstLine="1321" w:firstLineChars="550"/>
        <w:rPr>
          <w:rFonts w:eastAsiaTheme="minorEastAsia"/>
          <w:b/>
          <w:bCs/>
          <w:lang w:val="en-US" w:eastAsia="zh-CN"/>
        </w:rPr>
      </w:pPr>
      <w:r>
        <w:rPr>
          <w:rFonts w:eastAsiaTheme="minorEastAsia"/>
          <w:b/>
          <w:bCs/>
          <w:lang w:val="en-US" w:eastAsia="zh-CN"/>
        </w:rPr>
        <w:pict>
          <v:shape id="_x0000_s2052" o:spid="_x0000_s2052" o:spt="202" type="#_x0000_t202" style="position:absolute;left:0pt;margin-left:96.4pt;margin-top:0.55pt;height:23.25pt;width:90.75pt;z-index:251661312;mso-width-relative:page;mso-height-relative:page;" stroked="f" coordsize="21600,21600">
            <v:path/>
            <v:fill focussize="0,0"/>
            <v:stroke on="f" joinstyle="miter"/>
            <v:imagedata o:title=""/>
            <o:lock v:ext="edit"/>
            <v:textbox>
              <w:txbxContent>
                <w:p>
                  <w:pPr>
                    <w:rPr>
                      <w:rFonts w:ascii="Arial" w:hAnsi="Arial" w:cs="Arial" w:eastAsiaTheme="minorEastAsia"/>
                      <w:b/>
                      <w:bCs/>
                      <w:i/>
                      <w:iCs/>
                      <w:lang w:eastAsia="zh-CN"/>
                    </w:rPr>
                  </w:pPr>
                  <w:r>
                    <w:rPr>
                      <w:rFonts w:hint="eastAsia" w:ascii="Arial" w:hAnsi="Arial" w:cs="Arial" w:eastAsiaTheme="minorEastAsia"/>
                      <w:b/>
                      <w:bCs/>
                      <w:lang w:eastAsia="zh-CN"/>
                    </w:rPr>
                    <w:t>H</w:t>
                  </w:r>
                  <w:r>
                    <w:rPr>
                      <w:rFonts w:ascii="Arial" w:hAnsi="Arial" w:cs="Arial" w:eastAsiaTheme="minorEastAsia"/>
                      <w:b/>
                      <w:bCs/>
                      <w:lang w:eastAsia="zh-CN"/>
                    </w:rPr>
                    <w:t>TCM-NVs</w:t>
                  </w:r>
                </w:p>
              </w:txbxContent>
            </v:textbox>
          </v:shape>
        </w:pict>
      </w:r>
      <w:r>
        <w:rPr>
          <w:rFonts w:eastAsiaTheme="minorEastAsia"/>
          <w:b/>
          <w:bCs/>
          <w:lang w:val="en-US" w:eastAsia="zh-CN"/>
        </w:rPr>
        <w:pict>
          <v:shape id="_x0000_s2051" o:spid="_x0000_s2051" o:spt="202" type="#_x0000_t202" style="position:absolute;left:0pt;margin-left:220.15pt;margin-top:-0.35pt;height:24pt;width:131.25pt;z-index:251660288;mso-width-relative:page;mso-height-relative:page;" stroked="f" coordsize="21600,21600">
            <v:path/>
            <v:fill focussize="0,0"/>
            <v:stroke on="f" joinstyle="miter"/>
            <v:imagedata o:title=""/>
            <o:lock v:ext="edit"/>
            <v:textbox>
              <w:txbxContent>
                <w:p>
                  <w:pPr>
                    <w:rPr>
                      <w:rFonts w:ascii="Arial" w:hAnsi="Arial" w:cs="Arial" w:eastAsiaTheme="minorEastAsia"/>
                      <w:b/>
                      <w:bCs/>
                      <w:i/>
                      <w:iCs/>
                      <w:lang w:eastAsia="zh-CN"/>
                    </w:rPr>
                  </w:pPr>
                  <w:r>
                    <w:rPr>
                      <w:rFonts w:hint="eastAsia" w:ascii="Arial" w:hAnsi="Arial" w:cs="Arial" w:eastAsiaTheme="minorEastAsia"/>
                      <w:b/>
                      <w:bCs/>
                      <w:lang w:eastAsia="zh-CN"/>
                    </w:rPr>
                    <w:t>H</w:t>
                  </w:r>
                  <w:r>
                    <w:rPr>
                      <w:rFonts w:ascii="Arial" w:hAnsi="Arial" w:cs="Arial" w:eastAsiaTheme="minorEastAsia"/>
                      <w:b/>
                      <w:bCs/>
                      <w:lang w:eastAsia="zh-CN"/>
                    </w:rPr>
                    <w:t>TCM-NVs</w:t>
                  </w:r>
                  <w:r>
                    <w:rPr>
                      <w:rFonts w:ascii="Arial" w:hAnsi="Arial" w:cs="Arial" w:eastAsiaTheme="minorEastAsia"/>
                      <w:b/>
                      <w:bCs/>
                      <w:vertAlign w:val="superscript"/>
                      <w:lang w:eastAsia="zh-CN"/>
                    </w:rPr>
                    <w:t>sh</w:t>
                  </w:r>
                  <w:r>
                    <w:rPr>
                      <w:rFonts w:hint="eastAsia" w:ascii="Arial" w:hAnsi="Arial" w:cs="Arial" w:eastAsiaTheme="minorEastAsia"/>
                      <w:b/>
                      <w:bCs/>
                      <w:i/>
                      <w:iCs/>
                      <w:vertAlign w:val="superscript"/>
                      <w:lang w:eastAsia="zh-CN"/>
                    </w:rPr>
                    <w:t>FN</w:t>
                  </w:r>
                  <w:r>
                    <w:rPr>
                      <w:rFonts w:ascii="Arial" w:hAnsi="Arial" w:cs="Arial" w:eastAsiaTheme="minorEastAsia"/>
                      <w:b/>
                      <w:bCs/>
                      <w:i/>
                      <w:iCs/>
                      <w:vertAlign w:val="superscript"/>
                      <w:lang w:eastAsia="zh-CN"/>
                    </w:rPr>
                    <w:t>1</w:t>
                  </w:r>
                </w:p>
              </w:txbxContent>
            </v:textbox>
          </v:shape>
        </w:pict>
      </w:r>
      <w:r>
        <w:rPr>
          <w:rFonts w:hint="eastAsia" w:eastAsiaTheme="minorEastAsia"/>
          <w:b/>
          <w:bCs/>
          <w:lang w:val="en-US" w:eastAsia="zh-CN"/>
        </w:rPr>
        <w:drawing>
          <wp:inline distT="0" distB="0" distL="0" distR="0">
            <wp:extent cx="3996690" cy="1916430"/>
            <wp:effectExtent l="0" t="0" r="0" b="7620"/>
            <wp:docPr id="229996049" name="图形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96049" name="图形 18"/>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005785" cy="1920764"/>
                    </a:xfrm>
                    <a:prstGeom prst="rect">
                      <a:avLst/>
                    </a:prstGeom>
                  </pic:spPr>
                </pic:pic>
              </a:graphicData>
            </a:graphic>
          </wp:inline>
        </w:drawing>
      </w:r>
      <w:bookmarkStart w:id="19" w:name="_GoBack"/>
      <w:bookmarkEnd w:id="19"/>
    </w:p>
    <w:p>
      <w:pPr>
        <w:spacing w:line="360" w:lineRule="auto"/>
        <w:jc w:val="both"/>
        <w:rPr>
          <w:rFonts w:eastAsia="宋体"/>
          <w:b/>
          <w:bCs/>
          <w:color w:val="000000"/>
          <w:lang w:eastAsia="zh-CN"/>
        </w:rPr>
      </w:pPr>
      <w:r>
        <w:rPr>
          <w:b/>
          <w:bCs/>
          <w:lang w:eastAsia="zh-CN"/>
        </w:rPr>
        <w:t xml:space="preserve">Figure </w:t>
      </w:r>
      <w:r>
        <w:rPr>
          <w:rFonts w:eastAsiaTheme="minorEastAsia"/>
          <w:b/>
          <w:bCs/>
          <w:lang w:eastAsia="zh-CN"/>
        </w:rPr>
        <w:t>S</w:t>
      </w:r>
      <w:r>
        <w:rPr>
          <w:rFonts w:hint="eastAsia" w:eastAsiaTheme="minorEastAsia"/>
          <w:b/>
          <w:bCs/>
          <w:lang w:eastAsia="zh-CN"/>
        </w:rPr>
        <w:t>6</w:t>
      </w:r>
      <w:r>
        <w:rPr>
          <w:b/>
          <w:bCs/>
          <w:lang w:eastAsia="zh-CN"/>
        </w:rPr>
        <w:t xml:space="preserve">. Dil labeled HTCM-NVs and </w:t>
      </w:r>
      <w:r>
        <w:rPr>
          <w:rFonts w:eastAsia="宋体"/>
          <w:b/>
          <w:bCs/>
          <w:color w:val="000000"/>
          <w:lang w:eastAsia="zh-CN"/>
        </w:rPr>
        <w:t>HTCM-NVs</w:t>
      </w:r>
      <w:r>
        <w:rPr>
          <w:rFonts w:eastAsia="宋体"/>
          <w:b/>
          <w:bCs/>
          <w:color w:val="000000"/>
          <w:vertAlign w:val="superscript"/>
          <w:lang w:eastAsia="zh-CN"/>
        </w:rPr>
        <w:t>sh</w:t>
      </w:r>
      <w:r>
        <w:rPr>
          <w:rFonts w:eastAsia="宋体"/>
          <w:b/>
          <w:bCs/>
          <w:i/>
          <w:iCs/>
          <w:color w:val="000000"/>
          <w:vertAlign w:val="superscript"/>
          <w:lang w:eastAsia="zh-CN"/>
        </w:rPr>
        <w:t>FN1</w:t>
      </w:r>
      <w:r>
        <w:rPr>
          <w:rFonts w:eastAsia="宋体"/>
          <w:b/>
          <w:bCs/>
          <w:color w:val="000000"/>
          <w:vertAlign w:val="superscript"/>
          <w:lang w:eastAsia="zh-CN"/>
        </w:rPr>
        <w:t xml:space="preserve"> </w:t>
      </w:r>
      <w:r>
        <w:rPr>
          <w:rFonts w:eastAsia="宋体"/>
          <w:b/>
          <w:bCs/>
          <w:color w:val="000000"/>
          <w:lang w:eastAsia="zh-CN"/>
        </w:rPr>
        <w:t>bound to the MDA-MB-231 cells after incubation for 2 h.</w:t>
      </w: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jc w:val="both"/>
        <w:rPr>
          <w:rFonts w:eastAsia="宋体"/>
          <w:b/>
          <w:bCs/>
          <w:color w:val="000000"/>
          <w:lang w:eastAsia="zh-CN"/>
        </w:rPr>
      </w:pPr>
    </w:p>
    <w:p>
      <w:pPr>
        <w:spacing w:line="360" w:lineRule="auto"/>
        <w:ind w:firstLine="2041" w:firstLineChars="850"/>
        <w:jc w:val="both"/>
        <w:rPr>
          <w:rFonts w:eastAsiaTheme="minorEastAsia"/>
          <w:b/>
          <w:bCs/>
          <w:lang w:val="en-US" w:eastAsia="zh-CN"/>
        </w:rPr>
      </w:pPr>
      <w:r>
        <w:rPr>
          <w:rFonts w:eastAsiaTheme="minorEastAsia"/>
          <w:b/>
          <w:bCs/>
          <w:color w:val="000000"/>
          <w:lang w:eastAsia="zh-CN"/>
        </w:rPr>
        <w:pict>
          <v:shape id="_x0000_s2056" o:spid="_x0000_s2056" o:spt="202" type="#_x0000_t202" style="position:absolute;left:0pt;margin-left:132.9pt;margin-top:-3.35pt;height:22.5pt;width:86.75pt;z-index:251664384;mso-width-relative:page;mso-height-relative:page;" stroked="f" coordsize="21600,21600">
            <v:path/>
            <v:fill focussize="0,0"/>
            <v:stroke on="f" joinstyle="miter"/>
            <v:imagedata o:title=""/>
            <o:lock v:ext="edit"/>
            <v:textbox>
              <w:txbxContent>
                <w:p>
                  <w:pPr>
                    <w:rPr>
                      <w:rFonts w:ascii="Arial" w:hAnsi="Arial" w:cs="Arial" w:eastAsiaTheme="minorEastAsia"/>
                      <w:b/>
                      <w:bCs/>
                      <w:i/>
                      <w:iCs/>
                      <w:lang w:eastAsia="zh-CN"/>
                    </w:rPr>
                  </w:pPr>
                  <w:r>
                    <w:rPr>
                      <w:rFonts w:hint="eastAsia" w:ascii="Arial" w:hAnsi="Arial" w:cs="Arial" w:eastAsiaTheme="minorEastAsia"/>
                      <w:b/>
                      <w:bCs/>
                      <w:lang w:eastAsia="zh-CN"/>
                    </w:rPr>
                    <w:t>S</w:t>
                  </w:r>
                  <w:r>
                    <w:rPr>
                      <w:rFonts w:ascii="Arial" w:hAnsi="Arial" w:cs="Arial" w:eastAsiaTheme="minorEastAsia"/>
                      <w:b/>
                      <w:bCs/>
                      <w:lang w:eastAsia="zh-CN"/>
                    </w:rPr>
                    <w:t>TCM-NVs</w:t>
                  </w:r>
                </w:p>
              </w:txbxContent>
            </v:textbox>
          </v:shape>
        </w:pict>
      </w:r>
      <w:r>
        <w:rPr>
          <w:rFonts w:eastAsiaTheme="minorEastAsia"/>
          <w:b/>
          <w:bCs/>
          <w:lang w:val="en-US" w:eastAsia="zh-CN"/>
        </w:rPr>
        <w:pict>
          <v:shape id="_x0000_s2054" o:spid="_x0000_s2054" o:spt="202" type="#_x0000_t202" style="position:absolute;left:0pt;margin-left:243.15pt;margin-top:-4.85pt;height:23.25pt;width:129pt;z-index:251662336;mso-width-relative:page;mso-height-relative:page;" stroked="f" coordsize="21600,21600">
            <v:path/>
            <v:fill focussize="0,0"/>
            <v:stroke on="f" joinstyle="miter"/>
            <v:imagedata o:title=""/>
            <o:lock v:ext="edit"/>
            <v:textbox>
              <w:txbxContent>
                <w:p>
                  <w:pPr>
                    <w:rPr>
                      <w:rFonts w:ascii="Arial" w:hAnsi="Arial" w:cs="Arial" w:eastAsiaTheme="minorEastAsia"/>
                      <w:b/>
                      <w:bCs/>
                      <w:i/>
                      <w:iCs/>
                      <w:lang w:eastAsia="zh-CN"/>
                    </w:rPr>
                  </w:pPr>
                  <w:r>
                    <w:rPr>
                      <w:rFonts w:hint="eastAsia" w:ascii="Arial" w:hAnsi="Arial" w:cs="Arial" w:eastAsiaTheme="minorEastAsia"/>
                      <w:b/>
                      <w:bCs/>
                      <w:lang w:eastAsia="zh-CN"/>
                    </w:rPr>
                    <w:t>S</w:t>
                  </w:r>
                  <w:r>
                    <w:rPr>
                      <w:rFonts w:ascii="Arial" w:hAnsi="Arial" w:cs="Arial" w:eastAsiaTheme="minorEastAsia"/>
                      <w:b/>
                      <w:bCs/>
                      <w:lang w:eastAsia="zh-CN"/>
                    </w:rPr>
                    <w:t>TCM-NVs</w:t>
                  </w:r>
                  <w:r>
                    <w:rPr>
                      <w:rFonts w:ascii="Arial" w:hAnsi="Arial" w:cs="Arial" w:eastAsiaTheme="minorEastAsia"/>
                      <w:b/>
                      <w:bCs/>
                      <w:vertAlign w:val="superscript"/>
                      <w:lang w:eastAsia="zh-CN"/>
                    </w:rPr>
                    <w:t>sh</w:t>
                  </w:r>
                  <w:r>
                    <w:rPr>
                      <w:rFonts w:hint="eastAsia" w:ascii="Arial" w:hAnsi="Arial" w:cs="Arial" w:eastAsiaTheme="minorEastAsia"/>
                      <w:b/>
                      <w:bCs/>
                      <w:i/>
                      <w:iCs/>
                      <w:vertAlign w:val="superscript"/>
                      <w:lang w:eastAsia="zh-CN"/>
                    </w:rPr>
                    <w:t>FN</w:t>
                  </w:r>
                  <w:r>
                    <w:rPr>
                      <w:rFonts w:ascii="Arial" w:hAnsi="Arial" w:cs="Arial" w:eastAsiaTheme="minorEastAsia"/>
                      <w:b/>
                      <w:bCs/>
                      <w:i/>
                      <w:iCs/>
                      <w:vertAlign w:val="superscript"/>
                      <w:lang w:eastAsia="zh-CN"/>
                    </w:rPr>
                    <w:t>1</w:t>
                  </w:r>
                </w:p>
              </w:txbxContent>
            </v:textbox>
          </v:shape>
        </w:pict>
      </w:r>
      <w:r>
        <w:rPr>
          <w:b/>
          <w:bCs/>
          <w:lang w:eastAsia="zh-CN"/>
        </w:rPr>
        <w:pict>
          <v:shape id="_x0000_s2055" o:spid="_x0000_s2055" o:spt="202" type="#_x0000_t202" style="position:absolute;left:0pt;margin-left:240.9pt;margin-top:139.9pt;height:23.25pt;width:125.5pt;z-index:251663360;mso-width-relative:page;mso-height-relative:page;" stroked="f" coordsize="21600,21600">
            <v:path/>
            <v:fill focussize="0,0"/>
            <v:stroke on="f" joinstyle="miter"/>
            <v:imagedata o:title=""/>
            <o:lock v:ext="edit"/>
            <v:textbox>
              <w:txbxContent>
                <w:p>
                  <w:pPr>
                    <w:rPr>
                      <w:rFonts w:ascii="Arial" w:hAnsi="Arial" w:cs="Arial" w:eastAsiaTheme="minorEastAsia"/>
                      <w:b/>
                      <w:bCs/>
                      <w:i/>
                      <w:iCs/>
                      <w:lang w:eastAsia="zh-CN"/>
                    </w:rPr>
                  </w:pPr>
                  <w:r>
                    <w:rPr>
                      <w:rFonts w:hint="eastAsia" w:ascii="Arial" w:hAnsi="Arial" w:cs="Arial" w:eastAsiaTheme="minorEastAsia"/>
                      <w:b/>
                      <w:bCs/>
                      <w:lang w:eastAsia="zh-CN"/>
                    </w:rPr>
                    <w:t>S</w:t>
                  </w:r>
                  <w:r>
                    <w:rPr>
                      <w:rFonts w:ascii="Arial" w:hAnsi="Arial" w:cs="Arial" w:eastAsiaTheme="minorEastAsia"/>
                      <w:b/>
                      <w:bCs/>
                      <w:lang w:eastAsia="zh-CN"/>
                    </w:rPr>
                    <w:t>TCM-NVs</w:t>
                  </w:r>
                  <w:r>
                    <w:rPr>
                      <w:rFonts w:ascii="Arial" w:hAnsi="Arial" w:cs="Arial" w:eastAsiaTheme="minorEastAsia"/>
                      <w:b/>
                      <w:bCs/>
                      <w:vertAlign w:val="superscript"/>
                      <w:lang w:eastAsia="zh-CN"/>
                    </w:rPr>
                    <w:t>sh</w:t>
                  </w:r>
                  <w:r>
                    <w:rPr>
                      <w:rFonts w:hint="eastAsia" w:ascii="Arial" w:hAnsi="Arial" w:cs="Arial" w:eastAsiaTheme="minorEastAsia"/>
                      <w:b/>
                      <w:bCs/>
                      <w:i/>
                      <w:iCs/>
                      <w:vertAlign w:val="superscript"/>
                      <w:lang w:eastAsia="zh-CN"/>
                    </w:rPr>
                    <w:t>CDH</w:t>
                  </w:r>
                  <w:r>
                    <w:rPr>
                      <w:rFonts w:ascii="Arial" w:hAnsi="Arial" w:cs="Arial" w:eastAsiaTheme="minorEastAsia"/>
                      <w:b/>
                      <w:bCs/>
                      <w:i/>
                      <w:iCs/>
                      <w:vertAlign w:val="superscript"/>
                      <w:lang w:eastAsia="zh-CN"/>
                    </w:rPr>
                    <w:t>1</w:t>
                  </w:r>
                </w:p>
              </w:txbxContent>
            </v:textbox>
          </v:shape>
        </w:pict>
      </w:r>
      <w:r>
        <w:rPr>
          <w:b/>
          <w:bCs/>
          <w:lang w:eastAsia="zh-CN"/>
        </w:rPr>
        <w:pict>
          <v:shape id="_x0000_s2057" o:spid="_x0000_s2057" o:spt="202" type="#_x0000_t202" style="position:absolute;left:0pt;margin-left:130.65pt;margin-top:140.65pt;height:23.25pt;width:94pt;z-index:251665408;mso-width-relative:page;mso-height-relative:page;" stroked="f" coordsize="21600,21600">
            <v:path/>
            <v:fill focussize="0,0"/>
            <v:stroke on="f" joinstyle="miter"/>
            <v:imagedata o:title=""/>
            <o:lock v:ext="edit"/>
            <v:textbox>
              <w:txbxContent>
                <w:p>
                  <w:pPr>
                    <w:rPr>
                      <w:rFonts w:ascii="Arial" w:hAnsi="Arial" w:cs="Arial" w:eastAsiaTheme="minorEastAsia"/>
                      <w:b/>
                      <w:bCs/>
                      <w:i/>
                      <w:iCs/>
                      <w:lang w:eastAsia="zh-CN"/>
                    </w:rPr>
                  </w:pPr>
                  <w:r>
                    <w:rPr>
                      <w:rFonts w:hint="eastAsia" w:ascii="Arial" w:hAnsi="Arial" w:cs="Arial" w:eastAsiaTheme="minorEastAsia"/>
                      <w:b/>
                      <w:bCs/>
                      <w:lang w:eastAsia="zh-CN"/>
                    </w:rPr>
                    <w:t>S</w:t>
                  </w:r>
                  <w:r>
                    <w:rPr>
                      <w:rFonts w:ascii="Arial" w:hAnsi="Arial" w:cs="Arial" w:eastAsiaTheme="minorEastAsia"/>
                      <w:b/>
                      <w:bCs/>
                      <w:lang w:eastAsia="zh-CN"/>
                    </w:rPr>
                    <w:t>TCM-NVs</w:t>
                  </w:r>
                </w:p>
              </w:txbxContent>
            </v:textbox>
          </v:shape>
        </w:pict>
      </w:r>
      <w:r>
        <w:rPr>
          <w:rFonts w:hint="eastAsia" w:eastAsiaTheme="minorEastAsia"/>
          <w:b/>
          <w:bCs/>
          <w:lang w:val="en-US" w:eastAsia="zh-CN"/>
        </w:rPr>
        <w:drawing>
          <wp:inline distT="0" distB="0" distL="0" distR="0">
            <wp:extent cx="3543300" cy="3607435"/>
            <wp:effectExtent l="0" t="0" r="0" b="0"/>
            <wp:docPr id="959270960" name="图形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70960" name="图形 19"/>
                    <pic:cNvPicPr>
                      <a:picLocks noChangeAspect="1"/>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566717" cy="3631336"/>
                    </a:xfrm>
                    <a:prstGeom prst="rect">
                      <a:avLst/>
                    </a:prstGeom>
                  </pic:spPr>
                </pic:pic>
              </a:graphicData>
            </a:graphic>
          </wp:inline>
        </w:drawing>
      </w:r>
    </w:p>
    <w:p>
      <w:pPr>
        <w:spacing w:line="360" w:lineRule="auto"/>
        <w:jc w:val="both"/>
        <w:rPr>
          <w:rFonts w:eastAsiaTheme="minorEastAsia"/>
          <w:b/>
          <w:bCs/>
          <w:color w:val="000000"/>
          <w:lang w:eastAsia="zh-CN"/>
        </w:rPr>
      </w:pPr>
      <w:r>
        <w:rPr>
          <w:b/>
          <w:bCs/>
          <w:lang w:eastAsia="zh-CN"/>
        </w:rPr>
        <w:t xml:space="preserve">Figure </w:t>
      </w:r>
      <w:r>
        <w:rPr>
          <w:rFonts w:eastAsiaTheme="minorEastAsia"/>
          <w:b/>
          <w:bCs/>
          <w:lang w:eastAsia="zh-CN"/>
        </w:rPr>
        <w:t>S</w:t>
      </w:r>
      <w:r>
        <w:rPr>
          <w:rFonts w:hint="eastAsia" w:eastAsiaTheme="minorEastAsia"/>
          <w:b/>
          <w:bCs/>
          <w:lang w:eastAsia="zh-CN"/>
        </w:rPr>
        <w:t>7</w:t>
      </w:r>
      <w:r>
        <w:rPr>
          <w:b/>
          <w:bCs/>
          <w:lang w:eastAsia="zh-CN"/>
        </w:rPr>
        <w:t xml:space="preserve">. Cellular uptake of </w:t>
      </w:r>
      <w:r>
        <w:rPr>
          <w:b/>
          <w:bCs/>
          <w:color w:val="000000"/>
          <w:lang w:eastAsia="zh-CN"/>
        </w:rPr>
        <w:t>STCM-NVs</w:t>
      </w:r>
      <w:r>
        <w:rPr>
          <w:b/>
          <w:bCs/>
          <w:color w:val="000000"/>
          <w:vertAlign w:val="superscript"/>
          <w:lang w:eastAsia="zh-CN"/>
        </w:rPr>
        <w:t>sh</w:t>
      </w:r>
      <w:r>
        <w:rPr>
          <w:b/>
          <w:bCs/>
          <w:i/>
          <w:iCs/>
          <w:color w:val="000000"/>
          <w:vertAlign w:val="superscript"/>
          <w:lang w:eastAsia="zh-CN"/>
        </w:rPr>
        <w:t>FN1</w:t>
      </w:r>
      <w:r>
        <w:rPr>
          <w:b/>
          <w:bCs/>
          <w:lang w:eastAsia="zh-CN"/>
        </w:rPr>
        <w:t xml:space="preserve"> and </w:t>
      </w:r>
      <w:r>
        <w:rPr>
          <w:b/>
          <w:bCs/>
          <w:color w:val="000000"/>
          <w:lang w:eastAsia="zh-CN"/>
        </w:rPr>
        <w:t>STCM-NVs</w:t>
      </w:r>
      <w:r>
        <w:rPr>
          <w:b/>
          <w:bCs/>
          <w:color w:val="000000"/>
          <w:vertAlign w:val="superscript"/>
          <w:lang w:eastAsia="zh-CN"/>
        </w:rPr>
        <w:t>sh</w:t>
      </w:r>
      <w:r>
        <w:rPr>
          <w:b/>
          <w:bCs/>
          <w:i/>
          <w:iCs/>
          <w:color w:val="000000"/>
          <w:vertAlign w:val="superscript"/>
          <w:lang w:eastAsia="zh-CN"/>
        </w:rPr>
        <w:t>CDH1</w:t>
      </w:r>
      <w:r>
        <w:rPr>
          <w:b/>
          <w:bCs/>
          <w:color w:val="000000"/>
          <w:vertAlign w:val="superscript"/>
          <w:lang w:eastAsia="zh-CN"/>
        </w:rPr>
        <w:t xml:space="preserve"> </w:t>
      </w:r>
      <w:r>
        <w:rPr>
          <w:b/>
          <w:bCs/>
          <w:color w:val="000000"/>
          <w:lang w:eastAsia="zh-CN"/>
        </w:rPr>
        <w:t xml:space="preserve">after co-incubation with homotypic cancer cells (MDA-MB-231) for 12 h at 37 </w:t>
      </w:r>
      <w:r>
        <w:rPr>
          <w:b/>
          <w:bCs/>
          <w:color w:val="000000"/>
          <w:vertAlign w:val="superscript"/>
          <w:lang w:eastAsia="zh-CN"/>
        </w:rPr>
        <w:t>o</w:t>
      </w:r>
      <w:r>
        <w:rPr>
          <w:b/>
          <w:bCs/>
          <w:color w:val="000000"/>
          <w:lang w:eastAsia="zh-CN"/>
        </w:rPr>
        <w:t>C.</w:t>
      </w: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jc w:val="both"/>
        <w:rPr>
          <w:rFonts w:eastAsiaTheme="minorEastAsia"/>
          <w:b/>
          <w:bCs/>
          <w:color w:val="000000"/>
          <w:lang w:eastAsia="zh-CN"/>
        </w:rPr>
      </w:pPr>
    </w:p>
    <w:p>
      <w:pPr>
        <w:spacing w:line="360" w:lineRule="auto"/>
        <w:ind w:firstLine="1441" w:firstLineChars="600"/>
        <w:jc w:val="both"/>
        <w:rPr>
          <w:rFonts w:eastAsiaTheme="minorEastAsia"/>
          <w:b/>
          <w:bCs/>
          <w:lang w:val="en-US" w:eastAsia="zh-CN"/>
        </w:rPr>
      </w:pPr>
      <w:r>
        <w:rPr>
          <w:rFonts w:hint="eastAsia" w:eastAsiaTheme="minorEastAsia"/>
          <w:b/>
          <w:bCs/>
          <w:lang w:val="en-US" w:eastAsia="zh-CN"/>
        </w:rPr>
        <w:drawing>
          <wp:inline distT="0" distB="0" distL="0" distR="0">
            <wp:extent cx="3568065" cy="1800225"/>
            <wp:effectExtent l="0" t="0" r="0" b="0"/>
            <wp:docPr id="1059147976" name="图形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147976" name="图形 20"/>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584346" cy="1808371"/>
                    </a:xfrm>
                    <a:prstGeom prst="rect">
                      <a:avLst/>
                    </a:prstGeom>
                  </pic:spPr>
                </pic:pic>
              </a:graphicData>
            </a:graphic>
          </wp:inline>
        </w:drawing>
      </w:r>
    </w:p>
    <w:p>
      <w:pPr>
        <w:spacing w:line="360" w:lineRule="auto"/>
        <w:jc w:val="both"/>
        <w:rPr>
          <w:rFonts w:eastAsiaTheme="minorEastAsia"/>
          <w:b/>
          <w:bCs/>
          <w:lang w:eastAsia="zh-CN"/>
        </w:rPr>
      </w:pPr>
      <w:r>
        <w:rPr>
          <w:b/>
          <w:bCs/>
          <w:lang w:eastAsia="zh-CN"/>
        </w:rPr>
        <w:t xml:space="preserve">Figure </w:t>
      </w:r>
      <w:r>
        <w:rPr>
          <w:rFonts w:eastAsiaTheme="minorEastAsia"/>
          <w:b/>
          <w:bCs/>
          <w:lang w:eastAsia="zh-CN"/>
        </w:rPr>
        <w:t>S</w:t>
      </w:r>
      <w:r>
        <w:rPr>
          <w:rFonts w:hint="eastAsia" w:eastAsiaTheme="minorEastAsia"/>
          <w:b/>
          <w:bCs/>
          <w:lang w:eastAsia="zh-CN"/>
        </w:rPr>
        <w:t>8</w:t>
      </w:r>
      <w:r>
        <w:rPr>
          <w:b/>
          <w:bCs/>
          <w:lang w:eastAsia="zh-CN"/>
        </w:rPr>
        <w:t>.</w:t>
      </w:r>
      <w:bookmarkStart w:id="1" w:name="OLE_LINK42"/>
      <w:r>
        <w:rPr>
          <w:b/>
          <w:bCs/>
          <w:lang w:eastAsia="zh-CN"/>
        </w:rPr>
        <w:t xml:space="preserve"> The homotypic adhesion of HTCM-NVs</w:t>
      </w:r>
      <w:r>
        <w:rPr>
          <w:b/>
          <w:bCs/>
          <w:vertAlign w:val="superscript"/>
          <w:lang w:eastAsia="zh-CN"/>
        </w:rPr>
        <w:t>collagen-</w:t>
      </w:r>
      <w:r>
        <w:rPr>
          <w:b/>
          <w:bCs/>
          <w:lang w:eastAsia="zh-CN"/>
        </w:rPr>
        <w:t xml:space="preserve"> was measured with or without flow shear stress treatment.</w:t>
      </w:r>
      <w:bookmarkEnd w:id="1"/>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ind w:firstLine="480" w:firstLineChars="200"/>
        <w:jc w:val="both"/>
        <w:rPr>
          <w:rFonts w:eastAsiaTheme="minorEastAsia"/>
          <w:b/>
          <w:bCs/>
          <w:lang w:val="en-US"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ind w:firstLine="1681" w:firstLineChars="700"/>
        <w:jc w:val="both"/>
        <w:rPr>
          <w:rFonts w:eastAsiaTheme="minorEastAsia"/>
          <w:b/>
          <w:bCs/>
          <w:lang w:eastAsia="zh-CN"/>
        </w:rPr>
      </w:pPr>
      <w:r>
        <w:rPr>
          <w:rFonts w:eastAsiaTheme="minorEastAsia"/>
          <w:b/>
          <w:color w:val="000000"/>
          <w:lang w:eastAsia="zh-CN"/>
        </w:rPr>
        <w:drawing>
          <wp:inline distT="0" distB="0" distL="0" distR="0">
            <wp:extent cx="3850005" cy="2011045"/>
            <wp:effectExtent l="0" t="0" r="0" b="0"/>
            <wp:docPr id="1741520681" name="图形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20681" name="图形 5"/>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875283" cy="2024157"/>
                    </a:xfrm>
                    <a:prstGeom prst="rect">
                      <a:avLst/>
                    </a:prstGeom>
                  </pic:spPr>
                </pic:pic>
              </a:graphicData>
            </a:graphic>
          </wp:inline>
        </w:drawing>
      </w:r>
    </w:p>
    <w:p>
      <w:pPr>
        <w:spacing w:line="360" w:lineRule="auto"/>
        <w:jc w:val="both"/>
        <w:rPr>
          <w:rFonts w:eastAsiaTheme="minorEastAsia"/>
          <w:b/>
          <w:color w:val="000000"/>
          <w:lang w:eastAsia="zh-CN"/>
        </w:rPr>
      </w:pPr>
      <w:r>
        <w:rPr>
          <w:b/>
          <w:bCs/>
          <w:lang w:eastAsia="zh-CN"/>
        </w:rPr>
        <w:t>Figure S</w:t>
      </w:r>
      <w:r>
        <w:rPr>
          <w:rFonts w:hint="eastAsia" w:eastAsiaTheme="minorEastAsia"/>
          <w:b/>
          <w:bCs/>
          <w:lang w:eastAsia="zh-CN"/>
        </w:rPr>
        <w:t>9</w:t>
      </w:r>
      <w:r>
        <w:rPr>
          <w:b/>
          <w:bCs/>
          <w:lang w:eastAsia="zh-CN"/>
        </w:rPr>
        <w:t>.</w:t>
      </w:r>
      <w:r>
        <w:rPr>
          <w:rFonts w:hint="eastAsia" w:eastAsiaTheme="minorEastAsia"/>
          <w:b/>
          <w:bCs/>
          <w:lang w:eastAsia="zh-CN"/>
        </w:rPr>
        <w:t xml:space="preserve"> </w:t>
      </w:r>
      <w:r>
        <w:rPr>
          <w:rFonts w:eastAsiaTheme="minorEastAsia"/>
          <w:b/>
          <w:color w:val="000000"/>
          <w:lang w:eastAsia="zh-CN"/>
        </w:rPr>
        <w:t>T</w:t>
      </w:r>
      <w:r>
        <w:rPr>
          <w:rFonts w:hint="eastAsia" w:eastAsiaTheme="minorEastAsia"/>
          <w:b/>
          <w:color w:val="000000"/>
          <w:lang w:eastAsia="zh-CN"/>
        </w:rPr>
        <w:t xml:space="preserve">he uptake efficiency of STCM-NVs after the target cancer cell pretreated with </w:t>
      </w:r>
      <w:r>
        <w:rPr>
          <w:rFonts w:eastAsiaTheme="minorEastAsia"/>
          <w:b/>
          <w:color w:val="000000"/>
          <w:lang w:eastAsia="zh-CN"/>
        </w:rPr>
        <w:t>actin polymerization inhibitor</w:t>
      </w:r>
      <w:r>
        <w:rPr>
          <w:rFonts w:hint="eastAsia" w:eastAsiaTheme="minorEastAsia"/>
          <w:b/>
          <w:color w:val="000000"/>
          <w:lang w:eastAsia="zh-CN"/>
        </w:rPr>
        <w:t xml:space="preserve"> (Latrunculin A).</w:t>
      </w: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ind w:firstLine="1201" w:firstLineChars="500"/>
        <w:jc w:val="both"/>
        <w:rPr>
          <w:rFonts w:hint="eastAsia" w:eastAsiaTheme="minorEastAsia"/>
          <w:b/>
          <w:bCs/>
          <w:lang w:eastAsia="zh-CN"/>
        </w:rPr>
      </w:pPr>
      <w:r>
        <w:rPr>
          <w:rFonts w:eastAsia="宋体"/>
          <w:b/>
          <w:color w:val="000000"/>
          <w:lang w:eastAsia="zh-CN"/>
        </w:rPr>
        <w:drawing>
          <wp:inline distT="0" distB="0" distL="0" distR="0">
            <wp:extent cx="4248785" cy="1752600"/>
            <wp:effectExtent l="0" t="0" r="0" b="0"/>
            <wp:docPr id="583433533"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33533" name="图形 1"/>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275049" cy="1763364"/>
                    </a:xfrm>
                    <a:prstGeom prst="rect">
                      <a:avLst/>
                    </a:prstGeom>
                  </pic:spPr>
                </pic:pic>
              </a:graphicData>
            </a:graphic>
          </wp:inline>
        </w:drawing>
      </w:r>
    </w:p>
    <w:p>
      <w:pPr>
        <w:spacing w:line="360" w:lineRule="auto"/>
        <w:jc w:val="both"/>
        <w:rPr>
          <w:rFonts w:eastAsiaTheme="minorEastAsia"/>
          <w:b/>
          <w:color w:val="000000"/>
          <w:lang w:eastAsia="zh-CN"/>
        </w:rPr>
      </w:pPr>
      <w:r>
        <w:rPr>
          <w:b/>
          <w:bCs/>
          <w:lang w:eastAsia="zh-CN"/>
        </w:rPr>
        <w:t>Figure S1</w:t>
      </w:r>
      <w:r>
        <w:rPr>
          <w:rFonts w:hint="eastAsia" w:eastAsiaTheme="minorEastAsia"/>
          <w:b/>
          <w:bCs/>
          <w:lang w:eastAsia="zh-CN"/>
        </w:rPr>
        <w:t>0</w:t>
      </w:r>
      <w:r>
        <w:rPr>
          <w:b/>
          <w:bCs/>
          <w:lang w:eastAsia="zh-CN"/>
        </w:rPr>
        <w:t>.</w:t>
      </w:r>
      <w:r>
        <w:rPr>
          <w:b/>
          <w:color w:val="000000"/>
          <w:lang w:eastAsia="zh-CN"/>
        </w:rPr>
        <w:t xml:space="preserve"> </w:t>
      </w:r>
      <w:r>
        <w:rPr>
          <w:rFonts w:hint="eastAsia" w:eastAsiaTheme="minorEastAsia"/>
          <w:b/>
          <w:color w:val="000000"/>
          <w:lang w:eastAsia="zh-CN"/>
        </w:rPr>
        <w:t xml:space="preserve"> </w:t>
      </w:r>
      <w:bookmarkStart w:id="2" w:name="OLE_LINK18"/>
      <w:r>
        <w:rPr>
          <w:rFonts w:hint="eastAsia" w:eastAsiaTheme="minorEastAsia"/>
          <w:b/>
          <w:bCs/>
          <w:lang w:eastAsia="zh-CN"/>
        </w:rPr>
        <w:t xml:space="preserve">Confocal imaging </w:t>
      </w:r>
      <w:bookmarkStart w:id="3" w:name="OLE_LINK17"/>
      <w:bookmarkStart w:id="4" w:name="OLE_LINK16"/>
      <w:r>
        <w:rPr>
          <w:rFonts w:hint="eastAsia" w:eastAsiaTheme="minorEastAsia"/>
          <w:b/>
          <w:bCs/>
          <w:lang w:eastAsia="zh-CN"/>
        </w:rPr>
        <w:t>s</w:t>
      </w:r>
      <w:r>
        <w:rPr>
          <w:rFonts w:hint="eastAsia" w:eastAsiaTheme="minorEastAsia"/>
          <w:b/>
          <w:color w:val="000000"/>
          <w:lang w:eastAsia="zh-CN"/>
        </w:rPr>
        <w:t xml:space="preserve">hown F-actin localization in targetd cell during the early stage of engulfing HTCM-NVs </w:t>
      </w:r>
      <w:bookmarkEnd w:id="3"/>
      <w:r>
        <w:rPr>
          <w:rFonts w:hint="eastAsia" w:eastAsiaTheme="minorEastAsia"/>
          <w:b/>
          <w:color w:val="000000"/>
          <w:lang w:eastAsia="zh-CN"/>
        </w:rPr>
        <w:t>.</w:t>
      </w:r>
      <w:bookmarkEnd w:id="4"/>
      <w:r>
        <w:rPr>
          <w:rFonts w:hint="eastAsia" w:eastAsiaTheme="minorEastAsia"/>
          <w:b/>
          <w:color w:val="000000"/>
          <w:lang w:eastAsia="zh-CN"/>
        </w:rPr>
        <w:t xml:space="preserve"> </w:t>
      </w:r>
      <w:bookmarkEnd w:id="2"/>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hint="eastAsia"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ind w:firstLine="480" w:firstLineChars="200"/>
        <w:jc w:val="both"/>
        <w:rPr>
          <w:rFonts w:hint="eastAsia" w:eastAsiaTheme="minorEastAsia"/>
          <w:b/>
          <w:bCs/>
          <w:lang w:eastAsia="zh-CN"/>
        </w:rPr>
      </w:pPr>
      <w:r>
        <w:rPr>
          <w:rFonts w:hint="eastAsia" w:eastAsiaTheme="minorEastAsia"/>
          <w:b/>
          <w:bCs/>
          <w:lang w:val="en-US" w:eastAsia="zh-CN"/>
        </w:rPr>
        <w:drawing>
          <wp:inline distT="0" distB="0" distL="0" distR="0">
            <wp:extent cx="4958080" cy="1803400"/>
            <wp:effectExtent l="0" t="0" r="0" b="6350"/>
            <wp:docPr id="913173303" name="图形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73303" name="图形 21"/>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4997020" cy="1817700"/>
                    </a:xfrm>
                    <a:prstGeom prst="rect">
                      <a:avLst/>
                    </a:prstGeom>
                  </pic:spPr>
                </pic:pic>
              </a:graphicData>
            </a:graphic>
          </wp:inline>
        </w:drawing>
      </w:r>
    </w:p>
    <w:p>
      <w:pPr>
        <w:spacing w:line="360" w:lineRule="auto"/>
        <w:jc w:val="both"/>
        <w:rPr>
          <w:rFonts w:eastAsiaTheme="minorEastAsia"/>
          <w:b/>
          <w:bCs/>
          <w:lang w:eastAsia="zh-CN"/>
        </w:rPr>
      </w:pPr>
      <w:r>
        <w:rPr>
          <w:b/>
          <w:bCs/>
          <w:lang w:eastAsia="zh-CN"/>
        </w:rPr>
        <w:t xml:space="preserve">Figure </w:t>
      </w:r>
      <w:r>
        <w:rPr>
          <w:rFonts w:eastAsiaTheme="minorEastAsia"/>
          <w:b/>
          <w:bCs/>
          <w:lang w:eastAsia="zh-CN"/>
        </w:rPr>
        <w:t>S</w:t>
      </w:r>
      <w:r>
        <w:rPr>
          <w:rFonts w:hint="eastAsia" w:eastAsiaTheme="minorEastAsia"/>
          <w:b/>
          <w:bCs/>
          <w:lang w:eastAsia="zh-CN"/>
        </w:rPr>
        <w:t>11</w:t>
      </w:r>
      <w:r>
        <w:rPr>
          <w:b/>
          <w:bCs/>
          <w:lang w:eastAsia="zh-CN"/>
        </w:rPr>
        <w:t>. Western blot analysis of the levels of DPP4 on the surface of MDA-MB-231 cell membrane after treated with DOX at different concentration</w:t>
      </w:r>
      <w:r>
        <w:rPr>
          <w:lang w:eastAsia="zh-CN"/>
        </w:rPr>
        <w:t xml:space="preserve">. </w:t>
      </w:r>
      <w:r>
        <w:rPr>
          <w:b/>
          <w:bCs/>
          <w:lang w:eastAsia="zh-CN"/>
        </w:rPr>
        <w:t>Validation of CD9 and CD81 differential expression level on exosomes and cells membrane surface.</w:t>
      </w: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jc w:val="both"/>
        <w:rPr>
          <w:rFonts w:eastAsiaTheme="minorEastAsia"/>
          <w:b/>
          <w:bCs/>
          <w:lang w:eastAsia="zh-CN"/>
        </w:rPr>
      </w:pPr>
    </w:p>
    <w:p>
      <w:pPr>
        <w:spacing w:line="360" w:lineRule="auto"/>
        <w:ind w:firstLine="2041" w:firstLineChars="850"/>
        <w:jc w:val="both"/>
        <w:rPr>
          <w:rFonts w:eastAsiaTheme="minorEastAsia"/>
          <w:b/>
          <w:bCs/>
          <w:lang w:eastAsia="zh-CN"/>
        </w:rPr>
      </w:pPr>
      <w:r>
        <w:rPr>
          <w:rFonts w:eastAsiaTheme="minorEastAsia"/>
          <w:b/>
          <w:bCs/>
          <w:lang w:eastAsia="zh-CN"/>
        </w:rPr>
        <w:drawing>
          <wp:inline distT="0" distB="0" distL="0" distR="0">
            <wp:extent cx="3180080" cy="3080385"/>
            <wp:effectExtent l="0" t="0" r="1270" b="5715"/>
            <wp:docPr id="152797744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77446" name="图片 22"/>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181667" cy="3081529"/>
                    </a:xfrm>
                    <a:prstGeom prst="rect">
                      <a:avLst/>
                    </a:prstGeom>
                  </pic:spPr>
                </pic:pic>
              </a:graphicData>
            </a:graphic>
          </wp:inline>
        </w:drawing>
      </w:r>
    </w:p>
    <w:p>
      <w:pPr>
        <w:spacing w:line="360" w:lineRule="auto"/>
        <w:jc w:val="both"/>
        <w:rPr>
          <w:rFonts w:eastAsia="宋体"/>
          <w:b/>
          <w:color w:val="000000"/>
          <w:lang w:eastAsia="zh-CN"/>
        </w:rPr>
      </w:pPr>
      <w:r>
        <w:rPr>
          <w:b/>
          <w:bCs/>
          <w:lang w:eastAsia="zh-CN"/>
        </w:rPr>
        <w:t xml:space="preserve">Figure </w:t>
      </w:r>
      <w:r>
        <w:rPr>
          <w:rFonts w:eastAsiaTheme="minorEastAsia"/>
          <w:b/>
          <w:bCs/>
          <w:lang w:eastAsia="zh-CN"/>
        </w:rPr>
        <w:t>S</w:t>
      </w:r>
      <w:r>
        <w:rPr>
          <w:b/>
          <w:bCs/>
          <w:lang w:eastAsia="zh-CN"/>
        </w:rPr>
        <w:t>1</w:t>
      </w:r>
      <w:r>
        <w:rPr>
          <w:rFonts w:hint="eastAsia" w:eastAsiaTheme="minorEastAsia"/>
          <w:b/>
          <w:bCs/>
          <w:lang w:eastAsia="zh-CN"/>
        </w:rPr>
        <w:t>2</w:t>
      </w:r>
      <w:r>
        <w:rPr>
          <w:b/>
          <w:bCs/>
          <w:lang w:eastAsia="zh-CN"/>
        </w:rPr>
        <w:t>.</w:t>
      </w:r>
      <w:r>
        <w:rPr>
          <w:b/>
          <w:color w:val="000000"/>
          <w:lang w:eastAsia="zh-CN"/>
        </w:rPr>
        <w:t xml:space="preserve"> Cellular uptake of HTCM-NVs by MDA-MB-231 (pretreated with </w:t>
      </w:r>
      <w:r>
        <w:rPr>
          <w:rFonts w:eastAsia="宋体"/>
          <w:b/>
          <w:color w:val="000000"/>
          <w:lang w:eastAsia="zh-CN"/>
        </w:rPr>
        <w:t>CPZ, EIPA or MβCD) was visualized using laser confocal microscopy.</w:t>
      </w: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ind w:firstLine="1801" w:firstLineChars="750"/>
        <w:jc w:val="both"/>
        <w:rPr>
          <w:rFonts w:eastAsiaTheme="minorEastAsia"/>
          <w:b/>
          <w:bCs/>
          <w:lang w:eastAsia="zh-CN"/>
        </w:rPr>
      </w:pPr>
      <w:r>
        <w:rPr>
          <w:rFonts w:hint="eastAsia" w:eastAsiaTheme="minorEastAsia"/>
          <w:b/>
          <w:bCs/>
          <w:lang w:eastAsia="zh-CN"/>
        </w:rPr>
        <w:drawing>
          <wp:inline distT="0" distB="0" distL="0" distR="0">
            <wp:extent cx="3761740" cy="1878330"/>
            <wp:effectExtent l="0" t="0" r="0" b="7620"/>
            <wp:docPr id="174332898" name="图形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2898" name="图形 23"/>
                    <pic:cNvPicPr>
                      <a:picLocks noChangeAspect="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771134" cy="1883489"/>
                    </a:xfrm>
                    <a:prstGeom prst="rect">
                      <a:avLst/>
                    </a:prstGeom>
                  </pic:spPr>
                </pic:pic>
              </a:graphicData>
            </a:graphic>
          </wp:inline>
        </w:drawing>
      </w:r>
    </w:p>
    <w:p>
      <w:pPr>
        <w:spacing w:line="360" w:lineRule="auto"/>
        <w:jc w:val="both"/>
        <w:rPr>
          <w:rFonts w:eastAsia="宋体"/>
          <w:b/>
          <w:color w:val="000000"/>
          <w:lang w:eastAsia="zh-CN"/>
        </w:rPr>
      </w:pPr>
      <w:bookmarkStart w:id="5" w:name="OLE_LINK15"/>
      <w:r>
        <w:rPr>
          <w:b/>
          <w:bCs/>
          <w:lang w:eastAsia="zh-CN"/>
        </w:rPr>
        <w:t>Figure S1</w:t>
      </w:r>
      <w:r>
        <w:rPr>
          <w:rFonts w:hint="eastAsia" w:eastAsiaTheme="minorEastAsia"/>
          <w:b/>
          <w:bCs/>
          <w:lang w:eastAsia="zh-CN"/>
        </w:rPr>
        <w:t>3</w:t>
      </w:r>
      <w:r>
        <w:rPr>
          <w:b/>
          <w:bCs/>
          <w:lang w:eastAsia="zh-CN"/>
        </w:rPr>
        <w:t>.</w:t>
      </w:r>
      <w:r>
        <w:rPr>
          <w:b/>
          <w:color w:val="000000"/>
          <w:lang w:eastAsia="zh-CN"/>
        </w:rPr>
        <w:t xml:space="preserve"> The uptake of HTCM-NVs</w:t>
      </w:r>
      <w:r>
        <w:rPr>
          <w:b/>
          <w:color w:val="000000"/>
          <w:vertAlign w:val="superscript"/>
          <w:lang w:eastAsia="zh-CN"/>
        </w:rPr>
        <w:t xml:space="preserve">collagen- </w:t>
      </w:r>
      <w:r>
        <w:rPr>
          <w:rFonts w:eastAsia="宋体"/>
          <w:b/>
          <w:color w:val="000000"/>
          <w:lang w:eastAsia="zh-CN"/>
        </w:rPr>
        <w:t>by healthy MDA-MB-231 cells.</w:t>
      </w:r>
    </w:p>
    <w:bookmarkEnd w:id="5"/>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spacing w:line="360" w:lineRule="auto"/>
        <w:jc w:val="both"/>
        <w:rPr>
          <w:rFonts w:eastAsia="宋体"/>
          <w:b/>
          <w:color w:val="000000"/>
          <w:lang w:eastAsia="zh-CN"/>
        </w:rPr>
      </w:pPr>
    </w:p>
    <w:p>
      <w:pPr>
        <w:pStyle w:val="60"/>
        <w:widowControl w:val="0"/>
        <w:spacing w:before="240" w:after="240" w:line="360" w:lineRule="auto"/>
        <w:jc w:val="both"/>
        <w:rPr>
          <w:b/>
          <w:bCs/>
          <w:szCs w:val="24"/>
          <w:lang w:eastAsia="zh-CN"/>
        </w:rPr>
      </w:pPr>
      <w:r>
        <w:rPr>
          <w:b/>
          <w:bCs/>
          <w:szCs w:val="24"/>
          <w:lang w:eastAsia="zh-CN"/>
        </w:rPr>
        <w:t>Materials and Methods</w:t>
      </w:r>
    </w:p>
    <w:p>
      <w:pPr>
        <w:pStyle w:val="60"/>
        <w:keepNext/>
        <w:widowControl w:val="0"/>
        <w:spacing w:before="240" w:after="240" w:line="360" w:lineRule="auto"/>
        <w:jc w:val="both"/>
        <w:rPr>
          <w:szCs w:val="24"/>
          <w:lang w:eastAsia="zh-CN"/>
        </w:rPr>
      </w:pPr>
      <w:r>
        <w:rPr>
          <w:b/>
          <w:bCs/>
          <w:szCs w:val="24"/>
          <w:lang w:eastAsia="zh-CN"/>
        </w:rPr>
        <w:t xml:space="preserve">Cell line maintenance: </w:t>
      </w:r>
      <w:r>
        <w:rPr>
          <w:szCs w:val="24"/>
        </w:rPr>
        <w:t>The human breast carcinoma cells MDA-MB-231</w:t>
      </w:r>
      <w:r>
        <w:rPr>
          <w:szCs w:val="24"/>
          <w:lang w:eastAsia="zh-CN"/>
        </w:rPr>
        <w:t xml:space="preserve"> </w:t>
      </w:r>
      <w:r>
        <w:rPr>
          <w:szCs w:val="24"/>
        </w:rPr>
        <w:t>and MCF-7, the breast epithelial cell MCF</w:t>
      </w:r>
      <w:r>
        <w:rPr>
          <w:szCs w:val="24"/>
          <w:lang w:eastAsia="zh-CN"/>
        </w:rPr>
        <w:t>-</w:t>
      </w:r>
      <w:r>
        <w:rPr>
          <w:szCs w:val="24"/>
        </w:rPr>
        <w:t>10A, as well as human monocyte cell THP-1 were obtained from American Type Culture Collection (ATCC). MDA-MB-231</w:t>
      </w:r>
      <w:r>
        <w:rPr>
          <w:szCs w:val="24"/>
          <w:lang w:eastAsia="zh-CN"/>
        </w:rPr>
        <w:t>,</w:t>
      </w:r>
      <w:r>
        <w:rPr>
          <w:szCs w:val="24"/>
        </w:rPr>
        <w:t xml:space="preserve"> MCF-7 </w:t>
      </w:r>
      <w:r>
        <w:rPr>
          <w:szCs w:val="24"/>
          <w:lang w:eastAsia="zh-CN"/>
        </w:rPr>
        <w:t xml:space="preserve">and </w:t>
      </w:r>
      <w:r>
        <w:rPr>
          <w:szCs w:val="24"/>
        </w:rPr>
        <w:t>MCF-10A cells were cultured in DMEM</w:t>
      </w:r>
      <w:r>
        <w:rPr>
          <w:szCs w:val="24"/>
          <w:lang w:eastAsia="zh-CN"/>
        </w:rPr>
        <w:t xml:space="preserve"> (high glucose, C11995500BT,</w:t>
      </w:r>
      <w:r>
        <w:rPr>
          <w:szCs w:val="24"/>
        </w:rPr>
        <w:t xml:space="preserve"> </w:t>
      </w:r>
      <w:r>
        <w:rPr>
          <w:szCs w:val="24"/>
          <w:lang w:eastAsia="zh-CN"/>
        </w:rPr>
        <w:t xml:space="preserve">Gibco) </w:t>
      </w:r>
      <w:r>
        <w:rPr>
          <w:szCs w:val="24"/>
        </w:rPr>
        <w:t>supplemented with 10% FBS</w:t>
      </w:r>
      <w:r>
        <w:rPr>
          <w:szCs w:val="24"/>
          <w:lang w:eastAsia="zh-CN"/>
        </w:rPr>
        <w:t xml:space="preserve"> (10437028, Thermo Fisher scientific)</w:t>
      </w:r>
      <w:r>
        <w:rPr>
          <w:szCs w:val="24"/>
        </w:rPr>
        <w:t>, 100 U/mL penicillin, and 100 μg/mL streptomycin</w:t>
      </w:r>
      <w:r>
        <w:rPr>
          <w:szCs w:val="24"/>
          <w:lang w:eastAsia="zh-CN"/>
        </w:rPr>
        <w:t xml:space="preserve"> (15140-163, invitrogen)</w:t>
      </w:r>
      <w:r>
        <w:rPr>
          <w:szCs w:val="24"/>
        </w:rPr>
        <w:t xml:space="preserve">. THP-1 cells were cultured in RPMI-1640 medium </w:t>
      </w:r>
      <w:r>
        <w:rPr>
          <w:szCs w:val="24"/>
          <w:lang w:eastAsia="zh-CN"/>
        </w:rPr>
        <w:t xml:space="preserve">(C11875500BT, Gibco) </w:t>
      </w:r>
      <w:r>
        <w:rPr>
          <w:szCs w:val="24"/>
        </w:rPr>
        <w:t>supplemented with 10% FBS</w:t>
      </w:r>
      <w:r>
        <w:rPr>
          <w:szCs w:val="24"/>
          <w:lang w:eastAsia="zh-CN"/>
        </w:rPr>
        <w:t xml:space="preserve"> (A5256701, Gibco)</w:t>
      </w:r>
      <w:r>
        <w:rPr>
          <w:szCs w:val="24"/>
        </w:rPr>
        <w:t>, 0.05 mM 2-mercaptoethanol</w:t>
      </w:r>
      <w:r>
        <w:rPr>
          <w:szCs w:val="24"/>
          <w:lang w:eastAsia="zh-CN"/>
        </w:rPr>
        <w:t xml:space="preserve"> (M6250, Merck)</w:t>
      </w:r>
      <w:r>
        <w:rPr>
          <w:szCs w:val="24"/>
        </w:rPr>
        <w:t>, 100 U/mL penicillin, and 100 μg/ mL streptomycin</w:t>
      </w:r>
      <w:r>
        <w:rPr>
          <w:szCs w:val="24"/>
          <w:lang w:eastAsia="zh-CN"/>
        </w:rPr>
        <w:t xml:space="preserve"> (15140122, Gibco)</w:t>
      </w:r>
      <w:r>
        <w:rPr>
          <w:szCs w:val="24"/>
        </w:rPr>
        <w:t>. All cells were incubated at 37</w:t>
      </w:r>
      <w:bookmarkStart w:id="6" w:name="OLE_LINK35"/>
      <w:r>
        <w:rPr>
          <w:szCs w:val="24"/>
        </w:rPr>
        <w:t>°C</w:t>
      </w:r>
      <w:bookmarkEnd w:id="6"/>
      <w:r>
        <w:rPr>
          <w:szCs w:val="24"/>
        </w:rPr>
        <w:t xml:space="preserve"> in a humidified atmosphere with 5% CO</w:t>
      </w:r>
      <w:r>
        <w:rPr>
          <w:szCs w:val="24"/>
          <w:vertAlign w:val="subscript"/>
        </w:rPr>
        <w:t>2</w:t>
      </w:r>
      <w:r>
        <w:rPr>
          <w:szCs w:val="24"/>
        </w:rPr>
        <w:t>.</w:t>
      </w:r>
    </w:p>
    <w:p>
      <w:pPr>
        <w:pStyle w:val="60"/>
        <w:keepNext/>
        <w:widowControl w:val="0"/>
        <w:spacing w:before="240" w:after="240" w:line="360" w:lineRule="auto"/>
        <w:jc w:val="both"/>
        <w:rPr>
          <w:szCs w:val="24"/>
        </w:rPr>
      </w:pPr>
      <w:r>
        <w:rPr>
          <w:b/>
          <w:bCs/>
          <w:szCs w:val="24"/>
        </w:rPr>
        <w:t>SA-β-gal staining</w:t>
      </w:r>
      <w:r>
        <w:rPr>
          <w:b/>
          <w:bCs/>
          <w:szCs w:val="24"/>
          <w:lang w:eastAsia="zh-CN"/>
        </w:rPr>
        <w:t>:</w:t>
      </w:r>
      <w:r>
        <w:rPr>
          <w:szCs w:val="24"/>
        </w:rPr>
        <w:t xml:space="preserve"> MDA-MB-231 cells </w:t>
      </w:r>
      <w:r>
        <w:rPr>
          <w:szCs w:val="24"/>
          <w:lang w:eastAsia="zh-CN"/>
        </w:rPr>
        <w:t xml:space="preserve">or MCF-7cells </w:t>
      </w:r>
      <w:r>
        <w:rPr>
          <w:szCs w:val="24"/>
        </w:rPr>
        <w:t>were seeded in 10 cm culture dishes at a density of 5×10</w:t>
      </w:r>
      <w:r>
        <w:rPr>
          <w:szCs w:val="24"/>
          <w:vertAlign w:val="superscript"/>
        </w:rPr>
        <w:t>6</w:t>
      </w:r>
      <w:r>
        <w:rPr>
          <w:szCs w:val="24"/>
        </w:rPr>
        <w:t xml:space="preserve"> cells and cultured overnight. When the cells reached approximately 60% confluence, they were treated with various concentrations of doxorubicin (DOX) (0.15, 0.25, 0.35, 0.5, and 1 μM) for 6 </w:t>
      </w:r>
      <w:r>
        <w:rPr>
          <w:szCs w:val="24"/>
          <w:lang w:eastAsia="zh-CN"/>
        </w:rPr>
        <w:t xml:space="preserve">or 7 </w:t>
      </w:r>
      <w:r>
        <w:rPr>
          <w:szCs w:val="24"/>
        </w:rPr>
        <w:t>days to induce senescence. The cells were then fixed with 4% PFA</w:t>
      </w:r>
      <w:r>
        <w:rPr>
          <w:szCs w:val="24"/>
          <w:lang w:eastAsia="zh-CN"/>
        </w:rPr>
        <w:t xml:space="preserve"> (HY-DY3003, MedChemExpress)</w:t>
      </w:r>
      <w:r>
        <w:rPr>
          <w:szCs w:val="24"/>
        </w:rPr>
        <w:t xml:space="preserve"> for 15 min at room temperature. The cells were then washed with PBS and incubated with </w:t>
      </w:r>
      <w:bookmarkStart w:id="7" w:name="_Hlk228196917"/>
      <w:r>
        <w:rPr>
          <w:szCs w:val="24"/>
        </w:rPr>
        <w:t>SA-β-gal</w:t>
      </w:r>
      <w:bookmarkEnd w:id="7"/>
      <w:r>
        <w:rPr>
          <w:szCs w:val="24"/>
        </w:rPr>
        <w:t xml:space="preserve"> staining solution (#9860, Cell Signaling Technology) overnight at 37°C in the dark.</w:t>
      </w:r>
      <w:r>
        <w:rPr>
          <w:b/>
          <w:bCs/>
          <w:szCs w:val="24"/>
        </w:rPr>
        <w:t xml:space="preserve"> </w:t>
      </w:r>
      <w:r>
        <w:rPr>
          <w:szCs w:val="24"/>
        </w:rPr>
        <w:t>Blue-stained cells were observed and imaged using an inverted microscope.</w:t>
      </w:r>
    </w:p>
    <w:p>
      <w:pPr>
        <w:widowControl w:val="0"/>
        <w:spacing w:before="240" w:after="240" w:line="360" w:lineRule="auto"/>
        <w:jc w:val="both"/>
      </w:pPr>
      <w:r>
        <w:rPr>
          <w:b/>
          <w:bCs/>
        </w:rPr>
        <w:t xml:space="preserve">EdU </w:t>
      </w:r>
      <w:r>
        <w:rPr>
          <w:b/>
          <w:bCs/>
          <w:lang w:eastAsia="zh-CN"/>
        </w:rPr>
        <w:t>I</w:t>
      </w:r>
      <w:r>
        <w:rPr>
          <w:b/>
          <w:bCs/>
        </w:rPr>
        <w:t xml:space="preserve">ncorporation </w:t>
      </w:r>
      <w:r>
        <w:rPr>
          <w:b/>
          <w:bCs/>
          <w:lang w:eastAsia="zh-CN"/>
        </w:rPr>
        <w:t>A</w:t>
      </w:r>
      <w:r>
        <w:rPr>
          <w:b/>
          <w:bCs/>
        </w:rPr>
        <w:t>ssay</w:t>
      </w:r>
      <w:r>
        <w:rPr>
          <w:b/>
          <w:bCs/>
          <w:lang w:eastAsia="zh-CN"/>
        </w:rPr>
        <w:t xml:space="preserve">: </w:t>
      </w:r>
      <w:r>
        <w:t xml:space="preserve">MDA-MB-231cells </w:t>
      </w:r>
      <w:r>
        <w:rPr>
          <w:lang w:eastAsia="zh-CN"/>
        </w:rPr>
        <w:t xml:space="preserve">or MCF-7 cells </w:t>
      </w:r>
      <w:r>
        <w:t>(3×10</w:t>
      </w:r>
      <w:r>
        <w:rPr>
          <w:vertAlign w:val="superscript"/>
        </w:rPr>
        <w:t xml:space="preserve">3 </w:t>
      </w:r>
      <w:r>
        <w:t xml:space="preserve">per well) were seeded in 96-well plates and cultured overnight, then treated with </w:t>
      </w:r>
      <w:r>
        <w:rPr>
          <w:lang w:eastAsia="zh-CN"/>
        </w:rPr>
        <w:t xml:space="preserve">0.15 </w:t>
      </w:r>
      <w:r>
        <w:rPr>
          <w:color w:val="000000"/>
          <w:lang w:eastAsia="zh-CN"/>
        </w:rPr>
        <w:t>μM</w:t>
      </w:r>
      <w:r>
        <w:t xml:space="preserve"> DOX for 6 </w:t>
      </w:r>
      <w:r>
        <w:rPr>
          <w:lang w:eastAsia="zh-CN"/>
        </w:rPr>
        <w:t xml:space="preserve">or 7 </w:t>
      </w:r>
      <w:r>
        <w:t xml:space="preserve">days. Subsequently, EdU working solution </w:t>
      </w:r>
      <w:r>
        <w:rPr>
          <w:lang w:eastAsia="zh-CN"/>
        </w:rPr>
        <w:t xml:space="preserve">(11669915001, Roche) </w:t>
      </w:r>
      <w:r>
        <w:t>was added to the wells for an additional 2 h of incubation. After the removal of the EdU solution, cells were fixed, permeabilized, and incubated with</w:t>
      </w:r>
      <w:r>
        <w:rPr>
          <w:color w:val="EE0000"/>
        </w:rPr>
        <w:t xml:space="preserve"> </w:t>
      </w:r>
      <w:r>
        <w:t>Click reaction solution for 45 min at room temperature in the dark. Nuclei were counterstained with Hoechst 33342 solution</w:t>
      </w:r>
      <w:r>
        <w:rPr>
          <w:lang w:eastAsia="zh-CN"/>
        </w:rPr>
        <w:t xml:space="preserve"> (40730ES03, Yesen)</w:t>
      </w:r>
      <w:r>
        <w:t xml:space="preserve"> for 10 minutes. Images were captured under a ﬂuorescence microscope.</w:t>
      </w:r>
    </w:p>
    <w:p>
      <w:pPr>
        <w:widowControl w:val="0"/>
        <w:spacing w:line="360" w:lineRule="auto"/>
        <w:jc w:val="both"/>
      </w:pPr>
      <w:r>
        <w:rPr>
          <w:b/>
          <w:bCs/>
        </w:rPr>
        <w:t xml:space="preserve">Western blot analysis. </w:t>
      </w:r>
      <w:r>
        <w:t>The senescent cells induced by DOX were lysed in RIPA lysis buffer</w:t>
      </w:r>
      <w:r>
        <w:rPr>
          <w:lang w:eastAsia="zh-CN"/>
        </w:rPr>
        <w:t xml:space="preserve"> (89901, Thermo Fisher scientific)</w:t>
      </w:r>
      <w:r>
        <w:t>, followed by ultrasonicated and incubated at 4°C for 1 h. The lysates were centrifuged at 12,000 g for 15 min, and the protein concentration was determined using BCA protein assay kit</w:t>
      </w:r>
      <w:r>
        <w:rPr>
          <w:lang w:eastAsia="zh-CN"/>
        </w:rPr>
        <w:t xml:space="preserve"> (</w:t>
      </w:r>
      <w:bookmarkStart w:id="8" w:name="_Hlk228200831"/>
      <w:r>
        <w:rPr>
          <w:lang w:eastAsia="zh-CN"/>
        </w:rPr>
        <w:t>P006C, Beyotime</w:t>
      </w:r>
      <w:bookmarkEnd w:id="8"/>
      <w:r>
        <w:rPr>
          <w:lang w:eastAsia="zh-CN"/>
        </w:rPr>
        <w:t>)</w:t>
      </w:r>
      <w:r>
        <w:t>. 50 μg of proteins from each sample was separated by 10% SDS-PAGE and electrotransferred onto 0.2 μm PVDF membranes</w:t>
      </w:r>
      <w:r>
        <w:rPr>
          <w:lang w:eastAsia="zh-CN"/>
        </w:rPr>
        <w:t xml:space="preserve"> (IPFL00010, Merck)</w:t>
      </w:r>
      <w:r>
        <w:t>. The membranes were blocked using 5% nonfat milk</w:t>
      </w:r>
      <w:r>
        <w:rPr>
          <w:lang w:eastAsia="zh-CN"/>
        </w:rPr>
        <w:t xml:space="preserve"> (115363, Sigma)</w:t>
      </w:r>
      <w:r>
        <w:t xml:space="preserve"> in TBST buffer for 1 h at room temperature, followed by overnight incubation at 4 °C with primary antibodies against P53</w:t>
      </w:r>
      <w:r>
        <w:rPr>
          <w:lang w:eastAsia="zh-CN"/>
        </w:rPr>
        <w:t xml:space="preserve"> (ab308609, </w:t>
      </w:r>
      <w:bookmarkStart w:id="9" w:name="OLE_LINK58"/>
      <w:r>
        <w:rPr>
          <w:lang w:eastAsia="zh-CN"/>
        </w:rPr>
        <w:t>Abcam</w:t>
      </w:r>
      <w:bookmarkEnd w:id="9"/>
      <w:r>
        <w:rPr>
          <w:lang w:eastAsia="zh-CN"/>
        </w:rPr>
        <w:t>)</w:t>
      </w:r>
      <w:r>
        <w:t>, P21</w:t>
      </w:r>
      <w:r>
        <w:rPr>
          <w:lang w:eastAsia="zh-CN"/>
        </w:rPr>
        <w:t xml:space="preserve"> (#2947, Cell Signaling Technology)</w:t>
      </w:r>
      <w:r>
        <w:t>, BCL-2</w:t>
      </w:r>
      <w:r>
        <w:rPr>
          <w:lang w:eastAsia="zh-CN"/>
        </w:rPr>
        <w:t xml:space="preserve"> (ab238042, Abcam)</w:t>
      </w:r>
      <w:r>
        <w:t>, IL-6</w:t>
      </w:r>
      <w:r>
        <w:rPr>
          <w:lang w:eastAsia="zh-CN"/>
        </w:rPr>
        <w:t xml:space="preserve"> (ab233706, Abcam)</w:t>
      </w:r>
      <w:r>
        <w:t>, MMP</w:t>
      </w:r>
      <w:r>
        <w:rPr>
          <w:lang w:eastAsia="zh-CN"/>
        </w:rPr>
        <w:t>9</w:t>
      </w:r>
      <w:r>
        <w:t xml:space="preserve"> </w:t>
      </w:r>
      <w:r>
        <w:rPr>
          <w:lang w:eastAsia="zh-CN"/>
        </w:rPr>
        <w:t xml:space="preserve">(#3852, Cell Signaling Technology), </w:t>
      </w:r>
      <w:bookmarkStart w:id="10" w:name="OLE_LINK59"/>
      <w:r>
        <w:rPr>
          <w:lang w:eastAsia="zh-CN"/>
        </w:rPr>
        <w:t>IL-1β</w:t>
      </w:r>
      <w:bookmarkEnd w:id="10"/>
      <w:r>
        <w:rPr>
          <w:lang w:eastAsia="zh-CN"/>
        </w:rPr>
        <w:t xml:space="preserve"> (ab283818, Abcam), DPP4 (ab28340, Abcam), FN1 (ab2413, Abcam), CDH1 (#24E10, Cell Signaling Technology), </w:t>
      </w:r>
      <w:r>
        <w:t>and C</w:t>
      </w:r>
      <w:r>
        <w:rPr>
          <w:lang w:eastAsia="zh-CN"/>
        </w:rPr>
        <w:t>ol</w:t>
      </w:r>
      <w:r>
        <w:t>-1</w:t>
      </w:r>
      <w:r>
        <w:rPr>
          <w:lang w:eastAsia="zh-CN"/>
        </w:rPr>
        <w:t>(#72026, Cell Signaling Technology), Col-2 (ab34712, Abcam) and Col-3 (ab23445, Abcam)</w:t>
      </w:r>
      <w:r>
        <w:t xml:space="preserve">. </w:t>
      </w:r>
      <w:r>
        <w:rPr>
          <w:lang w:eastAsia="zh-CN"/>
        </w:rPr>
        <w:t xml:space="preserve"> The Anti-mouse IgG, HRP-linked Antibody (#7076, Cell Signaling Technology). All the </w:t>
      </w:r>
      <w:r>
        <w:t xml:space="preserve">after washing three times with TBST buffer, the membranes were incubated with horseradish peroxidase-conjugated secondary antibody for 1 h at room temperature. Protein bands were visualized using enhanced chemiluminescence (ECL) </w:t>
      </w:r>
      <w:r>
        <w:rPr>
          <w:lang w:eastAsia="zh-CN"/>
        </w:rPr>
        <w:t xml:space="preserve">(32109, Thermo Fisher Scientific) </w:t>
      </w:r>
      <w:r>
        <w:t>detection and scanned with an Amersham Imager 680.</w:t>
      </w:r>
    </w:p>
    <w:p>
      <w:pPr>
        <w:widowControl w:val="0"/>
        <w:spacing w:line="360" w:lineRule="auto"/>
        <w:jc w:val="both"/>
      </w:pPr>
    </w:p>
    <w:p>
      <w:pPr>
        <w:widowControl w:val="0"/>
        <w:spacing w:line="360" w:lineRule="auto"/>
        <w:contextualSpacing/>
        <w:jc w:val="both"/>
      </w:pPr>
      <w:r>
        <w:rPr>
          <w:b/>
          <w:bCs/>
          <w:lang w:eastAsia="zh-CN"/>
        </w:rPr>
        <w:t>RT</w:t>
      </w:r>
      <w:r>
        <w:rPr>
          <w:lang w:eastAsia="zh-CN"/>
        </w:rPr>
        <w:t>-</w:t>
      </w:r>
      <w:r>
        <w:rPr>
          <w:b/>
          <w:bCs/>
        </w:rPr>
        <w:t>qPCR</w:t>
      </w:r>
      <w:r>
        <w:rPr>
          <w:b/>
          <w:bCs/>
          <w:lang w:eastAsia="zh-CN"/>
        </w:rPr>
        <w:t>:</w:t>
      </w:r>
      <w:r>
        <w:rPr>
          <w:b/>
          <w:bCs/>
        </w:rPr>
        <w:t xml:space="preserve"> </w:t>
      </w:r>
      <w:r>
        <w:t>Total RNA was extracted from senescent cells induced by DOX using TRIzol reagent</w:t>
      </w:r>
      <w:r>
        <w:rPr>
          <w:lang w:eastAsia="zh-CN"/>
        </w:rPr>
        <w:t xml:space="preserve"> (15596018CN, Invitrogen)</w:t>
      </w:r>
      <w:r>
        <w:t>, and RNA concentration were determined with Nanodrop 2000. Reverse transcription was performed using 1 μg of RNA with a high-capacity cDNA reverse transcription kit</w:t>
      </w:r>
      <w:r>
        <w:rPr>
          <w:lang w:eastAsia="zh-CN"/>
        </w:rPr>
        <w:t xml:space="preserve"> (AG11705, Accurate Biology)</w:t>
      </w:r>
      <w:r>
        <w:t xml:space="preserve"> in a BIO-RAD thermal cycler. Quantitative polymerase chain reaction (qPCR) was carried out in CFX96 Real-Time PCR System using SYBR Green Master Mix</w:t>
      </w:r>
      <w:r>
        <w:rPr>
          <w:lang w:eastAsia="zh-CN"/>
        </w:rPr>
        <w:t xml:space="preserve"> (AG11762, Accurate Biology)</w:t>
      </w:r>
      <w:r>
        <w:t>. β-actin was used as an internal control, and the primer sequences are listed in Supplementary Table 1. Relative gene expression was performed using the 2</w:t>
      </w:r>
      <w:r>
        <w:rPr>
          <w:vertAlign w:val="superscript"/>
        </w:rPr>
        <w:t>-ΔΔCT</w:t>
      </w:r>
      <w:r>
        <w:t xml:space="preserve"> method. </w:t>
      </w:r>
    </w:p>
    <w:p>
      <w:pPr>
        <w:pStyle w:val="60"/>
        <w:widowControl w:val="0"/>
        <w:spacing w:before="240" w:after="240" w:line="360" w:lineRule="auto"/>
        <w:jc w:val="both"/>
        <w:rPr>
          <w:szCs w:val="24"/>
        </w:rPr>
      </w:pPr>
      <w:r>
        <w:rPr>
          <w:b/>
          <w:bCs/>
          <w:szCs w:val="24"/>
        </w:rPr>
        <w:t xml:space="preserve">Stability of </w:t>
      </w:r>
      <w:r>
        <w:rPr>
          <w:b/>
          <w:bCs/>
          <w:szCs w:val="24"/>
          <w:lang w:eastAsia="zh-CN"/>
        </w:rPr>
        <w:t xml:space="preserve">different kinds of cell membrane-based NVs: </w:t>
      </w:r>
      <w:r>
        <w:rPr>
          <w:szCs w:val="24"/>
        </w:rPr>
        <w:t>To evaluate the stability of the nanovesicles</w:t>
      </w:r>
      <w:r>
        <w:rPr>
          <w:color w:val="000000" w:themeColor="text1"/>
          <w:szCs w:val="24"/>
        </w:rPr>
        <w:t xml:space="preserve"> carrier, 2 μg of freshly prepared </w:t>
      </w:r>
      <w:r>
        <w:rPr>
          <w:szCs w:val="24"/>
          <w:lang w:eastAsia="zh-CN"/>
        </w:rPr>
        <w:t>cell membrane-based NVs</w:t>
      </w:r>
      <w:r>
        <w:rPr>
          <w:color w:val="000000" w:themeColor="text1"/>
          <w:szCs w:val="24"/>
        </w:rPr>
        <w:t xml:space="preserve"> (STCM-NVs, HTCM-NVs, HTCM-NVs@DOX, and STCM-NVs@DOX) were resuspended in 2 mL of PBS and stored at 4°C. The particle size of nanovesicle carrier was monitored continuously over a 72 h period (at 0, 6, 12, 24, 48, and 72 h) using a nanoparticle size analyzer.</w:t>
      </w:r>
      <w:r>
        <w:rPr>
          <w:szCs w:val="24"/>
        </w:rPr>
        <w:t xml:space="preserve"> </w:t>
      </w:r>
    </w:p>
    <w:p>
      <w:pPr>
        <w:pStyle w:val="60"/>
        <w:widowControl w:val="0"/>
        <w:spacing w:after="240" w:line="360" w:lineRule="auto"/>
        <w:jc w:val="both"/>
        <w:rPr>
          <w:color w:val="000000" w:themeColor="text1"/>
          <w:szCs w:val="24"/>
        </w:rPr>
      </w:pPr>
      <w:r>
        <w:rPr>
          <w:b/>
          <w:bCs/>
          <w:color w:val="000000" w:themeColor="text1"/>
          <w:szCs w:val="24"/>
        </w:rPr>
        <w:t xml:space="preserve">Macrophage </w:t>
      </w:r>
      <w:r>
        <w:rPr>
          <w:b/>
          <w:bCs/>
          <w:color w:val="000000" w:themeColor="text1"/>
          <w:szCs w:val="24"/>
          <w:lang w:eastAsia="zh-CN"/>
        </w:rPr>
        <w:t>r</w:t>
      </w:r>
      <w:r>
        <w:rPr>
          <w:b/>
          <w:bCs/>
          <w:color w:val="000000" w:themeColor="text1"/>
          <w:szCs w:val="24"/>
        </w:rPr>
        <w:t xml:space="preserve">ecognition and </w:t>
      </w:r>
      <w:r>
        <w:rPr>
          <w:b/>
          <w:bCs/>
          <w:color w:val="000000" w:themeColor="text1"/>
          <w:szCs w:val="24"/>
          <w:lang w:eastAsia="zh-CN"/>
        </w:rPr>
        <w:t>p</w:t>
      </w:r>
      <w:r>
        <w:rPr>
          <w:b/>
          <w:bCs/>
          <w:color w:val="000000" w:themeColor="text1"/>
          <w:szCs w:val="24"/>
        </w:rPr>
        <w:t xml:space="preserve">hagocytosis </w:t>
      </w:r>
      <w:r>
        <w:rPr>
          <w:b/>
          <w:bCs/>
          <w:color w:val="000000" w:themeColor="text1"/>
          <w:szCs w:val="24"/>
          <w:lang w:eastAsia="zh-CN"/>
        </w:rPr>
        <w:t>a</w:t>
      </w:r>
      <w:r>
        <w:rPr>
          <w:b/>
          <w:bCs/>
          <w:color w:val="000000" w:themeColor="text1"/>
          <w:szCs w:val="24"/>
        </w:rPr>
        <w:t>ssay</w:t>
      </w:r>
      <w:r>
        <w:rPr>
          <w:b/>
          <w:bCs/>
          <w:color w:val="000000" w:themeColor="text1"/>
          <w:szCs w:val="24"/>
          <w:lang w:eastAsia="zh-CN"/>
        </w:rPr>
        <w:t>:</w:t>
      </w:r>
      <w:r>
        <w:rPr>
          <w:b/>
          <w:bCs/>
          <w:color w:val="000000" w:themeColor="text1"/>
          <w:szCs w:val="24"/>
        </w:rPr>
        <w:t xml:space="preserve"> </w:t>
      </w:r>
      <w:r>
        <w:rPr>
          <w:color w:val="000000" w:themeColor="text1"/>
          <w:szCs w:val="24"/>
        </w:rPr>
        <w:t>THP-1 cells (7×10</w:t>
      </w:r>
      <w:r>
        <w:rPr>
          <w:color w:val="000000" w:themeColor="text1"/>
          <w:szCs w:val="24"/>
          <w:vertAlign w:val="superscript"/>
        </w:rPr>
        <w:t xml:space="preserve">4 </w:t>
      </w:r>
      <w:r>
        <w:rPr>
          <w:color w:val="000000" w:themeColor="text1"/>
          <w:szCs w:val="24"/>
        </w:rPr>
        <w:t>cells) were seeded into confocal culture dishes and treated with 200 ng/mL phorbol 12-myristate 13-acetate (HY-18739</w:t>
      </w:r>
      <w:r>
        <w:rPr>
          <w:color w:val="000000" w:themeColor="text1"/>
          <w:szCs w:val="24"/>
          <w:lang w:eastAsia="zh-CN"/>
        </w:rPr>
        <w:t>, MedChemExpress</w:t>
      </w:r>
      <w:r>
        <w:rPr>
          <w:color w:val="000000" w:themeColor="text1"/>
          <w:szCs w:val="24"/>
        </w:rPr>
        <w:t>) for 48 h to allow them to attach and differentiate into macrophages (</w:t>
      </w:r>
      <w:r>
        <w:rPr>
          <w:color w:val="000000" w:themeColor="text1"/>
          <w:szCs w:val="24"/>
          <w:lang w:eastAsia="zh-CN"/>
        </w:rPr>
        <w:t>4</w:t>
      </w:r>
      <w:r>
        <w:rPr>
          <w:color w:val="000000" w:themeColor="text1"/>
          <w:szCs w:val="24"/>
        </w:rPr>
        <w:t>). Subsequently, the culture medium was replaced with fresh RPMI-1640 medium, and the cells were co-incubated for 6 h with 3 μg of Dil- labeled STCM-NVs and HTCM-NVs. Following co-incubation, the supernatant was removed, and the cells were gently washed twice with PBS. Macrophage phagocytosis of the STCM-NVs or HTCM-NVs was then analyzed using confocal laser microscopy and flow cytometry.</w:t>
      </w:r>
    </w:p>
    <w:p>
      <w:pPr>
        <w:pStyle w:val="60"/>
        <w:keepNext/>
        <w:widowControl w:val="0"/>
        <w:spacing w:before="240" w:after="240" w:line="360" w:lineRule="auto"/>
        <w:jc w:val="both"/>
        <w:rPr>
          <w:szCs w:val="24"/>
          <w:lang w:eastAsia="zh-CN"/>
        </w:rPr>
      </w:pPr>
      <w:r>
        <w:rPr>
          <w:b/>
          <w:bCs/>
          <w:szCs w:val="24"/>
        </w:rPr>
        <w:t>Hemolysis experiments</w:t>
      </w:r>
      <w:r>
        <w:rPr>
          <w:b/>
          <w:bCs/>
          <w:szCs w:val="24"/>
          <w:lang w:eastAsia="zh-CN"/>
        </w:rPr>
        <w:t>:</w:t>
      </w:r>
      <w:r>
        <w:rPr>
          <w:szCs w:val="24"/>
          <w:lang w:eastAsia="zh-CN"/>
        </w:rPr>
        <w:t xml:space="preserve"> Whole blood was collected from healthy BALB/c Nude mice via eyeball removal and centrifuged at 3,000 rpm for 5 min at 4 </w:t>
      </w:r>
      <w:r>
        <w:rPr>
          <w:szCs w:val="24"/>
        </w:rPr>
        <w:t>°C</w:t>
      </w:r>
      <w:r>
        <w:rPr>
          <w:szCs w:val="24"/>
          <w:lang w:eastAsia="zh-CN"/>
        </w:rPr>
        <w:t>. After removal of serum, the remaining red blood cells were washed twice with saline and then diluted with saline to 5% (v/v) erythrocyte suspension. The 500 μL of the red blood cell suspension was mixed with 0.5 mL distilled water (positive control), 100 μL of PBS and 400 μL of DOX solution dissolved in saline (negative control), and 400 μL of saline and 100 μL of nanovesicle carrier solution dissolved in PBS. The mixtures were incubated at 37</w:t>
      </w:r>
      <w:r>
        <w:rPr>
          <w:rFonts w:eastAsia="宋体"/>
          <w:szCs w:val="24"/>
          <w:lang w:eastAsia="zh-CN"/>
        </w:rPr>
        <w:t>℃</w:t>
      </w:r>
      <w:r>
        <w:rPr>
          <w:szCs w:val="24"/>
          <w:lang w:eastAsia="zh-CN"/>
        </w:rPr>
        <w:t xml:space="preserve"> for 3 h, followed by centrifugation at 2,000 rpm for 5 min at 4</w:t>
      </w:r>
      <w:r>
        <w:rPr>
          <w:rFonts w:eastAsia="宋体"/>
          <w:szCs w:val="24"/>
          <w:lang w:eastAsia="zh-CN"/>
        </w:rPr>
        <w:t>℃</w:t>
      </w:r>
      <w:r>
        <w:rPr>
          <w:szCs w:val="24"/>
          <w:lang w:eastAsia="zh-CN"/>
        </w:rPr>
        <w:t>. 100 μL of supernatants were then transferred to a 96-well plate, and absorbance was measured at 570 nm using a microplate reader. The hemolysis rate was calculated according to the following formula (1): Hemolysis rate (%) = (Asample-Anegative)/(APositive-Anegative) × 100.</w:t>
      </w:r>
    </w:p>
    <w:p>
      <w:pPr>
        <w:pStyle w:val="60"/>
        <w:keepNext/>
        <w:widowControl w:val="0"/>
        <w:spacing w:before="240" w:after="240" w:line="360" w:lineRule="auto"/>
        <w:jc w:val="both"/>
        <w:rPr>
          <w:szCs w:val="24"/>
          <w:lang w:eastAsia="zh-CN"/>
        </w:rPr>
      </w:pPr>
      <w:r>
        <w:rPr>
          <w:b/>
          <w:bCs/>
          <w:i/>
          <w:iCs/>
          <w:szCs w:val="24"/>
        </w:rPr>
        <w:t>In vitro</w:t>
      </w:r>
      <w:r>
        <w:rPr>
          <w:b/>
          <w:bCs/>
          <w:szCs w:val="24"/>
        </w:rPr>
        <w:t xml:space="preserve"> cytotoxicity assay</w:t>
      </w:r>
      <w:r>
        <w:rPr>
          <w:b/>
          <w:bCs/>
          <w:szCs w:val="24"/>
          <w:lang w:eastAsia="zh-CN"/>
        </w:rPr>
        <w:t xml:space="preserve">: </w:t>
      </w:r>
      <w:r>
        <w:rPr>
          <w:szCs w:val="24"/>
        </w:rPr>
        <w:t xml:space="preserve">The cytotoxicity assay of STCM-NVs was performed with MCF-10A cells by CCK-8 assay. MCF-10A cells were seeded into 96-well plates (3,000 cells per well). The next day, the culture medium was replaced with </w:t>
      </w:r>
      <w:r>
        <w:rPr>
          <w:szCs w:val="24"/>
          <w:lang w:eastAsia="zh-CN"/>
        </w:rPr>
        <w:t>fresh</w:t>
      </w:r>
      <w:r>
        <w:rPr>
          <w:szCs w:val="24"/>
        </w:rPr>
        <w:t xml:space="preserve"> medium containing different concentrations of STCM-NVs (10, 25, 50, 75, and 100 μg/mL) for 48 h. After treatment, 10 µL of CCK-8 solution (</w:t>
      </w:r>
      <w:r>
        <w:rPr>
          <w:szCs w:val="24"/>
          <w:lang w:eastAsia="zh-CN"/>
        </w:rPr>
        <w:t>40203ES60, Yesen</w:t>
      </w:r>
      <w:r>
        <w:rPr>
          <w:szCs w:val="24"/>
        </w:rPr>
        <w:t>) was added to each well, followed by incubation for 2 h according to the manufacturer’s instructions. Absorbance was then measured at 450 nm using a microplate reader.</w:t>
      </w:r>
    </w:p>
    <w:p>
      <w:pPr>
        <w:keepNext/>
        <w:spacing w:before="240" w:after="60" w:line="360" w:lineRule="auto"/>
        <w:jc w:val="both"/>
        <w:rPr>
          <w:rFonts w:eastAsia="宋体"/>
          <w:lang w:eastAsia="zh-CN"/>
        </w:rPr>
      </w:pPr>
      <w:r>
        <w:rPr>
          <w:b/>
          <w:bCs/>
        </w:rPr>
        <w:t>Measurement of encapsulation efficiency</w:t>
      </w:r>
      <w:r>
        <w:rPr>
          <w:b/>
          <w:bCs/>
          <w:lang w:eastAsia="zh-CN"/>
        </w:rPr>
        <w:t>:</w:t>
      </w:r>
      <w:r>
        <w:rPr>
          <w:b/>
          <w:bCs/>
        </w:rPr>
        <w:t xml:space="preserve"> </w:t>
      </w:r>
      <w:r>
        <w:t xml:space="preserve">200 μL of STCM-NVs@DOX or </w:t>
      </w:r>
      <w:r>
        <w:rPr>
          <w:color w:val="000000" w:themeColor="text1"/>
        </w:rPr>
        <w:t>HTCM-NVs@DOX</w:t>
      </w:r>
      <w:r>
        <w:t xml:space="preserve"> suspension was mixed with an equal volume of lysis buffer and incubated on ice for 1 h. Subsequently, 100 μL of the lysed suspension was transferred to a 96-well plate, and absorbance was measured at 480 nm using a microplate reader. The released DOX content was calculated based on the standard curve established for the DOX solution.</w:t>
      </w:r>
      <w:r>
        <w:rPr>
          <w:lang w:eastAsia="zh-CN"/>
        </w:rPr>
        <w:t xml:space="preserve"> </w:t>
      </w:r>
      <w:r>
        <w:rPr>
          <w:rFonts w:eastAsia="宋体"/>
          <w:lang w:eastAsia="zh-CN"/>
        </w:rPr>
        <w:t xml:space="preserve">The maximum drug entrapment efficiency (EE%) can be calculated as follows (28):  </w:t>
      </w:r>
      <w:r>
        <w:rPr>
          <w:rFonts w:ascii="Arial Regular" w:hAnsi="Arial Regular" w:eastAsia="宋体" w:cs="Arial Regular"/>
          <w:sz w:val="20"/>
          <w:lang w:eastAsia="zh-CN"/>
        </w:rPr>
        <w:t xml:space="preserve"> </w:t>
      </w:r>
    </w:p>
    <w:p>
      <w:pPr>
        <w:keepNext/>
        <w:spacing w:before="240"/>
        <w:contextualSpacing/>
        <w:jc w:val="both"/>
        <w:rPr>
          <w:rFonts w:eastAsia="宋体"/>
          <w:lang w:eastAsia="zh-CN"/>
        </w:rPr>
      </w:pPr>
      <w:r>
        <w:rPr>
          <w:rFonts w:hint="eastAsia" w:eastAsiaTheme="minorEastAsia"/>
          <w:lang w:eastAsia="zh-CN"/>
        </w:rPr>
        <w:t xml:space="preserve">Equation S1                         </w:t>
      </w:r>
      <w:r>
        <w:t>EE%=</w:t>
      </w:r>
      <m:oMath>
        <m:f>
          <m:fPr>
            <m:ctrlPr>
              <w:rPr>
                <w:rFonts w:ascii="Cambria Math" w:hAnsi="Cambria Math" w:eastAsiaTheme="minorEastAsia"/>
                <w:i/>
                <w:lang w:eastAsia="en-US"/>
              </w:rPr>
            </m:ctrlPr>
          </m:fPr>
          <m:num>
            <m:r>
              <m:rPr/>
              <w:rPr>
                <w:rFonts w:ascii="Cambria Math" w:hAnsi="Cambria Math"/>
              </w:rPr>
              <m:t>Drug added−Free untrapped drug</m:t>
            </m:r>
            <m:ctrlPr>
              <w:rPr>
                <w:rFonts w:ascii="Cambria Math" w:hAnsi="Cambria Math" w:eastAsiaTheme="minorEastAsia"/>
                <w:i/>
                <w:lang w:eastAsia="en-US"/>
              </w:rPr>
            </m:ctrlPr>
          </m:num>
          <m:den>
            <m:r>
              <m:rPr/>
              <w:rPr>
                <w:rFonts w:ascii="Cambria Math" w:hAnsi="Cambria Math"/>
              </w:rPr>
              <m:t>Drug added</m:t>
            </m:r>
            <m:ctrlPr>
              <w:rPr>
                <w:rFonts w:ascii="Cambria Math" w:hAnsi="Cambria Math" w:eastAsiaTheme="minorEastAsia"/>
                <w:i/>
                <w:lang w:eastAsia="en-US"/>
              </w:rPr>
            </m:ctrlPr>
          </m:den>
        </m:f>
        <m:r>
          <m:rPr/>
          <w:rPr>
            <w:rFonts w:ascii="Cambria Math" w:hAnsi="Cambria Math"/>
          </w:rPr>
          <m:t>∗1</m:t>
        </m:r>
      </m:oMath>
      <w:r>
        <w:rPr>
          <w:i/>
        </w:rPr>
        <w:t>00</w:t>
      </w:r>
    </w:p>
    <w:p>
      <w:pPr>
        <w:pStyle w:val="60"/>
        <w:keepNext/>
        <w:widowControl w:val="0"/>
        <w:spacing w:before="240" w:after="240" w:line="360" w:lineRule="auto"/>
        <w:jc w:val="both"/>
        <w:rPr>
          <w:szCs w:val="24"/>
          <w:lang w:eastAsia="zh-CN"/>
        </w:rPr>
      </w:pPr>
      <w:r>
        <w:rPr>
          <w:b/>
          <w:bCs/>
          <w:i/>
          <w:iCs/>
          <w:szCs w:val="24"/>
        </w:rPr>
        <w:t>In vitro</w:t>
      </w:r>
      <w:r>
        <w:rPr>
          <w:b/>
          <w:bCs/>
          <w:szCs w:val="24"/>
        </w:rPr>
        <w:t xml:space="preserve"> drug release</w:t>
      </w:r>
      <w:r>
        <w:rPr>
          <w:szCs w:val="24"/>
          <w:lang w:eastAsia="zh-CN"/>
        </w:rPr>
        <w:t>:</w:t>
      </w:r>
      <w:r>
        <w:rPr>
          <w:color w:val="EE0000"/>
          <w:szCs w:val="24"/>
        </w:rPr>
        <w:t xml:space="preserve"> </w:t>
      </w:r>
      <w:r>
        <w:rPr>
          <w:szCs w:val="24"/>
          <w:lang w:eastAsia="zh-CN"/>
        </w:rPr>
        <w:t>As prepared STCM-NVs@DOX and HTCM-NVs@DOX solution 1 mL in PBS with 0.1% Triton-X100 was dialyzed against PBS buffer (3 mL). The buffer tube was immersed in a water bath</w:t>
      </w:r>
      <w:r>
        <w:rPr>
          <w:szCs w:val="24"/>
        </w:rPr>
        <w:t xml:space="preserve"> </w:t>
      </w:r>
      <w:r>
        <w:rPr>
          <w:szCs w:val="24"/>
          <w:lang w:eastAsia="zh-CN"/>
        </w:rPr>
        <w:t>(</w:t>
      </w:r>
      <w:r>
        <w:rPr>
          <w:szCs w:val="24"/>
        </w:rPr>
        <w:t xml:space="preserve">37 </w:t>
      </w:r>
      <w:r>
        <w:rPr>
          <w:szCs w:val="24"/>
          <w:vertAlign w:val="superscript"/>
        </w:rPr>
        <w:t>◦</w:t>
      </w:r>
      <w:r>
        <w:rPr>
          <w:szCs w:val="24"/>
        </w:rPr>
        <w:t>C</w:t>
      </w:r>
      <w:r>
        <w:rPr>
          <w:szCs w:val="24"/>
          <w:lang w:eastAsia="zh-CN"/>
        </w:rPr>
        <w:t xml:space="preserve">) with gentle shaking (200 rpm). At the indicated time points, the outer buffer was withdrawn and replaced with the same volume of fresh buffer solution. The cumulative amounts of DOX released from STCM-NVs@DOX or HTCM-NVs@DOX were determined by calculation the fluorescence intensity at 560 nm, using an experimental obtained standard calibration curve. </w:t>
      </w:r>
    </w:p>
    <w:p>
      <w:pPr>
        <w:pStyle w:val="60"/>
        <w:keepNext/>
        <w:widowControl w:val="0"/>
        <w:spacing w:before="240" w:after="240" w:line="360" w:lineRule="auto"/>
        <w:jc w:val="both"/>
        <w:rPr>
          <w:szCs w:val="24"/>
        </w:rPr>
      </w:pPr>
      <w:r>
        <w:rPr>
          <w:b/>
          <w:bCs/>
          <w:i/>
          <w:iCs/>
          <w:szCs w:val="24"/>
        </w:rPr>
        <w:t>In vivo</w:t>
      </w:r>
      <w:r>
        <w:rPr>
          <w:b/>
          <w:bCs/>
          <w:i/>
          <w:iCs/>
          <w:szCs w:val="24"/>
          <w:lang w:eastAsia="zh-CN"/>
        </w:rPr>
        <w:t xml:space="preserve"> </w:t>
      </w:r>
      <w:r>
        <w:rPr>
          <w:b/>
          <w:bCs/>
          <w:szCs w:val="24"/>
          <w:lang w:eastAsia="zh-CN"/>
        </w:rPr>
        <w:t>circulation analysis:</w:t>
      </w:r>
      <w:r>
        <w:rPr>
          <w:b/>
          <w:bCs/>
          <w:szCs w:val="24"/>
        </w:rPr>
        <w:t xml:space="preserve"> </w:t>
      </w:r>
      <w:r>
        <w:rPr>
          <w:szCs w:val="24"/>
          <w:lang w:eastAsia="zh-CN"/>
        </w:rPr>
        <w:t xml:space="preserve">Mice were cared for and performed according to the instruction and approval of the institutional animal care and use committee of </w:t>
      </w:r>
      <w:r>
        <w:rPr>
          <w:szCs w:val="24"/>
        </w:rPr>
        <w:t>Guangdong medical University</w:t>
      </w:r>
      <w:r>
        <w:rPr>
          <w:szCs w:val="24"/>
          <w:lang w:eastAsia="zh-CN"/>
        </w:rPr>
        <w:t>. DID labeled STCM-NVs and HTCM-NVs were washed with PBS for 3 times. The mice (n=3) were injected intravenously with 200</w:t>
      </w:r>
      <w:r>
        <w:rPr>
          <w:szCs w:val="24"/>
        </w:rPr>
        <w:t xml:space="preserve"> μL </w:t>
      </w:r>
      <w:r>
        <w:rPr>
          <w:szCs w:val="24"/>
          <w:lang w:eastAsia="zh-CN"/>
        </w:rPr>
        <w:t>STCM-NVs and HTCM-NVs solution respectively.</w:t>
      </w:r>
      <w:r>
        <w:rPr>
          <w:szCs w:val="24"/>
        </w:rPr>
        <w:t xml:space="preserve"> At various time points after the injection (0</w:t>
      </w:r>
      <w:r>
        <w:rPr>
          <w:szCs w:val="24"/>
          <w:lang w:eastAsia="zh-CN"/>
        </w:rPr>
        <w:t>.05</w:t>
      </w:r>
      <w:r>
        <w:rPr>
          <w:szCs w:val="24"/>
        </w:rPr>
        <w:t xml:space="preserve">, </w:t>
      </w:r>
      <w:r>
        <w:rPr>
          <w:szCs w:val="24"/>
          <w:lang w:eastAsia="zh-CN"/>
        </w:rPr>
        <w:t xml:space="preserve">0.5, </w:t>
      </w:r>
      <w:r>
        <w:rPr>
          <w:szCs w:val="24"/>
        </w:rPr>
        <w:t xml:space="preserve">1, 2, 4, 12, 24, and 48 h). Blood samples were then collected retroorbitally from the right eye and read on the microplate reader, and the sample fluorescence was normalized. </w:t>
      </w:r>
    </w:p>
    <w:p>
      <w:pPr>
        <w:pStyle w:val="60"/>
        <w:keepNext/>
        <w:widowControl w:val="0"/>
        <w:spacing w:before="240" w:after="240" w:line="360" w:lineRule="auto"/>
        <w:jc w:val="both"/>
        <w:rPr>
          <w:szCs w:val="24"/>
          <w:lang w:eastAsia="zh-CN"/>
        </w:rPr>
      </w:pPr>
      <w:r>
        <w:rPr>
          <w:b/>
          <w:bCs/>
          <w:szCs w:val="24"/>
          <w:lang w:eastAsia="zh-CN"/>
        </w:rPr>
        <w:t>Mass spectrometry-based proteomics of senescent MDA-MB-231 cell membrane:</w:t>
      </w:r>
      <w:r>
        <w:rPr>
          <w:szCs w:val="24"/>
          <w:lang w:eastAsia="zh-CN"/>
        </w:rPr>
        <w:t xml:space="preserve"> The membrane proteins were isolated from MDA-MB-231 cells that were proliferating or rendered senescent by exposure DOX. Mass spectrometry processing was performed by liquid chromatography coupled tandem MS (LS-MS/MS) using a Orbitrap Astral mass spectrometer (Thermo Fisher Scientific). Raw data files acquired from each sample were searched against the human UniprotKB database using the Proteome Discoverer (v1.4) based on the SEQUEST algorithm (Thermo Fisher Scientific). The mass spectrometry proteomics data have been deposited to iProX database with project ID IPX0016960000.</w:t>
      </w:r>
    </w:p>
    <w:p>
      <w:pPr>
        <w:pStyle w:val="60"/>
        <w:keepNext/>
        <w:widowControl w:val="0"/>
        <w:spacing w:before="240" w:after="240" w:line="360" w:lineRule="auto"/>
        <w:jc w:val="both"/>
        <w:rPr>
          <w:szCs w:val="24"/>
          <w:lang w:eastAsia="zh-CN"/>
        </w:rPr>
      </w:pPr>
      <w:r>
        <w:rPr>
          <w:b/>
          <w:bCs/>
          <w:szCs w:val="24"/>
          <w:lang w:eastAsia="zh-CN"/>
        </w:rPr>
        <w:t xml:space="preserve">Disruption of collagen structure: </w:t>
      </w:r>
      <w:r>
        <w:rPr>
          <w:szCs w:val="24"/>
        </w:rPr>
        <w:t xml:space="preserve">Senescent MDA-MB-231 </w:t>
      </w:r>
      <w:r>
        <w:rPr>
          <w:color w:val="000000" w:themeColor="text1"/>
          <w:szCs w:val="24"/>
        </w:rPr>
        <w:t>cells</w:t>
      </w:r>
      <w:r>
        <w:rPr>
          <w:szCs w:val="24"/>
        </w:rPr>
        <w:t xml:space="preserve"> were treated with 1 mg/mL type I collagenase </w:t>
      </w:r>
      <w:r>
        <w:rPr>
          <w:rFonts w:eastAsia="宋体"/>
          <w:szCs w:val="24"/>
          <w:lang w:eastAsia="zh-CN"/>
        </w:rPr>
        <w:t xml:space="preserve">(17018029, Thermo Fisher Scientific) </w:t>
      </w:r>
      <w:r>
        <w:rPr>
          <w:szCs w:val="24"/>
        </w:rPr>
        <w:t xml:space="preserve">in DMEM at 37 °C for 1 h, followed by 0.2 mg/mL type III collagenase </w:t>
      </w:r>
      <w:r>
        <w:rPr>
          <w:rFonts w:eastAsia="宋体"/>
          <w:szCs w:val="24"/>
          <w:lang w:eastAsia="zh-CN"/>
        </w:rPr>
        <w:t xml:space="preserve">(10269638001, Roche) </w:t>
      </w:r>
      <w:r>
        <w:rPr>
          <w:szCs w:val="24"/>
        </w:rPr>
        <w:t xml:space="preserve">in Opti-MEM serum-free medium </w:t>
      </w:r>
      <w:r>
        <w:rPr>
          <w:rFonts w:eastAsia="宋体"/>
          <w:szCs w:val="24"/>
          <w:lang w:eastAsia="zh-CN"/>
        </w:rPr>
        <w:t xml:space="preserve">(57985091, Gibco) </w:t>
      </w:r>
      <w:r>
        <w:rPr>
          <w:szCs w:val="24"/>
        </w:rPr>
        <w:t>at 37 °C for 45 min. After incubation, the collagenase solution was removed, and the senescent cells were collected using a cell scraper to prepare nanovesicles for subsequent endocytosis and adhesion assays.</w:t>
      </w:r>
      <w:r>
        <w:rPr>
          <w:rFonts w:eastAsia="宋体"/>
          <w:szCs w:val="24"/>
          <w:lang w:eastAsia="zh-CN"/>
        </w:rPr>
        <w:t xml:space="preserve"> The degradation efficiency of collagen was verified by western blot.</w:t>
      </w:r>
    </w:p>
    <w:p>
      <w:pPr>
        <w:widowControl w:val="0"/>
        <w:spacing w:before="240" w:after="240" w:line="360" w:lineRule="auto"/>
        <w:jc w:val="both"/>
        <w:rPr>
          <w:color w:val="000000" w:themeColor="text1"/>
          <w:lang w:eastAsia="zh-CN"/>
        </w:rPr>
      </w:pPr>
      <w:r>
        <w:rPr>
          <w:b/>
          <w:bCs/>
          <w:color w:val="000000" w:themeColor="text1"/>
          <w:lang w:eastAsia="zh-CN"/>
        </w:rPr>
        <w:t xml:space="preserve">Lentivirus-mediated stable transfection: </w:t>
      </w:r>
      <w:r>
        <w:rPr>
          <w:color w:val="000000" w:themeColor="text1"/>
          <w:lang w:eastAsia="zh-CN"/>
        </w:rPr>
        <w:t>To generate MDA-MB-231 cells with stable FN1 and CDH1 knockdown, shRNAs targeting FN1 and CDH1 were used as previously reported (2-3). Oligos were cloned into the pLKO.1-puromycin transfer plasmid (ATCC #8453). Lentivirus were produced using 293T cells co-transfected with psPAX2 packaging plasmid and pMD2.G envelope plasmid. 48 h after transfection, viral supernatants were collected, filtered, and used to infect 5 ×10</w:t>
      </w:r>
      <w:r>
        <w:rPr>
          <w:color w:val="000000" w:themeColor="text1"/>
          <w:vertAlign w:val="superscript"/>
          <w:lang w:eastAsia="zh-CN"/>
        </w:rPr>
        <w:t>5</w:t>
      </w:r>
      <w:r>
        <w:rPr>
          <w:color w:val="000000" w:themeColor="text1"/>
          <w:lang w:eastAsia="zh-CN"/>
        </w:rPr>
        <w:t xml:space="preserve"> MDA-MB-231 cells in the presence of 4 </w:t>
      </w:r>
      <w:bookmarkStart w:id="11" w:name="OLE_LINK53"/>
      <w:r>
        <w:rPr>
          <w:color w:val="000000" w:themeColor="text1"/>
          <w:lang w:eastAsia="zh-CN"/>
        </w:rPr>
        <w:t>μg/mL</w:t>
      </w:r>
      <w:bookmarkEnd w:id="11"/>
      <w:r>
        <w:rPr>
          <w:color w:val="000000" w:themeColor="text1"/>
          <w:lang w:eastAsia="zh-CN"/>
        </w:rPr>
        <w:t xml:space="preserve"> </w:t>
      </w:r>
      <w:bookmarkStart w:id="12" w:name="OLE_LINK51"/>
      <w:r>
        <w:rPr>
          <w:color w:val="000000" w:themeColor="text1"/>
          <w:lang w:eastAsia="zh-CN"/>
        </w:rPr>
        <w:t>polybrene</w:t>
      </w:r>
      <w:bookmarkEnd w:id="12"/>
      <w:r>
        <w:rPr>
          <w:color w:val="000000" w:themeColor="text1"/>
          <w:lang w:eastAsia="zh-CN"/>
        </w:rPr>
        <w:t xml:space="preserve"> ( TR-1003, Sigma Aldrich)，24 h after viral infection, MDA-MB-231 cells were selected with </w:t>
      </w:r>
      <w:bookmarkStart w:id="13" w:name="OLE_LINK52"/>
      <w:r>
        <w:rPr>
          <w:color w:val="000000" w:themeColor="text1"/>
          <w:lang w:eastAsia="zh-CN"/>
        </w:rPr>
        <w:t>2.5 μg/mL  puromycin (A1113802, InvivoGen)</w:t>
      </w:r>
      <w:bookmarkEnd w:id="13"/>
      <w:r>
        <w:rPr>
          <w:color w:val="000000" w:themeColor="text1"/>
          <w:lang w:eastAsia="zh-CN"/>
        </w:rPr>
        <w:t xml:space="preserve">.  FN1 and CDH1 knockdown efficiency were evaluated at protein levels.  </w:t>
      </w:r>
    </w:p>
    <w:p>
      <w:pPr>
        <w:widowControl w:val="0"/>
        <w:spacing w:line="360" w:lineRule="auto"/>
        <w:jc w:val="both"/>
        <w:rPr>
          <w:lang w:eastAsia="en-US"/>
        </w:rPr>
      </w:pPr>
      <w:r>
        <w:rPr>
          <w:b/>
          <w:bCs/>
        </w:rPr>
        <w:t>Animals</w:t>
      </w:r>
      <w:r>
        <w:rPr>
          <w:b/>
          <w:bCs/>
          <w:lang w:eastAsia="zh-CN"/>
        </w:rPr>
        <w:t>:</w:t>
      </w:r>
      <w:r>
        <w:rPr>
          <w:b/>
          <w:bCs/>
        </w:rPr>
        <w:t xml:space="preserve"> </w:t>
      </w:r>
      <w:r>
        <w:t>Female BALB/C-Nude mice (8 weeks old) were purchased from Guangdong Medical Laboratory Animal Center (Foshan, China). All animal experiments were performed in accordance with the guidelines of the Institutional Animal Care and Use Committee of Guangdong medical University</w:t>
      </w:r>
      <w:r>
        <w:rPr>
          <w:lang w:eastAsia="zh-CN"/>
        </w:rPr>
        <w:t xml:space="preserve"> (Approved number GDMU-2024-000101)</w:t>
      </w:r>
      <w:r>
        <w:t>. The study followed a randomized, prospective, and controlled animal model design, adhering to the ARRIVE guidelines. Mice were housed in polycarbonate cages within a controlled environment (23°C ± 2°C; 40-65% humidity; 12-h light/dark cycle). The animals were acclimatized for at least one week prior to the experiment, provided alfalfa-free diet (AIN-76A, Harlan Teklad), and allowed ad libitum access to drinking water.</w:t>
      </w:r>
      <w:r>
        <w:rPr>
          <w:b/>
          <w:bCs/>
        </w:rPr>
        <w:t>Orthotopic mammary tumor models</w:t>
      </w:r>
      <w:r>
        <w:rPr>
          <w:b/>
          <w:bCs/>
          <w:lang w:eastAsia="zh-CN"/>
        </w:rPr>
        <w:t>:</w:t>
      </w:r>
      <w:r>
        <w:rPr>
          <w:b/>
          <w:bCs/>
        </w:rPr>
        <w:t xml:space="preserve"> </w:t>
      </w:r>
      <w:r>
        <w:t>Before tumor implantation, mice underwent general anesthesia and were kept on a heating pad. A total of 5 × 10</w:t>
      </w:r>
      <w:r>
        <w:rPr>
          <w:vertAlign w:val="superscript"/>
        </w:rPr>
        <w:t>6</w:t>
      </w:r>
      <w:r>
        <w:t xml:space="preserve"> MDA-MB-231 cells were suspended in</w:t>
      </w:r>
      <w:r>
        <w:rPr>
          <w:lang w:eastAsia="zh-CN"/>
        </w:rPr>
        <w:t xml:space="preserve"> </w:t>
      </w:r>
      <w:r>
        <w:t>100 μL of Matrigel matrix gel (Corning, Cat# 354234) and were injected into the fourth mammary fat pad. Tumor growth was monitored every 2 or 3 days by measuring tumor dimensions with a caliper. Tumor volume was calculated using the formula (length x width</w:t>
      </w:r>
      <w:r>
        <w:rPr>
          <w:vertAlign w:val="superscript"/>
        </w:rPr>
        <w:t>2</w:t>
      </w:r>
      <w:r>
        <w:t xml:space="preserve">) / 2. </w:t>
      </w:r>
    </w:p>
    <w:p>
      <w:pPr>
        <w:pStyle w:val="60"/>
        <w:widowControl w:val="0"/>
        <w:spacing w:before="240" w:after="240" w:line="360" w:lineRule="auto"/>
        <w:jc w:val="both"/>
        <w:rPr>
          <w:szCs w:val="24"/>
        </w:rPr>
      </w:pPr>
      <w:r>
        <w:rPr>
          <w:b/>
          <w:bCs/>
          <w:szCs w:val="24"/>
        </w:rPr>
        <w:t xml:space="preserve">Histology and immunohistochemical analysis. </w:t>
      </w:r>
      <w:r>
        <w:rPr>
          <w:szCs w:val="24"/>
        </w:rPr>
        <w:t>Mammary</w:t>
      </w:r>
      <w:r>
        <w:rPr>
          <w:color w:val="EE0000"/>
          <w:szCs w:val="24"/>
        </w:rPr>
        <w:t xml:space="preserve"> </w:t>
      </w:r>
      <w:r>
        <w:rPr>
          <w:szCs w:val="24"/>
        </w:rPr>
        <w:t>tumor tissues and major organs were collected and ﬁxed in 4% PFA. For histological analysis, parafﬁn-embedded slides were stained with H&amp;E. For immunohistochemical analysis, parafﬁn-embedded slides (</w:t>
      </w:r>
      <w:r>
        <w:rPr>
          <w:szCs w:val="24"/>
          <w:lang w:eastAsia="zh-CN"/>
        </w:rPr>
        <w:t>3</w:t>
      </w:r>
      <w:r>
        <w:rPr>
          <w:szCs w:val="24"/>
        </w:rPr>
        <w:t xml:space="preserve"> μm) were deparafﬁnized in xylene, rehydrated through graded ethanol, and heated in 10 mmol/L sodium citrate buffer (pH 6.0)</w:t>
      </w:r>
      <w:r>
        <w:rPr>
          <w:color w:val="EE0000"/>
          <w:szCs w:val="24"/>
        </w:rPr>
        <w:t xml:space="preserve"> </w:t>
      </w:r>
      <w:r>
        <w:rPr>
          <w:szCs w:val="24"/>
        </w:rPr>
        <w:t xml:space="preserve">for antigen retrieval. After blocking with 5% goat serum in PBS, the slides were incubated overnight at 4 °C with primary antibodies against </w:t>
      </w:r>
      <w:bookmarkStart w:id="14" w:name="OLE_LINK60"/>
      <w:r>
        <w:rPr>
          <w:szCs w:val="24"/>
          <w:lang w:eastAsia="zh-CN"/>
        </w:rPr>
        <w:t>F4/80</w:t>
      </w:r>
      <w:bookmarkEnd w:id="14"/>
      <w:r>
        <w:rPr>
          <w:szCs w:val="24"/>
          <w:lang w:eastAsia="zh-CN"/>
        </w:rPr>
        <w:t xml:space="preserve"> (#19233, Cell Signaling Technology)</w:t>
      </w:r>
      <w:r>
        <w:rPr>
          <w:szCs w:val="24"/>
        </w:rPr>
        <w:t xml:space="preserve"> and Ki67</w:t>
      </w:r>
      <w:r>
        <w:rPr>
          <w:szCs w:val="24"/>
          <w:lang w:eastAsia="zh-CN"/>
        </w:rPr>
        <w:t xml:space="preserve"> (9449s, Cell Signaling Technology)</w:t>
      </w:r>
      <w:r>
        <w:rPr>
          <w:szCs w:val="24"/>
        </w:rPr>
        <w:t xml:space="preserve">, then detected using an HRP-conjugated secondary antibody </w:t>
      </w:r>
      <w:r>
        <w:rPr>
          <w:szCs w:val="24"/>
          <w:lang w:eastAsia="zh-CN"/>
        </w:rPr>
        <w:t xml:space="preserve">(#7076, Cell Signaling Technology) </w:t>
      </w:r>
      <w:r>
        <w:rPr>
          <w:szCs w:val="24"/>
        </w:rPr>
        <w:t xml:space="preserve">and </w:t>
      </w:r>
      <w:bookmarkStart w:id="15" w:name="OLE_LINK61"/>
      <w:r>
        <w:rPr>
          <w:szCs w:val="24"/>
        </w:rPr>
        <w:t xml:space="preserve">DAB </w:t>
      </w:r>
      <w:bookmarkEnd w:id="15"/>
      <w:r>
        <w:rPr>
          <w:szCs w:val="24"/>
          <w:lang w:eastAsia="zh-CN"/>
        </w:rPr>
        <w:t xml:space="preserve">(D7304, Sigma Aldrich) </w:t>
      </w:r>
      <w:r>
        <w:rPr>
          <w:szCs w:val="24"/>
        </w:rPr>
        <w:t>substrate. All the slides were counterstained with hematoxylin. Images were photographed using a light microscope.</w:t>
      </w:r>
    </w:p>
    <w:p>
      <w:pPr>
        <w:pStyle w:val="60"/>
        <w:widowControl w:val="0"/>
        <w:spacing w:before="240" w:after="240" w:line="360" w:lineRule="auto"/>
        <w:jc w:val="both"/>
        <w:rPr>
          <w:szCs w:val="24"/>
        </w:rPr>
      </w:pPr>
      <w:r>
        <w:rPr>
          <w:b/>
          <w:bCs/>
          <w:szCs w:val="24"/>
          <w:lang w:eastAsia="zh-CN"/>
        </w:rPr>
        <w:t xml:space="preserve">Enzyme-Linked Immunosorbent assay (ELISA): </w:t>
      </w:r>
      <w:r>
        <w:rPr>
          <w:szCs w:val="24"/>
          <w:lang w:eastAsia="zh-CN"/>
        </w:rPr>
        <w:t>The ELISA kit (575609, 575809, BioLegent) were used to detect mouse IL-4 and IL-10 levels according to the manufacturer’s protocol. The serum samples were diluted and incubated with anti-IL4 or IL-10 antibody in a 96-well plate. A microplate reader was used to detect the OD value of IL-4 and IL-10 expression.</w:t>
      </w:r>
    </w:p>
    <w:p>
      <w:pPr>
        <w:pStyle w:val="60"/>
        <w:widowControl w:val="0"/>
        <w:spacing w:before="240" w:after="240" w:line="360" w:lineRule="auto"/>
        <w:jc w:val="both"/>
        <w:rPr>
          <w:szCs w:val="24"/>
        </w:rPr>
      </w:pPr>
      <w:r>
        <w:rPr>
          <w:b/>
          <w:bCs/>
          <w:szCs w:val="24"/>
          <w:lang w:eastAsia="zh-CN"/>
        </w:rPr>
        <w:t>Liver and kidney function tests</w:t>
      </w:r>
      <w:r>
        <w:rPr>
          <w:szCs w:val="24"/>
          <w:lang w:eastAsia="zh-CN"/>
        </w:rPr>
        <w:t xml:space="preserve">: The important indexes concerning liver and kidney function, including alanine transaminase (ALT), aspartate transaminase (AST), albumin/globulin (A/G) ratio, and creatine (CRE), were measured by a blood biochemistry analyzer. </w:t>
      </w:r>
    </w:p>
    <w:p>
      <w:pPr>
        <w:spacing w:after="240" w:line="360" w:lineRule="auto"/>
        <w:jc w:val="both"/>
        <w:rPr>
          <w:rFonts w:eastAsiaTheme="minorEastAsia"/>
          <w:lang w:eastAsia="zh-CN"/>
        </w:rPr>
      </w:pPr>
      <w:r>
        <w:rPr>
          <w:b/>
          <w:bCs/>
        </w:rPr>
        <w:t xml:space="preserve">SEM observation of </w:t>
      </w:r>
      <w:r>
        <w:rPr>
          <w:b/>
          <w:bCs/>
          <w:lang w:eastAsia="zh-CN"/>
        </w:rPr>
        <w:t xml:space="preserve">senescent cancer </w:t>
      </w:r>
      <w:r>
        <w:rPr>
          <w:b/>
          <w:bCs/>
        </w:rPr>
        <w:t>cell</w:t>
      </w:r>
      <w:r>
        <w:rPr>
          <w:b/>
          <w:bCs/>
          <w:lang w:eastAsia="zh-CN"/>
        </w:rPr>
        <w:t xml:space="preserve"> </w:t>
      </w:r>
      <w:r>
        <w:rPr>
          <w:rFonts w:eastAsia="宋体"/>
          <w:b/>
          <w:bCs/>
          <w:lang w:eastAsia="zh-CN"/>
        </w:rPr>
        <w:t>filopodial structures</w:t>
      </w:r>
      <w:r>
        <w:rPr>
          <w:lang w:eastAsia="zh-CN"/>
        </w:rPr>
        <w:t>:</w:t>
      </w:r>
      <w:r>
        <w:t xml:space="preserve"> After sterilization, glass coverslips were placed in 24 well plates and </w:t>
      </w:r>
      <w:r>
        <w:rPr>
          <w:lang w:eastAsia="zh-CN"/>
        </w:rPr>
        <w:t>MDA-MB-231</w:t>
      </w:r>
      <w:r>
        <w:t>cells were seeded at 3 × 10</w:t>
      </w:r>
      <w:r>
        <w:rPr>
          <w:vertAlign w:val="superscript"/>
        </w:rPr>
        <w:t>4</w:t>
      </w:r>
      <w:r>
        <w:t xml:space="preserve"> cells per well. After 12 h of adhesion, 400 µL of </w:t>
      </w:r>
      <w:r>
        <w:rPr>
          <w:lang w:eastAsia="zh-CN"/>
        </w:rPr>
        <w:t xml:space="preserve">0.15 μM </w:t>
      </w:r>
      <w:r>
        <w:t>DOX</w:t>
      </w:r>
      <w:r>
        <w:noBreakHyphen/>
      </w:r>
      <w:r>
        <w:t>containing medium was added to induce stimulation for 6 days. The cells were then washed with PBS and fixed with 2.5% glutaraldehyde at 4°C for 12 h, followed by secondary fixation with 1% osmium tetroxide at 4°C for 1.5 h. Samples were then processed through ethanol gradients, rapid liquid nitrogen freezing, and vacuum drying. Coverslips were mounted on conductive adhesive, sputter</w:t>
      </w:r>
      <w:r>
        <w:noBreakHyphen/>
      </w:r>
      <w:r>
        <w:t>coated with gold, and examined by scanning electron microscopy.</w:t>
      </w:r>
    </w:p>
    <w:p>
      <w:pPr>
        <w:spacing w:line="360" w:lineRule="auto"/>
        <w:jc w:val="both"/>
      </w:pPr>
      <w:r>
        <w:rPr>
          <w:b/>
          <w:bCs/>
        </w:rPr>
        <w:t>Table S1</w:t>
      </w:r>
      <w:r>
        <w:t xml:space="preserve">. </w:t>
      </w:r>
    </w:p>
    <w:p>
      <w:pPr>
        <w:spacing w:line="360" w:lineRule="auto"/>
        <w:jc w:val="center"/>
        <w:rPr>
          <w:rFonts w:eastAsia="楷体"/>
        </w:rPr>
      </w:pPr>
      <w:r>
        <w:rPr>
          <w:rFonts w:eastAsia="楷体"/>
        </w:rPr>
        <w:t>qPCR primer sequences</w:t>
      </w:r>
    </w:p>
    <w:tbl>
      <w:tblPr>
        <w:tblStyle w:val="11"/>
        <w:tblW w:w="8370"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561"/>
        <w:gridCol w:w="1135"/>
        <w:gridCol w:w="1135"/>
        <w:gridCol w:w="4539"/>
      </w:tblGrid>
      <w:tr>
        <w:trPr>
          <w:trHeight w:val="408" w:hRule="atLeast"/>
          <w:jc w:val="center"/>
        </w:trPr>
        <w:tc>
          <w:tcPr>
            <w:tcW w:w="1561" w:type="dxa"/>
            <w:tcBorders>
              <w:top w:val="single" w:color="auto" w:sz="4" w:space="0"/>
              <w:left w:val="nil"/>
              <w:bottom w:val="single" w:color="auto" w:sz="4" w:space="0"/>
              <w:right w:val="nil"/>
            </w:tcBorders>
            <w:vAlign w:val="center"/>
          </w:tcPr>
          <w:p>
            <w:pPr>
              <w:widowControl w:val="0"/>
              <w:spacing w:line="360" w:lineRule="auto"/>
              <w:jc w:val="both"/>
              <w:rPr>
                <w:rFonts w:eastAsia="楷体"/>
                <w:lang w:eastAsia="zh-CN"/>
              </w:rPr>
            </w:pPr>
            <w:r>
              <w:rPr>
                <w:rFonts w:eastAsia="楷体"/>
                <w:lang w:eastAsia="zh-CN"/>
              </w:rPr>
              <w:t>Gene name</w:t>
            </w: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both"/>
              <w:rPr>
                <w:rFonts w:eastAsia="楷体"/>
                <w:lang w:eastAsia="zh-CN"/>
              </w:rPr>
            </w:pPr>
          </w:p>
        </w:tc>
        <w:tc>
          <w:tcPr>
            <w:tcW w:w="4539" w:type="dxa"/>
            <w:tcBorders>
              <w:top w:val="single" w:color="auto" w:sz="4" w:space="0"/>
              <w:left w:val="nil"/>
              <w:bottom w:val="single" w:color="auto" w:sz="4" w:space="0"/>
              <w:right w:val="nil"/>
            </w:tcBorders>
            <w:vAlign w:val="center"/>
          </w:tcPr>
          <w:p>
            <w:pPr>
              <w:widowControl w:val="0"/>
              <w:spacing w:line="360" w:lineRule="auto"/>
              <w:jc w:val="center"/>
              <w:rPr>
                <w:rFonts w:eastAsia="楷体"/>
                <w:lang w:eastAsia="zh-CN"/>
              </w:rPr>
            </w:pPr>
            <w:r>
              <w:rPr>
                <w:rFonts w:eastAsia="楷体"/>
                <w:lang w:eastAsia="zh-CN"/>
              </w:rPr>
              <w:t>sequence</w:t>
            </w:r>
          </w:p>
        </w:tc>
      </w:tr>
      <w:tr>
        <w:trPr>
          <w:trHeight w:val="408" w:hRule="atLeast"/>
          <w:jc w:val="center"/>
        </w:trPr>
        <w:tc>
          <w:tcPr>
            <w:tcW w:w="1561" w:type="dxa"/>
            <w:vMerge w:val="restart"/>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MMP9</w:t>
            </w: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Forward</w:t>
            </w:r>
          </w:p>
        </w:tc>
        <w:tc>
          <w:tcPr>
            <w:tcW w:w="4539"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TCTATGGTCCTCGCCCTGAA</w:t>
            </w:r>
          </w:p>
        </w:tc>
      </w:tr>
      <w:tr>
        <w:trPr>
          <w:trHeight w:val="434" w:hRule="atLeast"/>
          <w:jc w:val="center"/>
        </w:trPr>
        <w:tc>
          <w:tcPr>
            <w:tcW w:w="1561" w:type="dxa"/>
            <w:vMerge w:val="continue"/>
            <w:tcBorders>
              <w:top w:val="single" w:color="auto" w:sz="4" w:space="0"/>
              <w:left w:val="nil"/>
              <w:bottom w:val="single" w:color="auto" w:sz="4" w:space="0"/>
              <w:right w:val="nil"/>
            </w:tcBorders>
            <w:vAlign w:val="center"/>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Reverse</w:t>
            </w:r>
          </w:p>
        </w:tc>
        <w:tc>
          <w:tcPr>
            <w:tcW w:w="4539" w:type="dxa"/>
            <w:tcBorders>
              <w:top w:val="single" w:color="auto" w:sz="4" w:space="0"/>
              <w:left w:val="nil"/>
              <w:bottom w:val="single" w:color="auto" w:sz="4" w:space="0"/>
              <w:right w:val="nil"/>
            </w:tcBorders>
            <w:vAlign w:val="center"/>
          </w:tcPr>
          <w:p>
            <w:pPr>
              <w:widowControl w:val="0"/>
              <w:spacing w:line="360" w:lineRule="auto"/>
              <w:ind w:left="960" w:hanging="960" w:hangingChars="400"/>
              <w:jc w:val="left"/>
              <w:rPr>
                <w:rFonts w:eastAsia="楷体"/>
                <w:lang w:eastAsia="zh-CN"/>
              </w:rPr>
            </w:pPr>
            <w:r>
              <w:rPr>
                <w:rFonts w:eastAsia="楷体"/>
                <w:lang w:eastAsia="zh-CN"/>
              </w:rPr>
              <w:t>TCGCCAGTACTTCCCATCCT</w:t>
            </w:r>
          </w:p>
        </w:tc>
      </w:tr>
      <w:tr>
        <w:trPr>
          <w:trHeight w:val="487" w:hRule="atLeast"/>
          <w:jc w:val="center"/>
        </w:trPr>
        <w:tc>
          <w:tcPr>
            <w:tcW w:w="1561" w:type="dxa"/>
            <w:vMerge w:val="restart"/>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MMP1</w:t>
            </w: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Forward</w:t>
            </w:r>
          </w:p>
        </w:tc>
        <w:tc>
          <w:tcPr>
            <w:tcW w:w="4539" w:type="dxa"/>
            <w:tcBorders>
              <w:top w:val="single" w:color="auto" w:sz="4" w:space="0"/>
              <w:left w:val="nil"/>
              <w:bottom w:val="single" w:color="auto" w:sz="4" w:space="0"/>
              <w:right w:val="nil"/>
            </w:tcBorders>
            <w:vAlign w:val="center"/>
          </w:tcPr>
          <w:p>
            <w:pPr>
              <w:widowControl w:val="0"/>
              <w:spacing w:line="360" w:lineRule="auto"/>
              <w:ind w:left="960" w:hanging="960" w:hangingChars="400"/>
              <w:jc w:val="left"/>
              <w:rPr>
                <w:rFonts w:eastAsia="楷体"/>
                <w:lang w:eastAsia="zh-CN"/>
              </w:rPr>
            </w:pPr>
            <w:r>
              <w:rPr>
                <w:rFonts w:eastAsia="楷体"/>
                <w:lang w:eastAsia="zh-CN"/>
              </w:rPr>
              <w:t>AGAGCAGATGTGGACCATGC</w:t>
            </w:r>
          </w:p>
        </w:tc>
      </w:tr>
      <w:tr>
        <w:trPr>
          <w:trHeight w:val="487" w:hRule="atLeast"/>
          <w:jc w:val="center"/>
        </w:trPr>
        <w:tc>
          <w:tcPr>
            <w:tcW w:w="1561" w:type="dxa"/>
            <w:vMerge w:val="continue"/>
            <w:tcBorders>
              <w:top w:val="single" w:color="auto" w:sz="4" w:space="0"/>
              <w:left w:val="nil"/>
              <w:bottom w:val="single" w:color="auto" w:sz="4" w:space="0"/>
              <w:right w:val="nil"/>
            </w:tcBorders>
            <w:vAlign w:val="center"/>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Reverse</w:t>
            </w:r>
          </w:p>
        </w:tc>
        <w:tc>
          <w:tcPr>
            <w:tcW w:w="4539"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TTGTCCCGATGATCTCCCCT</w:t>
            </w:r>
          </w:p>
        </w:tc>
      </w:tr>
      <w:tr>
        <w:trPr>
          <w:trHeight w:val="487" w:hRule="atLeast"/>
          <w:jc w:val="center"/>
        </w:trPr>
        <w:tc>
          <w:tcPr>
            <w:tcW w:w="1561" w:type="dxa"/>
            <w:vMerge w:val="restart"/>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CXCL8</w:t>
            </w: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Forward</w:t>
            </w:r>
          </w:p>
        </w:tc>
        <w:tc>
          <w:tcPr>
            <w:tcW w:w="4539"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GAAGTTTTTGAAGAGGGCTGAGA</w:t>
            </w:r>
          </w:p>
        </w:tc>
      </w:tr>
      <w:tr>
        <w:trPr>
          <w:trHeight w:val="408" w:hRule="atLeast"/>
          <w:jc w:val="center"/>
        </w:trPr>
        <w:tc>
          <w:tcPr>
            <w:tcW w:w="1561" w:type="dxa"/>
            <w:vMerge w:val="continue"/>
            <w:tcBorders>
              <w:top w:val="single" w:color="auto" w:sz="4" w:space="0"/>
              <w:left w:val="nil"/>
              <w:bottom w:val="single" w:color="auto" w:sz="4" w:space="0"/>
              <w:right w:val="nil"/>
            </w:tcBorders>
            <w:vAlign w:val="center"/>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Reverse</w:t>
            </w:r>
          </w:p>
        </w:tc>
        <w:tc>
          <w:tcPr>
            <w:tcW w:w="4539"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TGCTTGAAGTTTCACTGGCATC</w:t>
            </w:r>
          </w:p>
        </w:tc>
      </w:tr>
      <w:tr>
        <w:trPr>
          <w:trHeight w:val="408" w:hRule="atLeast"/>
          <w:jc w:val="center"/>
        </w:trPr>
        <w:tc>
          <w:tcPr>
            <w:tcW w:w="1561" w:type="dxa"/>
            <w:vMerge w:val="restart"/>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IL6</w:t>
            </w: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Forward</w:t>
            </w:r>
          </w:p>
        </w:tc>
        <w:tc>
          <w:tcPr>
            <w:tcW w:w="4539"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CCACCGGGAACGAAAGAGAA</w:t>
            </w:r>
          </w:p>
        </w:tc>
      </w:tr>
      <w:tr>
        <w:trPr>
          <w:trHeight w:val="408" w:hRule="atLeast"/>
          <w:jc w:val="center"/>
        </w:trPr>
        <w:tc>
          <w:tcPr>
            <w:tcW w:w="1561" w:type="dxa"/>
            <w:vMerge w:val="continue"/>
            <w:tcBorders>
              <w:top w:val="single" w:color="auto" w:sz="4" w:space="0"/>
              <w:left w:val="nil"/>
              <w:bottom w:val="single" w:color="auto" w:sz="4" w:space="0"/>
              <w:right w:val="nil"/>
            </w:tcBorders>
            <w:vAlign w:val="center"/>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Reverse</w:t>
            </w:r>
          </w:p>
        </w:tc>
        <w:tc>
          <w:tcPr>
            <w:tcW w:w="4539"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GGACCGAAGGCGCTTGT</w:t>
            </w:r>
          </w:p>
        </w:tc>
      </w:tr>
      <w:tr>
        <w:trPr>
          <w:trHeight w:val="408" w:hRule="atLeast"/>
          <w:jc w:val="center"/>
        </w:trPr>
        <w:tc>
          <w:tcPr>
            <w:tcW w:w="1561" w:type="dxa"/>
            <w:vMerge w:val="restart"/>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IL1B</w:t>
            </w: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Forward</w:t>
            </w:r>
          </w:p>
        </w:tc>
        <w:tc>
          <w:tcPr>
            <w:tcW w:w="4539"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CCAAACCTCTTCGAGGCACA</w:t>
            </w:r>
          </w:p>
        </w:tc>
      </w:tr>
      <w:tr>
        <w:trPr>
          <w:trHeight w:val="408" w:hRule="atLeast"/>
          <w:jc w:val="center"/>
        </w:trPr>
        <w:tc>
          <w:tcPr>
            <w:tcW w:w="1561" w:type="dxa"/>
            <w:vMerge w:val="continue"/>
            <w:tcBorders>
              <w:top w:val="single" w:color="auto" w:sz="4" w:space="0"/>
              <w:left w:val="nil"/>
              <w:bottom w:val="single" w:color="auto" w:sz="4" w:space="0"/>
              <w:right w:val="nil"/>
            </w:tcBorders>
            <w:vAlign w:val="center"/>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Reverse</w:t>
            </w:r>
          </w:p>
        </w:tc>
        <w:tc>
          <w:tcPr>
            <w:tcW w:w="4539"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GCTGCTTCAGACACTTGAGC</w:t>
            </w:r>
          </w:p>
        </w:tc>
      </w:tr>
      <w:tr>
        <w:trPr>
          <w:trHeight w:val="408" w:hRule="atLeast"/>
          <w:jc w:val="center"/>
        </w:trPr>
        <w:tc>
          <w:tcPr>
            <w:tcW w:w="1561" w:type="dxa"/>
            <w:vMerge w:val="restart"/>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宋体"/>
                <w:lang w:eastAsia="zh-CN"/>
              </w:rPr>
              <w:t>IL1A</w:t>
            </w: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Forward</w:t>
            </w:r>
          </w:p>
        </w:tc>
        <w:tc>
          <w:tcPr>
            <w:tcW w:w="4539"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GCGTTTGAGTCAGCAAAGAAAGT</w:t>
            </w:r>
          </w:p>
        </w:tc>
      </w:tr>
      <w:tr>
        <w:trPr>
          <w:trHeight w:val="408" w:hRule="atLeast"/>
          <w:jc w:val="center"/>
        </w:trPr>
        <w:tc>
          <w:tcPr>
            <w:tcW w:w="1561" w:type="dxa"/>
            <w:vMerge w:val="continue"/>
            <w:tcBorders>
              <w:top w:val="single" w:color="auto" w:sz="4" w:space="0"/>
              <w:left w:val="nil"/>
              <w:bottom w:val="single" w:color="auto" w:sz="4" w:space="0"/>
              <w:right w:val="nil"/>
            </w:tcBorders>
            <w:vAlign w:val="center"/>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Reverse</w:t>
            </w:r>
          </w:p>
        </w:tc>
        <w:tc>
          <w:tcPr>
            <w:tcW w:w="4539"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CAGAGACAGATGATCAATGGAGGA</w:t>
            </w:r>
          </w:p>
        </w:tc>
      </w:tr>
      <w:tr>
        <w:trPr>
          <w:trHeight w:val="408" w:hRule="atLeast"/>
          <w:jc w:val="center"/>
        </w:trPr>
        <w:tc>
          <w:tcPr>
            <w:tcW w:w="1561" w:type="dxa"/>
            <w:vMerge w:val="restart"/>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GAPDH</w:t>
            </w: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Forward</w:t>
            </w:r>
          </w:p>
        </w:tc>
        <w:tc>
          <w:tcPr>
            <w:tcW w:w="4539"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CTGGGCTACACTGAGCACC</w:t>
            </w:r>
          </w:p>
        </w:tc>
      </w:tr>
      <w:tr>
        <w:trPr>
          <w:trHeight w:val="408" w:hRule="atLeast"/>
          <w:jc w:val="center"/>
        </w:trPr>
        <w:tc>
          <w:tcPr>
            <w:tcW w:w="1561" w:type="dxa"/>
            <w:vMerge w:val="continue"/>
            <w:tcBorders>
              <w:top w:val="single" w:color="auto" w:sz="4" w:space="0"/>
              <w:left w:val="nil"/>
              <w:bottom w:val="single" w:color="auto" w:sz="4" w:space="0"/>
              <w:right w:val="nil"/>
            </w:tcBorders>
            <w:vAlign w:val="center"/>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tcPr>
          <w:p>
            <w:pPr>
              <w:widowControl w:val="0"/>
              <w:spacing w:line="360" w:lineRule="auto"/>
              <w:jc w:val="both"/>
              <w:rPr>
                <w:rFonts w:eastAsia="楷体"/>
                <w:lang w:eastAsia="zh-CN"/>
              </w:rPr>
            </w:pPr>
          </w:p>
        </w:tc>
        <w:tc>
          <w:tcPr>
            <w:tcW w:w="1135"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Reverse</w:t>
            </w:r>
          </w:p>
        </w:tc>
        <w:tc>
          <w:tcPr>
            <w:tcW w:w="4539" w:type="dxa"/>
            <w:tcBorders>
              <w:top w:val="single" w:color="auto" w:sz="4" w:space="0"/>
              <w:left w:val="nil"/>
              <w:bottom w:val="single" w:color="auto" w:sz="4" w:space="0"/>
              <w:right w:val="nil"/>
            </w:tcBorders>
            <w:vAlign w:val="center"/>
          </w:tcPr>
          <w:p>
            <w:pPr>
              <w:widowControl w:val="0"/>
              <w:spacing w:line="360" w:lineRule="auto"/>
              <w:jc w:val="left"/>
              <w:rPr>
                <w:rFonts w:eastAsia="楷体"/>
                <w:lang w:eastAsia="zh-CN"/>
              </w:rPr>
            </w:pPr>
            <w:r>
              <w:rPr>
                <w:rFonts w:eastAsia="楷体"/>
                <w:lang w:eastAsia="zh-CN"/>
              </w:rPr>
              <w:t>AAGTGGTCGTTGAGGGCAATG</w:t>
            </w:r>
          </w:p>
        </w:tc>
      </w:tr>
    </w:tbl>
    <w:p>
      <w:pPr>
        <w:pStyle w:val="60"/>
        <w:spacing w:line="360" w:lineRule="auto"/>
        <w:rPr>
          <w:szCs w:val="24"/>
          <w:lang w:eastAsia="zh-CN"/>
        </w:rPr>
      </w:pPr>
    </w:p>
    <w:p>
      <w:pPr>
        <w:pStyle w:val="60"/>
        <w:keepNext/>
        <w:widowControl w:val="0"/>
        <w:spacing w:before="240" w:after="240" w:line="360" w:lineRule="auto"/>
        <w:jc w:val="both"/>
        <w:rPr>
          <w:szCs w:val="24"/>
        </w:rPr>
      </w:pPr>
      <w:r>
        <w:rPr>
          <w:b/>
          <w:szCs w:val="24"/>
        </w:rPr>
        <w:t>SI References</w:t>
      </w:r>
    </w:p>
    <w:p>
      <w:pPr>
        <w:pStyle w:val="7"/>
        <w:numPr>
          <w:ilvl w:val="0"/>
          <w:numId w:val="1"/>
        </w:numPr>
        <w:shd w:val="clear" w:color="auto" w:fill="FFFFFF"/>
        <w:spacing w:line="360" w:lineRule="auto"/>
        <w:jc w:val="both"/>
        <w:textAlignment w:val="baseline"/>
        <w:rPr>
          <w:color w:val="0070C0"/>
          <w:u w:val="single"/>
        </w:rPr>
      </w:pPr>
      <w:r>
        <w:t xml:space="preserve">Fang TL, </w:t>
      </w:r>
      <w:r>
        <w:rPr>
          <w:rFonts w:hint="eastAsia" w:eastAsiaTheme="minorEastAsia"/>
          <w:lang w:eastAsia="zh-CN"/>
        </w:rPr>
        <w:t xml:space="preserve"> Li BQ, Li M, Zhang YL, Jing ZY, Li Y, et al.</w:t>
      </w:r>
      <w:r>
        <w:rPr>
          <w:rFonts w:eastAsiaTheme="minorEastAsia"/>
          <w:lang w:eastAsia="zh-CN"/>
        </w:rPr>
        <w:t xml:space="preserve"> </w:t>
      </w:r>
      <w:r>
        <w:t xml:space="preserve">Engineered </w:t>
      </w:r>
      <w:r>
        <w:rPr>
          <w:rFonts w:hint="eastAsia" w:eastAsiaTheme="minorEastAsia"/>
          <w:lang w:eastAsia="zh-CN"/>
        </w:rPr>
        <w:t>c</w:t>
      </w:r>
      <w:r>
        <w:t xml:space="preserve">ell </w:t>
      </w:r>
      <w:r>
        <w:rPr>
          <w:rFonts w:hint="eastAsia" w:eastAsiaTheme="minorEastAsia"/>
          <w:lang w:eastAsia="zh-CN"/>
        </w:rPr>
        <w:t>m</w:t>
      </w:r>
      <w:r>
        <w:t xml:space="preserve">embrane </w:t>
      </w:r>
      <w:r>
        <w:rPr>
          <w:rFonts w:hint="eastAsia" w:eastAsiaTheme="minorEastAsia"/>
          <w:lang w:eastAsia="zh-CN"/>
        </w:rPr>
        <w:t>v</w:t>
      </w:r>
      <w:r>
        <w:t xml:space="preserve">esicles </w:t>
      </w:r>
      <w:r>
        <w:rPr>
          <w:rFonts w:hint="eastAsia" w:eastAsiaTheme="minorEastAsia"/>
          <w:lang w:eastAsia="zh-CN"/>
        </w:rPr>
        <w:t>e</w:t>
      </w:r>
      <w:r>
        <w:t xml:space="preserve">xpressing CD40 </w:t>
      </w:r>
      <w:r>
        <w:rPr>
          <w:rFonts w:hint="eastAsia" w:eastAsiaTheme="minorEastAsia"/>
          <w:lang w:eastAsia="zh-CN"/>
        </w:rPr>
        <w:t>a</w:t>
      </w:r>
      <w:r>
        <w:t xml:space="preserve">lleviate </w:t>
      </w:r>
      <w:r>
        <w:rPr>
          <w:rFonts w:hint="eastAsia" w:eastAsiaTheme="minorEastAsia"/>
          <w:lang w:eastAsia="zh-CN"/>
        </w:rPr>
        <w:t>s</w:t>
      </w:r>
      <w:r>
        <w:t xml:space="preserve">ystem </w:t>
      </w:r>
      <w:r>
        <w:rPr>
          <w:rFonts w:hint="eastAsia" w:eastAsiaTheme="minorEastAsia"/>
          <w:lang w:eastAsia="zh-CN"/>
        </w:rPr>
        <w:t>l</w:t>
      </w:r>
      <w:r>
        <w:t xml:space="preserve">upus </w:t>
      </w:r>
      <w:r>
        <w:rPr>
          <w:rFonts w:hint="eastAsia" w:eastAsiaTheme="minorEastAsia"/>
          <w:lang w:eastAsia="zh-CN"/>
        </w:rPr>
        <w:t>n</w:t>
      </w:r>
      <w:r>
        <w:t xml:space="preserve">ephritis by </w:t>
      </w:r>
      <w:r>
        <w:rPr>
          <w:rFonts w:hint="eastAsia" w:eastAsiaTheme="minorEastAsia"/>
          <w:lang w:eastAsia="zh-CN"/>
        </w:rPr>
        <w:t>i</w:t>
      </w:r>
      <w:r>
        <w:t xml:space="preserve">ntervening B </w:t>
      </w:r>
      <w:r>
        <w:rPr>
          <w:rFonts w:hint="eastAsia" w:eastAsiaTheme="minorEastAsia"/>
          <w:lang w:eastAsia="zh-CN"/>
        </w:rPr>
        <w:t>c</w:t>
      </w:r>
      <w:r>
        <w:t xml:space="preserve">ell </w:t>
      </w:r>
      <w:r>
        <w:rPr>
          <w:rFonts w:hint="eastAsia" w:eastAsiaTheme="minorEastAsia"/>
          <w:lang w:eastAsia="zh-CN"/>
        </w:rPr>
        <w:t>a</w:t>
      </w:r>
      <w:r>
        <w:t>ctivation</w:t>
      </w:r>
      <w:r>
        <w:rPr>
          <w:rFonts w:hint="eastAsia" w:eastAsiaTheme="minorEastAsia"/>
          <w:lang w:eastAsia="zh-CN"/>
        </w:rPr>
        <w:t>.</w:t>
      </w:r>
      <w:r>
        <w:t xml:space="preserve"> Small Methods</w:t>
      </w:r>
      <w:r>
        <w:rPr>
          <w:i/>
          <w:iCs/>
          <w:lang w:eastAsia="zh-CN"/>
        </w:rPr>
        <w:t xml:space="preserve"> </w:t>
      </w:r>
      <w:r>
        <w:t>2023</w:t>
      </w:r>
      <w:r>
        <w:rPr>
          <w:rFonts w:hint="eastAsia" w:eastAsiaTheme="minorEastAsia"/>
          <w:lang w:eastAsia="zh-CN"/>
        </w:rPr>
        <w:t>;</w:t>
      </w:r>
      <w:r>
        <w:t>7</w:t>
      </w:r>
      <w:r>
        <w:rPr>
          <w:rFonts w:hint="eastAsia" w:eastAsiaTheme="minorEastAsia"/>
          <w:lang w:eastAsia="zh-CN"/>
        </w:rPr>
        <w:t>:</w:t>
      </w:r>
      <w:r>
        <w:t>e2200925</w:t>
      </w:r>
      <w:r>
        <w:rPr>
          <w:rFonts w:hint="eastAsia" w:eastAsiaTheme="minorEastAsia"/>
          <w:lang w:eastAsia="zh-CN"/>
        </w:rPr>
        <w:t>.</w:t>
      </w:r>
    </w:p>
    <w:p>
      <w:pPr>
        <w:pStyle w:val="7"/>
        <w:numPr>
          <w:ilvl w:val="0"/>
          <w:numId w:val="1"/>
        </w:numPr>
        <w:shd w:val="clear" w:color="auto" w:fill="FFFFFF"/>
        <w:spacing w:line="360" w:lineRule="auto"/>
        <w:jc w:val="both"/>
        <w:textAlignment w:val="baseline"/>
      </w:pPr>
      <w:r>
        <w:rPr>
          <w:lang w:eastAsia="zh-CN"/>
        </w:rPr>
        <w:t xml:space="preserve">Wang JT, </w:t>
      </w:r>
      <w:r>
        <w:rPr>
          <w:rFonts w:hint="eastAsia" w:eastAsiaTheme="minorEastAsia"/>
          <w:lang w:eastAsia="zh-CN"/>
        </w:rPr>
        <w:t>Deng L, Huang JP, Cai R, Zhu XJ, Liu FQ, et al.</w:t>
      </w:r>
      <w:r>
        <w:rPr>
          <w:lang w:eastAsia="zh-CN"/>
        </w:rPr>
        <w:t xml:space="preserve"> </w:t>
      </w:r>
      <w:r>
        <w:t xml:space="preserve">High </w:t>
      </w:r>
      <w:r>
        <w:rPr>
          <w:rFonts w:hint="eastAsia" w:eastAsiaTheme="minorEastAsia"/>
          <w:lang w:eastAsia="zh-CN"/>
        </w:rPr>
        <w:t>e</w:t>
      </w:r>
      <w:r>
        <w:t xml:space="preserve">xpression of </w:t>
      </w:r>
      <w:r>
        <w:rPr>
          <w:rFonts w:hint="eastAsia" w:eastAsiaTheme="minorEastAsia"/>
          <w:lang w:eastAsia="zh-CN"/>
        </w:rPr>
        <w:t>f</w:t>
      </w:r>
      <w:r>
        <w:t xml:space="preserve">ibronectin 1 </w:t>
      </w:r>
      <w:r>
        <w:rPr>
          <w:rFonts w:hint="eastAsia" w:eastAsiaTheme="minorEastAsia"/>
          <w:lang w:eastAsia="zh-CN"/>
        </w:rPr>
        <w:t>s</w:t>
      </w:r>
      <w:r>
        <w:t xml:space="preserve">uppresses </w:t>
      </w:r>
      <w:r>
        <w:rPr>
          <w:rFonts w:hint="eastAsia" w:eastAsiaTheme="minorEastAsia"/>
          <w:lang w:eastAsia="zh-CN"/>
        </w:rPr>
        <w:t>a</w:t>
      </w:r>
      <w:r>
        <w:t xml:space="preserve">poptosis </w:t>
      </w:r>
      <w:r>
        <w:rPr>
          <w:rFonts w:hint="eastAsia" w:eastAsiaTheme="minorEastAsia"/>
          <w:lang w:eastAsia="zh-CN"/>
        </w:rPr>
        <w:t>t</w:t>
      </w:r>
      <w:r>
        <w:t xml:space="preserve">hrough the NF-κB </w:t>
      </w:r>
      <w:r>
        <w:rPr>
          <w:rFonts w:hint="eastAsia" w:eastAsiaTheme="minorEastAsia"/>
          <w:lang w:eastAsia="zh-CN"/>
        </w:rPr>
        <w:t>p</w:t>
      </w:r>
      <w:r>
        <w:t xml:space="preserve">athway and is </w:t>
      </w:r>
      <w:r>
        <w:rPr>
          <w:rFonts w:hint="eastAsia" w:eastAsiaTheme="minorEastAsia"/>
          <w:lang w:eastAsia="zh-CN"/>
        </w:rPr>
        <w:t>a</w:t>
      </w:r>
      <w:r>
        <w:t xml:space="preserve">ssociated with </w:t>
      </w:r>
      <w:r>
        <w:rPr>
          <w:rFonts w:hint="eastAsia" w:eastAsiaTheme="minorEastAsia"/>
          <w:lang w:eastAsia="zh-CN"/>
        </w:rPr>
        <w:t>m</w:t>
      </w:r>
      <w:r>
        <w:t xml:space="preserve">igration in </w:t>
      </w:r>
      <w:r>
        <w:rPr>
          <w:rFonts w:hint="eastAsia" w:eastAsiaTheme="minorEastAsia"/>
          <w:lang w:eastAsia="zh-CN"/>
        </w:rPr>
        <w:t>n</w:t>
      </w:r>
      <w:r>
        <w:t xml:space="preserve">asopharyngeal </w:t>
      </w:r>
      <w:r>
        <w:rPr>
          <w:rFonts w:hint="eastAsia" w:eastAsiaTheme="minorEastAsia"/>
          <w:lang w:eastAsia="zh-CN"/>
        </w:rPr>
        <w:t>c</w:t>
      </w:r>
      <w:r>
        <w:t>arcinoma</w:t>
      </w:r>
      <w:r>
        <w:rPr>
          <w:rFonts w:hint="eastAsia" w:asciiTheme="minorEastAsia" w:hAnsiTheme="minorEastAsia" w:eastAsiaTheme="minorEastAsia"/>
          <w:lang w:eastAsia="zh-CN"/>
        </w:rPr>
        <w:t>.</w:t>
      </w:r>
      <w:r>
        <w:rPr>
          <w:rFonts w:hint="eastAsia" w:eastAsiaTheme="minorEastAsia"/>
          <w:lang w:eastAsia="zh-CN"/>
        </w:rPr>
        <w:t xml:space="preserve"> </w:t>
      </w:r>
      <w:r>
        <w:rPr>
          <w:lang w:eastAsia="zh-CN"/>
        </w:rPr>
        <w:t>Am</w:t>
      </w:r>
      <w:r>
        <w:rPr>
          <w:rFonts w:hint="eastAsia" w:eastAsiaTheme="minorEastAsia"/>
          <w:lang w:eastAsia="zh-CN"/>
        </w:rPr>
        <w:t xml:space="preserve"> </w:t>
      </w:r>
      <w:r>
        <w:rPr>
          <w:lang w:eastAsia="zh-CN"/>
        </w:rPr>
        <w:t xml:space="preserve"> J</w:t>
      </w:r>
      <w:r>
        <w:rPr>
          <w:rFonts w:hint="eastAsia" w:eastAsiaTheme="minorEastAsia"/>
          <w:lang w:eastAsia="zh-CN"/>
        </w:rPr>
        <w:t xml:space="preserve">  </w:t>
      </w:r>
      <w:r>
        <w:rPr>
          <w:lang w:eastAsia="zh-CN"/>
        </w:rPr>
        <w:t>Transl Res 2017</w:t>
      </w:r>
      <w:r>
        <w:rPr>
          <w:rFonts w:hint="eastAsia" w:eastAsiaTheme="minorEastAsia"/>
          <w:lang w:eastAsia="zh-CN"/>
        </w:rPr>
        <w:t>;</w:t>
      </w:r>
      <w:r>
        <w:rPr>
          <w:lang w:eastAsia="zh-CN"/>
        </w:rPr>
        <w:t>9</w:t>
      </w:r>
      <w:r>
        <w:rPr>
          <w:rFonts w:hint="eastAsia" w:eastAsiaTheme="minorEastAsia"/>
          <w:lang w:eastAsia="zh-CN"/>
        </w:rPr>
        <w:t>:</w:t>
      </w:r>
      <w:r>
        <w:rPr>
          <w:lang w:eastAsia="zh-CN"/>
        </w:rPr>
        <w:t>4502-4511.</w:t>
      </w:r>
      <w:r>
        <w:rPr>
          <w:rFonts w:hint="eastAsia" w:eastAsiaTheme="minorEastAsia"/>
          <w:lang w:eastAsia="zh-CN"/>
        </w:rPr>
        <w:t xml:space="preserve"> </w:t>
      </w:r>
    </w:p>
    <w:p>
      <w:pPr>
        <w:pStyle w:val="57"/>
        <w:numPr>
          <w:ilvl w:val="0"/>
          <w:numId w:val="1"/>
        </w:numPr>
        <w:shd w:val="clear" w:color="auto" w:fill="FFFFFF"/>
        <w:spacing w:before="100" w:beforeAutospacing="1" w:after="100" w:afterAutospacing="1" w:line="360" w:lineRule="auto"/>
        <w:ind w:firstLineChars="0"/>
        <w:jc w:val="both"/>
        <w:rPr>
          <w:lang w:val="en-US" w:eastAsia="zh-CN"/>
        </w:rPr>
      </w:pPr>
      <w:r>
        <w:rPr>
          <w:lang w:eastAsia="zh-CN"/>
        </w:rPr>
        <w:t xml:space="preserve">Ghosh B, </w:t>
      </w:r>
      <w:r>
        <w:rPr>
          <w:rFonts w:hint="eastAsia" w:eastAsiaTheme="minorEastAsia"/>
          <w:lang w:eastAsia="zh-CN"/>
        </w:rPr>
        <w:t>Loube J, Thapa S,</w:t>
      </w:r>
      <w:r>
        <w:rPr>
          <w:rStyle w:val="64"/>
          <w:rFonts w:ascii="Segoe UI" w:hAnsi="Segoe UI" w:cs="Segoe UI"/>
          <w:color w:val="5B616B"/>
          <w:shd w:val="clear" w:color="auto" w:fill="FFFFFF"/>
        </w:rPr>
        <w:t> </w:t>
      </w:r>
      <w:r>
        <w:fldChar w:fldCharType="begin"/>
      </w:r>
      <w:r>
        <w:instrText xml:space="preserve"> HYPERLINK "https://pubmed.ncbi.nlm.nih.gov/?term=Ryan+H&amp;cauthor_id=36309587" </w:instrText>
      </w:r>
      <w:r>
        <w:fldChar w:fldCharType="separate"/>
      </w:r>
      <w:r>
        <w:rPr>
          <w:rStyle w:val="14"/>
          <w:color w:val="auto"/>
          <w:u w:val="none"/>
        </w:rPr>
        <w:t>Ryan</w:t>
      </w:r>
      <w:r>
        <w:rPr>
          <w:rStyle w:val="14"/>
          <w:color w:val="auto"/>
          <w:u w:val="none"/>
        </w:rPr>
        <w:fldChar w:fldCharType="end"/>
      </w:r>
      <w:r>
        <w:t xml:space="preserve"> </w:t>
      </w:r>
      <w:r>
        <w:rPr>
          <w:rStyle w:val="14"/>
          <w:color w:val="auto"/>
          <w:u w:val="none"/>
        </w:rPr>
        <w:t>H</w:t>
      </w:r>
      <w:r>
        <w:rPr>
          <w:rStyle w:val="64"/>
          <w:shd w:val="clear" w:color="auto" w:fill="FFFFFF"/>
        </w:rPr>
        <w:t>, </w:t>
      </w:r>
      <w:r>
        <w:fldChar w:fldCharType="begin"/>
      </w:r>
      <w:r>
        <w:instrText xml:space="preserve"> HYPERLINK "https://pubmed.ncbi.nlm.nih.gov/?term=Capodanno+E&amp;cauthor_id=36309587" </w:instrText>
      </w:r>
      <w:r>
        <w:fldChar w:fldCharType="separate"/>
      </w:r>
      <w:r>
        <w:rPr>
          <w:rStyle w:val="14"/>
          <w:color w:val="auto"/>
          <w:u w:val="none"/>
        </w:rPr>
        <w:t>Capodanno</w:t>
      </w:r>
      <w:r>
        <w:rPr>
          <w:rStyle w:val="14"/>
          <w:color w:val="auto"/>
          <w:u w:val="none"/>
        </w:rPr>
        <w:fldChar w:fldCharType="end"/>
      </w:r>
      <w:r>
        <w:t xml:space="preserve"> </w:t>
      </w:r>
      <w:r>
        <w:rPr>
          <w:rStyle w:val="14"/>
          <w:color w:val="auto"/>
          <w:u w:val="none"/>
        </w:rPr>
        <w:t>E</w:t>
      </w:r>
      <w:r>
        <w:rPr>
          <w:rStyle w:val="64"/>
          <w:shd w:val="clear" w:color="auto" w:fill="FFFFFF"/>
        </w:rPr>
        <w:t>, </w:t>
      </w:r>
      <w:r>
        <w:fldChar w:fldCharType="begin"/>
      </w:r>
      <w:r>
        <w:instrText xml:space="preserve"> HYPERLINK "https://pubmed.ncbi.nlm.nih.gov/?term=Chen+D&amp;cauthor_id=36309587" </w:instrText>
      </w:r>
      <w:r>
        <w:fldChar w:fldCharType="separate"/>
      </w:r>
      <w:r>
        <w:rPr>
          <w:rStyle w:val="14"/>
          <w:color w:val="auto"/>
          <w:u w:val="none"/>
        </w:rPr>
        <w:t>Chen</w:t>
      </w:r>
      <w:r>
        <w:rPr>
          <w:rStyle w:val="14"/>
          <w:color w:val="auto"/>
          <w:u w:val="none"/>
        </w:rPr>
        <w:fldChar w:fldCharType="end"/>
      </w:r>
      <w:r>
        <w:t xml:space="preserve"> </w:t>
      </w:r>
      <w:r>
        <w:rPr>
          <w:rStyle w:val="14"/>
          <w:color w:val="auto"/>
          <w:u w:val="none"/>
        </w:rPr>
        <w:t>D</w:t>
      </w:r>
      <w:r>
        <w:rPr>
          <w:rStyle w:val="64"/>
          <w:shd w:val="clear" w:color="auto" w:fill="FFFFFF"/>
        </w:rPr>
        <w:t>, </w:t>
      </w:r>
      <w:r>
        <w:rPr>
          <w:rFonts w:hint="eastAsia" w:eastAsiaTheme="minorEastAsia"/>
          <w:lang w:eastAsia="zh-CN"/>
        </w:rPr>
        <w:t>et al.</w:t>
      </w:r>
      <w:r>
        <w:rPr>
          <w:rStyle w:val="63"/>
          <w:sz w:val="18"/>
          <w:szCs w:val="18"/>
          <w:shd w:val="clear" w:color="auto" w:fill="FFFFFF"/>
          <w:vertAlign w:val="superscript"/>
        </w:rPr>
        <w:t> </w:t>
      </w:r>
      <w:bookmarkStart w:id="16" w:name="OLE_LINK70"/>
      <w:bookmarkStart w:id="17" w:name="OLE_LINK158"/>
      <w:r>
        <w:t xml:space="preserve">Loss of E-cadherin is </w:t>
      </w:r>
      <w:r>
        <w:rPr>
          <w:rFonts w:hint="eastAsia" w:eastAsiaTheme="minorEastAsia"/>
          <w:lang w:eastAsia="zh-CN"/>
        </w:rPr>
        <w:t>c</w:t>
      </w:r>
      <w:r>
        <w:t xml:space="preserve">ausal to </w:t>
      </w:r>
      <w:r>
        <w:rPr>
          <w:rFonts w:hint="eastAsia" w:eastAsiaTheme="minorEastAsia"/>
          <w:lang w:eastAsia="zh-CN"/>
        </w:rPr>
        <w:t>p</w:t>
      </w:r>
      <w:r>
        <w:t xml:space="preserve">athologic </w:t>
      </w:r>
      <w:r>
        <w:rPr>
          <w:rFonts w:hint="eastAsia" w:eastAsiaTheme="minorEastAsia"/>
          <w:lang w:eastAsia="zh-CN"/>
        </w:rPr>
        <w:t>c</w:t>
      </w:r>
      <w:r>
        <w:t xml:space="preserve">hanges in </w:t>
      </w:r>
      <w:r>
        <w:rPr>
          <w:rFonts w:hint="eastAsia" w:eastAsiaTheme="minorEastAsia"/>
          <w:lang w:eastAsia="zh-CN"/>
        </w:rPr>
        <w:t>c</w:t>
      </w:r>
      <w:r>
        <w:t xml:space="preserve">hronic </w:t>
      </w:r>
      <w:r>
        <w:rPr>
          <w:rFonts w:hint="eastAsia" w:eastAsiaTheme="minorEastAsia"/>
          <w:lang w:eastAsia="zh-CN"/>
        </w:rPr>
        <w:t>l</w:t>
      </w:r>
      <w:r>
        <w:t xml:space="preserve">ung </w:t>
      </w:r>
      <w:r>
        <w:rPr>
          <w:rFonts w:hint="eastAsia" w:eastAsiaTheme="minorEastAsia"/>
          <w:lang w:eastAsia="zh-CN"/>
        </w:rPr>
        <w:t>d</w:t>
      </w:r>
      <w:r>
        <w:t>isease</w:t>
      </w:r>
      <w:bookmarkEnd w:id="16"/>
      <w:bookmarkEnd w:id="17"/>
      <w:r>
        <w:rPr>
          <w:rFonts w:eastAsiaTheme="minorEastAsia"/>
          <w:lang w:eastAsia="zh-CN"/>
        </w:rPr>
        <w:t>,</w:t>
      </w:r>
      <w:r>
        <w:rPr>
          <w:rFonts w:hint="eastAsia" w:eastAsiaTheme="minorEastAsia"/>
          <w:lang w:eastAsia="zh-CN"/>
        </w:rPr>
        <w:t xml:space="preserve"> </w:t>
      </w:r>
      <w:r>
        <w:rPr>
          <w:lang w:eastAsia="zh-CN"/>
        </w:rPr>
        <w:t>Commun Biol</w:t>
      </w:r>
      <w:r>
        <w:rPr>
          <w:i/>
          <w:iCs/>
          <w:lang w:eastAsia="zh-CN"/>
        </w:rPr>
        <w:t xml:space="preserve"> </w:t>
      </w:r>
      <w:r>
        <w:rPr>
          <w:lang w:eastAsia="zh-CN"/>
        </w:rPr>
        <w:t>2022</w:t>
      </w:r>
      <w:r>
        <w:rPr>
          <w:rFonts w:hint="eastAsia" w:eastAsiaTheme="minorEastAsia"/>
          <w:lang w:eastAsia="zh-CN"/>
        </w:rPr>
        <w:t>;</w:t>
      </w:r>
      <w:r>
        <w:rPr>
          <w:lang w:eastAsia="zh-CN"/>
        </w:rPr>
        <w:t>5</w:t>
      </w:r>
      <w:r>
        <w:rPr>
          <w:rFonts w:hint="eastAsia" w:eastAsiaTheme="minorEastAsia"/>
          <w:lang w:eastAsia="zh-CN"/>
        </w:rPr>
        <w:t>:</w:t>
      </w:r>
      <w:r>
        <w:rPr>
          <w:lang w:eastAsia="zh-CN"/>
        </w:rPr>
        <w:t>1149</w:t>
      </w:r>
      <w:r>
        <w:rPr>
          <w:rStyle w:val="61"/>
          <w:rFonts w:hint="eastAsia" w:eastAsiaTheme="minorEastAsia"/>
          <w:lang w:eastAsia="zh-CN"/>
        </w:rPr>
        <w:t>.</w:t>
      </w:r>
    </w:p>
    <w:p>
      <w:pPr>
        <w:pStyle w:val="7"/>
        <w:numPr>
          <w:ilvl w:val="0"/>
          <w:numId w:val="1"/>
        </w:numPr>
        <w:shd w:val="clear" w:color="auto" w:fill="FFFFFF"/>
        <w:spacing w:line="360" w:lineRule="auto"/>
        <w:jc w:val="both"/>
        <w:textAlignment w:val="baseline"/>
      </w:pPr>
      <w:r>
        <w:t>Shen W</w:t>
      </w:r>
      <w:r>
        <w:rPr>
          <w:lang w:eastAsia="zh-CN"/>
        </w:rPr>
        <w:t>H</w:t>
      </w:r>
      <w:r>
        <w:t>,</w:t>
      </w:r>
      <w:r>
        <w:rPr>
          <w:rFonts w:hint="eastAsia" w:eastAsiaTheme="minorEastAsia"/>
          <w:lang w:eastAsia="zh-CN"/>
        </w:rPr>
        <w:t xml:space="preserve"> Huang YY, Yang XP,</w:t>
      </w:r>
      <w:r>
        <w:rPr>
          <w:rStyle w:val="64"/>
          <w:rFonts w:ascii="Segoe UI" w:hAnsi="Segoe UI" w:cs="Segoe UI"/>
          <w:color w:val="5B616B"/>
          <w:shd w:val="clear" w:color="auto" w:fill="FFFFFF"/>
        </w:rPr>
        <w:t> </w:t>
      </w:r>
      <w:r>
        <w:fldChar w:fldCharType="begin"/>
      </w:r>
      <w:r>
        <w:instrText xml:space="preserve"> HYPERLINK "https://pubmed.ncbi.nlm.nih.gov/?term=Zhang+Y&amp;cauthor_id=41053023" </w:instrText>
      </w:r>
      <w:r>
        <w:fldChar w:fldCharType="separate"/>
      </w:r>
      <w:r>
        <w:rPr>
          <w:rStyle w:val="14"/>
          <w:color w:val="auto"/>
          <w:u w:val="none"/>
        </w:rPr>
        <w:t>Zhang</w:t>
      </w:r>
      <w:r>
        <w:rPr>
          <w:rStyle w:val="14"/>
          <w:color w:val="auto"/>
          <w:u w:val="none"/>
        </w:rPr>
        <w:fldChar w:fldCharType="end"/>
      </w:r>
      <w:r>
        <w:t xml:space="preserve"> </w:t>
      </w:r>
      <w:r>
        <w:rPr>
          <w:rStyle w:val="14"/>
          <w:color w:val="auto"/>
          <w:u w:val="none"/>
        </w:rPr>
        <w:t>YT</w:t>
      </w:r>
      <w:r>
        <w:rPr>
          <w:rStyle w:val="64"/>
          <w:shd w:val="clear" w:color="auto" w:fill="FFFFFF"/>
        </w:rPr>
        <w:t>, </w:t>
      </w:r>
      <w:r>
        <w:fldChar w:fldCharType="begin"/>
      </w:r>
      <w:r>
        <w:instrText xml:space="preserve"> HYPERLINK "https://pubmed.ncbi.nlm.nih.gov/?term=Pan+Y&amp;cauthor_id=41053023" </w:instrText>
      </w:r>
      <w:r>
        <w:fldChar w:fldCharType="separate"/>
      </w:r>
      <w:r>
        <w:rPr>
          <w:rStyle w:val="14"/>
          <w:color w:val="auto"/>
          <w:u w:val="none"/>
        </w:rPr>
        <w:t xml:space="preserve"> Pan</w:t>
      </w:r>
      <w:r>
        <w:rPr>
          <w:rStyle w:val="14"/>
          <w:color w:val="auto"/>
          <w:u w:val="none"/>
        </w:rPr>
        <w:fldChar w:fldCharType="end"/>
      </w:r>
      <w:r>
        <w:t xml:space="preserve"> </w:t>
      </w:r>
      <w:r>
        <w:rPr>
          <w:rStyle w:val="14"/>
          <w:color w:val="auto"/>
          <w:u w:val="none"/>
        </w:rPr>
        <w:t>YY</w:t>
      </w:r>
      <w:r>
        <w:rPr>
          <w:rStyle w:val="64"/>
          <w:shd w:val="clear" w:color="auto" w:fill="FFFFFF"/>
        </w:rPr>
        <w:t>, </w:t>
      </w:r>
      <w:r>
        <w:fldChar w:fldCharType="begin"/>
      </w:r>
      <w:r>
        <w:instrText xml:space="preserve"> HYPERLINK "https://pubmed.ncbi.nlm.nih.gov/?term=Xiao+Y&amp;cauthor_id=41053023" </w:instrText>
      </w:r>
      <w:r>
        <w:fldChar w:fldCharType="separate"/>
      </w:r>
      <w:r>
        <w:rPr>
          <w:rStyle w:val="14"/>
          <w:color w:val="auto"/>
          <w:u w:val="none"/>
        </w:rPr>
        <w:t>Xiao</w:t>
      </w:r>
      <w:r>
        <w:rPr>
          <w:rStyle w:val="14"/>
          <w:color w:val="auto"/>
          <w:u w:val="none"/>
        </w:rPr>
        <w:fldChar w:fldCharType="end"/>
      </w:r>
      <w:r>
        <w:t xml:space="preserve"> </w:t>
      </w:r>
      <w:r>
        <w:rPr>
          <w:rStyle w:val="14"/>
          <w:color w:val="auto"/>
          <w:u w:val="none"/>
        </w:rPr>
        <w:t>Y</w:t>
      </w:r>
      <w:r>
        <w:rPr>
          <w:rStyle w:val="64"/>
          <w:shd w:val="clear" w:color="auto" w:fill="FFFFFF"/>
        </w:rPr>
        <w:t>, </w:t>
      </w:r>
      <w:r>
        <w:rPr>
          <w:rFonts w:hint="eastAsia" w:eastAsiaTheme="minorEastAsia"/>
          <w:lang w:eastAsia="zh-CN"/>
        </w:rPr>
        <w:t>et al.</w:t>
      </w:r>
      <w:r>
        <w:t xml:space="preserve"> </w:t>
      </w:r>
      <w:bookmarkStart w:id="18" w:name="OLE_LINK160"/>
      <w:r>
        <w:t xml:space="preserve">Senescent </w:t>
      </w:r>
      <w:r>
        <w:rPr>
          <w:rFonts w:hint="eastAsia" w:eastAsiaTheme="minorEastAsia"/>
          <w:lang w:eastAsia="zh-CN"/>
        </w:rPr>
        <w:t>m</w:t>
      </w:r>
      <w:r>
        <w:t xml:space="preserve">acrophages in </w:t>
      </w:r>
      <w:r>
        <w:rPr>
          <w:rFonts w:hint="eastAsia" w:eastAsiaTheme="minorEastAsia"/>
          <w:lang w:eastAsia="zh-CN"/>
        </w:rPr>
        <w:t>t</w:t>
      </w:r>
      <w:r>
        <w:t xml:space="preserve">umor: </w:t>
      </w:r>
      <w:r>
        <w:rPr>
          <w:rFonts w:hint="eastAsia" w:eastAsiaTheme="minorEastAsia"/>
          <w:lang w:eastAsia="zh-CN"/>
        </w:rPr>
        <w:t>p</w:t>
      </w:r>
      <w:r>
        <w:t xml:space="preserve">henotypes, </w:t>
      </w:r>
      <w:r>
        <w:rPr>
          <w:rFonts w:hint="eastAsia" w:eastAsiaTheme="minorEastAsia"/>
          <w:lang w:eastAsia="zh-CN"/>
        </w:rPr>
        <w:t>r</w:t>
      </w:r>
      <w:r>
        <w:t xml:space="preserve">oles, and </w:t>
      </w:r>
      <w:r>
        <w:rPr>
          <w:rFonts w:hint="eastAsia" w:eastAsiaTheme="minorEastAsia"/>
          <w:lang w:eastAsia="zh-CN"/>
        </w:rPr>
        <w:t>i</w:t>
      </w:r>
      <w:r>
        <w:t>nterventions</w:t>
      </w:r>
      <w:bookmarkEnd w:id="18"/>
      <w:r>
        <w:t>. Cell Death Dis</w:t>
      </w:r>
      <w:r>
        <w:rPr>
          <w:rFonts w:hint="eastAsia" w:eastAsiaTheme="minorEastAsia"/>
          <w:lang w:eastAsia="zh-CN"/>
        </w:rPr>
        <w:t>.</w:t>
      </w:r>
      <w:r>
        <w:t xml:space="preserve"> 2025</w:t>
      </w:r>
      <w:r>
        <w:rPr>
          <w:rFonts w:hint="eastAsia" w:eastAsiaTheme="minorEastAsia"/>
          <w:lang w:eastAsia="zh-CN"/>
        </w:rPr>
        <w:t>;</w:t>
      </w:r>
      <w:r>
        <w:t>16</w:t>
      </w:r>
      <w:r>
        <w:rPr>
          <w:rFonts w:hint="eastAsia" w:eastAsiaTheme="minorEastAsia"/>
          <w:lang w:eastAsia="zh-CN"/>
        </w:rPr>
        <w:t>:</w:t>
      </w:r>
      <w:r>
        <w:t>677</w:t>
      </w:r>
      <w:r>
        <w:rPr>
          <w:rStyle w:val="61"/>
          <w:rFonts w:hint="eastAsia" w:eastAsiaTheme="minorEastAsia"/>
          <w:lang w:eastAsia="zh-CN"/>
        </w:rPr>
        <w:t>.</w:t>
      </w:r>
    </w:p>
    <w:p>
      <w:pPr>
        <w:pStyle w:val="39"/>
        <w:spacing w:line="360" w:lineRule="auto"/>
        <w:ind w:left="720"/>
        <w:rPr>
          <w:rFonts w:eastAsiaTheme="minorEastAsia"/>
          <w:lang w:eastAsia="zh-CN"/>
        </w:rPr>
      </w:pPr>
    </w:p>
    <w:p>
      <w:pPr>
        <w:spacing w:line="360" w:lineRule="auto"/>
        <w:jc w:val="both"/>
        <w:rPr>
          <w:rFonts w:eastAsiaTheme="minorEastAsia"/>
          <w:b/>
          <w:bCs/>
          <w:lang w:eastAsia="zh-CN"/>
        </w:rPr>
      </w:pPr>
    </w:p>
    <w:sectPr>
      <w:headerReference r:id="rId3" w:type="default"/>
      <w:footerReference r:id="rId4" w:type="default"/>
      <w:type w:val="continuous"/>
      <w:pgSz w:w="11906" w:h="16838"/>
      <w:pgMar w:top="1417" w:right="1417" w:bottom="1134"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MS Mincho">
    <w:altName w:val="Hiragino Sans"/>
    <w:panose1 w:val="02020609040205080304"/>
    <w:charset w:val="80"/>
    <w:family w:val="modern"/>
    <w:pitch w:val="default"/>
    <w:sig w:usb0="00000000" w:usb1="00000000" w:usb2="08000012" w:usb3="00000000" w:csb0="0002009F" w:csb1="00000000"/>
  </w:font>
  <w:font w:name="Tahoma">
    <w:panose1 w:val="020B0804030504040204"/>
    <w:charset w:val="00"/>
    <w:family w:val="swiss"/>
    <w:pitch w:val="default"/>
    <w:sig w:usb0="E1002AFF" w:usb1="C000605B" w:usb2="00000029" w:usb3="00000000" w:csb0="200101FF" w:csb1="20280000"/>
  </w:font>
  <w:font w:name="Calibri Light">
    <w:altName w:val="Helvetica Neue"/>
    <w:panose1 w:val="020F0302020204030204"/>
    <w:charset w:val="00"/>
    <w:family w:val="swiss"/>
    <w:pitch w:val="default"/>
    <w:sig w:usb0="00000000" w:usb1="00000000" w:usb2="00000009" w:usb3="00000000" w:csb0="000001FF" w:csb1="00000000"/>
  </w:font>
  <w:font w:name="等线 Light">
    <w:altName w:val="汉仪中等线KW"/>
    <w:panose1 w:val="02010600030101010101"/>
    <w:charset w:val="86"/>
    <w:family w:val="auto"/>
    <w:pitch w:val="default"/>
    <w:sig w:usb0="00000000" w:usb1="00000000"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等线">
    <w:altName w:val="汉仪中等线KW"/>
    <w:panose1 w:val="02010600030101010101"/>
    <w:charset w:val="86"/>
    <w:family w:val="auto"/>
    <w:pitch w:val="default"/>
    <w:sig w:usb0="00000000" w:usb1="00000000" w:usb2="00000016" w:usb3="00000000" w:csb0="0004000F" w:csb1="00000000"/>
  </w:font>
  <w:font w:name="Arial Regular">
    <w:panose1 w:val="020B0704020202020204"/>
    <w:charset w:val="00"/>
    <w:family w:val="auto"/>
    <w:pitch w:val="default"/>
    <w:sig w:usb0="E0002AFF" w:usb1="C0007843" w:usb2="00000009" w:usb3="00000000" w:csb0="400001FF" w:csb1="FFFF0000"/>
  </w:font>
  <w:font w:name="Cambria Math">
    <w:altName w:val="Kingsoft Math"/>
    <w:panose1 w:val="02040503050406030204"/>
    <w:charset w:val="00"/>
    <w:family w:val="roman"/>
    <w:pitch w:val="default"/>
    <w:sig w:usb0="00000000" w:usb1="00000000" w:usb2="02000000" w:usb3="00000000" w:csb0="0000019F" w:csb1="00000000"/>
  </w:font>
  <w:font w:name="楷体">
    <w:altName w:val="汉仪楷体KW"/>
    <w:panose1 w:val="02010609060101010101"/>
    <w:charset w:val="86"/>
    <w:family w:val="modern"/>
    <w:pitch w:val="default"/>
    <w:sig w:usb0="00000000" w:usb1="00000000" w:usb2="00000016" w:usb3="00000000" w:csb0="00040001" w:csb1="00000000"/>
  </w:font>
  <w:font w:name="Segoe UI">
    <w:altName w:val="苹方-简"/>
    <w:panose1 w:val="020B0502040204020203"/>
    <w:charset w:val="00"/>
    <w:family w:val="swiss"/>
    <w:pitch w:val="default"/>
    <w:sig w:usb0="00000000" w:usb1="00000000" w:usb2="00000009" w:usb3="00000000" w:csb0="000001FF" w:csb1="00000000"/>
  </w:font>
  <w:font w:name="Hiragino Sans">
    <w:panose1 w:val="020B0700000000000000"/>
    <w:charset w:val="80"/>
    <w:family w:val="auto"/>
    <w:pitch w:val="default"/>
    <w:sig w:usb0="800002CF" w:usb1="6AC7FCFC" w:usb2="00000012" w:usb3="00000000" w:csb0="0002000D" w:csb1="00000000"/>
  </w:font>
  <w:font w:name="宋体-简">
    <w:panose1 w:val="02010800040101010101"/>
    <w:charset w:val="86"/>
    <w:family w:val="auto"/>
    <w:pitch w:val="default"/>
    <w:sig w:usb0="00000001" w:usb1="080F0000" w:usb2="00000000" w:usb3="00000000" w:csb0="00040000" w:csb1="00000000"/>
  </w:font>
  <w:font w:name="Kingsoft Math">
    <w:panose1 w:val="02040503050406030204"/>
    <w:charset w:val="00"/>
    <w:family w:val="auto"/>
    <w:pitch w:val="default"/>
    <w:sig w:usb0="80000087" w:usb1="00002068"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冬青黑体简体中文">
    <w:panose1 w:val="020B0300000000000000"/>
    <w:charset w:val="86"/>
    <w:family w:val="auto"/>
    <w:pitch w:val="default"/>
    <w:sig w:usb0="A00002BF" w:usb1="1ACF7CFA" w:usb2="00000016" w:usb3="00000000" w:csb0="00060007"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t>2</w:t>
    </w:r>
    <w:r>
      <w:fldChar w:fldCharType="end"/>
    </w:r>
  </w:p>
  <w:p>
    <w:pPr>
      <w:pStyle w:val="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5003"/>
      </w:tabs>
      <w:jc w:val="right"/>
      <w:rPr>
        <w:lang w:val="en-US"/>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8D4926"/>
    <w:multiLevelType w:val="multilevel"/>
    <w:tmpl w:val="3F8D4926"/>
    <w:lvl w:ilvl="0" w:tentative="0">
      <w:start w:val="1"/>
      <w:numFmt w:val="decimal"/>
      <w:lvlText w:val="%1."/>
      <w:lvlJc w:val="left"/>
      <w:pPr>
        <w:ind w:left="720" w:hanging="360"/>
      </w:pPr>
      <w:rPr>
        <w:color w:val="auto"/>
        <w:lang w:val="en-U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bordersDoNotSurroundHeader w:val="1"/>
  <w:bordersDoNotSurroundFooter w:val="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708"/>
  <w:hyphenationZone w:val="425"/>
  <w:characterSpacingControl w:val="doNotCompress"/>
  <w:compat>
    <w:useFELayout/>
    <w:compatSetting w:name="compatibilityMode" w:uri="http://schemas.microsoft.com/office/word" w:val="12"/>
  </w:compat>
  <w:rsids>
    <w:rsidRoot w:val="002D16A0"/>
    <w:rsid w:val="000003BB"/>
    <w:rsid w:val="0000374D"/>
    <w:rsid w:val="00004A23"/>
    <w:rsid w:val="00006A0A"/>
    <w:rsid w:val="0000703E"/>
    <w:rsid w:val="000071DC"/>
    <w:rsid w:val="000112FC"/>
    <w:rsid w:val="000118B0"/>
    <w:rsid w:val="00011C49"/>
    <w:rsid w:val="00011F40"/>
    <w:rsid w:val="0001454A"/>
    <w:rsid w:val="0001683C"/>
    <w:rsid w:val="000172E7"/>
    <w:rsid w:val="000214A8"/>
    <w:rsid w:val="00023F64"/>
    <w:rsid w:val="000279B4"/>
    <w:rsid w:val="00027FB5"/>
    <w:rsid w:val="000314D2"/>
    <w:rsid w:val="0003318F"/>
    <w:rsid w:val="0004094E"/>
    <w:rsid w:val="00040B7B"/>
    <w:rsid w:val="00041C1B"/>
    <w:rsid w:val="000437F7"/>
    <w:rsid w:val="00050985"/>
    <w:rsid w:val="0005501E"/>
    <w:rsid w:val="00055883"/>
    <w:rsid w:val="0006044D"/>
    <w:rsid w:val="0006087E"/>
    <w:rsid w:val="00060D37"/>
    <w:rsid w:val="00061B02"/>
    <w:rsid w:val="00062324"/>
    <w:rsid w:val="00063C0E"/>
    <w:rsid w:val="00066D04"/>
    <w:rsid w:val="00067C29"/>
    <w:rsid w:val="00072EA7"/>
    <w:rsid w:val="00076EAD"/>
    <w:rsid w:val="0008287E"/>
    <w:rsid w:val="00083031"/>
    <w:rsid w:val="0008740B"/>
    <w:rsid w:val="000904D3"/>
    <w:rsid w:val="0009052E"/>
    <w:rsid w:val="0009309C"/>
    <w:rsid w:val="00093F1B"/>
    <w:rsid w:val="00094C15"/>
    <w:rsid w:val="000A1F4B"/>
    <w:rsid w:val="000A21A9"/>
    <w:rsid w:val="000A38D2"/>
    <w:rsid w:val="000A3AD1"/>
    <w:rsid w:val="000A3E93"/>
    <w:rsid w:val="000A472C"/>
    <w:rsid w:val="000A5773"/>
    <w:rsid w:val="000A682F"/>
    <w:rsid w:val="000B05A0"/>
    <w:rsid w:val="000B33EE"/>
    <w:rsid w:val="000B4293"/>
    <w:rsid w:val="000B432A"/>
    <w:rsid w:val="000C259E"/>
    <w:rsid w:val="000C3E0C"/>
    <w:rsid w:val="000C6252"/>
    <w:rsid w:val="000C6F8A"/>
    <w:rsid w:val="000C7B90"/>
    <w:rsid w:val="000D2D4B"/>
    <w:rsid w:val="000D45F4"/>
    <w:rsid w:val="000D5AB4"/>
    <w:rsid w:val="000D6201"/>
    <w:rsid w:val="000D66DB"/>
    <w:rsid w:val="000D7EBA"/>
    <w:rsid w:val="000D7FE6"/>
    <w:rsid w:val="000E788B"/>
    <w:rsid w:val="000E7A5B"/>
    <w:rsid w:val="000E7BBA"/>
    <w:rsid w:val="000F439F"/>
    <w:rsid w:val="000F512F"/>
    <w:rsid w:val="001013F4"/>
    <w:rsid w:val="001054D4"/>
    <w:rsid w:val="0010686C"/>
    <w:rsid w:val="00107C5F"/>
    <w:rsid w:val="00107CCC"/>
    <w:rsid w:val="00110011"/>
    <w:rsid w:val="001105BD"/>
    <w:rsid w:val="00116C82"/>
    <w:rsid w:val="00120BE6"/>
    <w:rsid w:val="00120E85"/>
    <w:rsid w:val="00123ADA"/>
    <w:rsid w:val="00125573"/>
    <w:rsid w:val="0012642A"/>
    <w:rsid w:val="00126D17"/>
    <w:rsid w:val="001305BF"/>
    <w:rsid w:val="00131D58"/>
    <w:rsid w:val="00132D14"/>
    <w:rsid w:val="001370B1"/>
    <w:rsid w:val="001377CA"/>
    <w:rsid w:val="00140B94"/>
    <w:rsid w:val="001450FB"/>
    <w:rsid w:val="0014658A"/>
    <w:rsid w:val="00147DB8"/>
    <w:rsid w:val="00151683"/>
    <w:rsid w:val="0015392F"/>
    <w:rsid w:val="0015563E"/>
    <w:rsid w:val="00155F66"/>
    <w:rsid w:val="0016390D"/>
    <w:rsid w:val="00164057"/>
    <w:rsid w:val="00165B37"/>
    <w:rsid w:val="00170369"/>
    <w:rsid w:val="00173757"/>
    <w:rsid w:val="00174176"/>
    <w:rsid w:val="00181D92"/>
    <w:rsid w:val="001823B6"/>
    <w:rsid w:val="001848EB"/>
    <w:rsid w:val="00187DB9"/>
    <w:rsid w:val="0019077D"/>
    <w:rsid w:val="0019194D"/>
    <w:rsid w:val="00192C0A"/>
    <w:rsid w:val="0019723B"/>
    <w:rsid w:val="001A38DF"/>
    <w:rsid w:val="001A4240"/>
    <w:rsid w:val="001A6821"/>
    <w:rsid w:val="001A694C"/>
    <w:rsid w:val="001A734D"/>
    <w:rsid w:val="001B0E68"/>
    <w:rsid w:val="001B3231"/>
    <w:rsid w:val="001B4224"/>
    <w:rsid w:val="001B7472"/>
    <w:rsid w:val="001C10AC"/>
    <w:rsid w:val="001C55FB"/>
    <w:rsid w:val="001D12BC"/>
    <w:rsid w:val="001D3A42"/>
    <w:rsid w:val="001D561D"/>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3C8A"/>
    <w:rsid w:val="00236036"/>
    <w:rsid w:val="00240D90"/>
    <w:rsid w:val="00253CB1"/>
    <w:rsid w:val="002543F9"/>
    <w:rsid w:val="00256B43"/>
    <w:rsid w:val="00257ADD"/>
    <w:rsid w:val="00262571"/>
    <w:rsid w:val="00263334"/>
    <w:rsid w:val="00263723"/>
    <w:rsid w:val="00263CF8"/>
    <w:rsid w:val="00265635"/>
    <w:rsid w:val="00266389"/>
    <w:rsid w:val="002675F7"/>
    <w:rsid w:val="002725A5"/>
    <w:rsid w:val="0027314F"/>
    <w:rsid w:val="00275234"/>
    <w:rsid w:val="0028289F"/>
    <w:rsid w:val="002838F0"/>
    <w:rsid w:val="00284157"/>
    <w:rsid w:val="00285631"/>
    <w:rsid w:val="00290D94"/>
    <w:rsid w:val="0029203C"/>
    <w:rsid w:val="00294873"/>
    <w:rsid w:val="002A4A81"/>
    <w:rsid w:val="002A73A2"/>
    <w:rsid w:val="002A7CE8"/>
    <w:rsid w:val="002B0671"/>
    <w:rsid w:val="002B262F"/>
    <w:rsid w:val="002B3553"/>
    <w:rsid w:val="002B5A0A"/>
    <w:rsid w:val="002B5E06"/>
    <w:rsid w:val="002C0CFF"/>
    <w:rsid w:val="002D09B9"/>
    <w:rsid w:val="002D16A0"/>
    <w:rsid w:val="002D2930"/>
    <w:rsid w:val="002D2DFF"/>
    <w:rsid w:val="002D3D6D"/>
    <w:rsid w:val="002D5BF8"/>
    <w:rsid w:val="002D7ECC"/>
    <w:rsid w:val="002E1B8F"/>
    <w:rsid w:val="002E2DEF"/>
    <w:rsid w:val="002E4E3E"/>
    <w:rsid w:val="002E6941"/>
    <w:rsid w:val="002E76B2"/>
    <w:rsid w:val="002E79A2"/>
    <w:rsid w:val="002F4F4B"/>
    <w:rsid w:val="002F55FD"/>
    <w:rsid w:val="002F594C"/>
    <w:rsid w:val="002F7B42"/>
    <w:rsid w:val="00300A68"/>
    <w:rsid w:val="00301984"/>
    <w:rsid w:val="00301B0B"/>
    <w:rsid w:val="00301E84"/>
    <w:rsid w:val="00302E7A"/>
    <w:rsid w:val="00303D1B"/>
    <w:rsid w:val="003046B7"/>
    <w:rsid w:val="00306D4E"/>
    <w:rsid w:val="00317A57"/>
    <w:rsid w:val="00320A99"/>
    <w:rsid w:val="0032144B"/>
    <w:rsid w:val="00321E38"/>
    <w:rsid w:val="003221C5"/>
    <w:rsid w:val="00322D5B"/>
    <w:rsid w:val="00325AC2"/>
    <w:rsid w:val="00326A1C"/>
    <w:rsid w:val="00327FDC"/>
    <w:rsid w:val="003302FB"/>
    <w:rsid w:val="0033308D"/>
    <w:rsid w:val="003360E3"/>
    <w:rsid w:val="003371D5"/>
    <w:rsid w:val="003376CD"/>
    <w:rsid w:val="003452C3"/>
    <w:rsid w:val="003501A7"/>
    <w:rsid w:val="0035048A"/>
    <w:rsid w:val="00354F9C"/>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97D52"/>
    <w:rsid w:val="003A0F30"/>
    <w:rsid w:val="003A4C44"/>
    <w:rsid w:val="003A5AD0"/>
    <w:rsid w:val="003A6CE3"/>
    <w:rsid w:val="003A7899"/>
    <w:rsid w:val="003B0DF6"/>
    <w:rsid w:val="003B15EE"/>
    <w:rsid w:val="003B16A4"/>
    <w:rsid w:val="003B517D"/>
    <w:rsid w:val="003B60EC"/>
    <w:rsid w:val="003C00ED"/>
    <w:rsid w:val="003C1C0A"/>
    <w:rsid w:val="003C35DF"/>
    <w:rsid w:val="003C4A68"/>
    <w:rsid w:val="003C554F"/>
    <w:rsid w:val="003C61DD"/>
    <w:rsid w:val="003D3FD2"/>
    <w:rsid w:val="003D63E7"/>
    <w:rsid w:val="003E05F1"/>
    <w:rsid w:val="003E113B"/>
    <w:rsid w:val="003E5092"/>
    <w:rsid w:val="003E715D"/>
    <w:rsid w:val="003F103E"/>
    <w:rsid w:val="003F2E48"/>
    <w:rsid w:val="003F440C"/>
    <w:rsid w:val="003F525A"/>
    <w:rsid w:val="003F7BE6"/>
    <w:rsid w:val="004006A9"/>
    <w:rsid w:val="00400E3B"/>
    <w:rsid w:val="00404548"/>
    <w:rsid w:val="004052AE"/>
    <w:rsid w:val="004118A5"/>
    <w:rsid w:val="004134F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8F1"/>
    <w:rsid w:val="00427C5F"/>
    <w:rsid w:val="00441EAC"/>
    <w:rsid w:val="00442D32"/>
    <w:rsid w:val="004507E5"/>
    <w:rsid w:val="004519AD"/>
    <w:rsid w:val="0045459A"/>
    <w:rsid w:val="004545DB"/>
    <w:rsid w:val="0045786A"/>
    <w:rsid w:val="004603E8"/>
    <w:rsid w:val="00460F76"/>
    <w:rsid w:val="00462F12"/>
    <w:rsid w:val="00463050"/>
    <w:rsid w:val="0046340F"/>
    <w:rsid w:val="00466168"/>
    <w:rsid w:val="0046778B"/>
    <w:rsid w:val="004714D4"/>
    <w:rsid w:val="00475712"/>
    <w:rsid w:val="00480CCE"/>
    <w:rsid w:val="00482FAA"/>
    <w:rsid w:val="00487211"/>
    <w:rsid w:val="0049075F"/>
    <w:rsid w:val="00492DA8"/>
    <w:rsid w:val="004A0888"/>
    <w:rsid w:val="004A3829"/>
    <w:rsid w:val="004A43B6"/>
    <w:rsid w:val="004A70EE"/>
    <w:rsid w:val="004A774E"/>
    <w:rsid w:val="004A7D3E"/>
    <w:rsid w:val="004A7FF9"/>
    <w:rsid w:val="004B379D"/>
    <w:rsid w:val="004B5F0C"/>
    <w:rsid w:val="004B6031"/>
    <w:rsid w:val="004C027E"/>
    <w:rsid w:val="004C046E"/>
    <w:rsid w:val="004C1609"/>
    <w:rsid w:val="004C216B"/>
    <w:rsid w:val="004C56CA"/>
    <w:rsid w:val="004C5DD3"/>
    <w:rsid w:val="004C68DD"/>
    <w:rsid w:val="004D30F9"/>
    <w:rsid w:val="004D4A32"/>
    <w:rsid w:val="004D525B"/>
    <w:rsid w:val="004D64AB"/>
    <w:rsid w:val="004E55D6"/>
    <w:rsid w:val="004E7CE8"/>
    <w:rsid w:val="004F0FF0"/>
    <w:rsid w:val="004F271D"/>
    <w:rsid w:val="004F5114"/>
    <w:rsid w:val="004F756C"/>
    <w:rsid w:val="005001FA"/>
    <w:rsid w:val="005019AF"/>
    <w:rsid w:val="0050239E"/>
    <w:rsid w:val="0050488D"/>
    <w:rsid w:val="00504D12"/>
    <w:rsid w:val="0050527A"/>
    <w:rsid w:val="0050535A"/>
    <w:rsid w:val="005106F5"/>
    <w:rsid w:val="00511192"/>
    <w:rsid w:val="005118AD"/>
    <w:rsid w:val="00512353"/>
    <w:rsid w:val="00514B56"/>
    <w:rsid w:val="00521F9F"/>
    <w:rsid w:val="005220C2"/>
    <w:rsid w:val="00522E88"/>
    <w:rsid w:val="00523369"/>
    <w:rsid w:val="0052398F"/>
    <w:rsid w:val="0052773C"/>
    <w:rsid w:val="00532380"/>
    <w:rsid w:val="00532960"/>
    <w:rsid w:val="005346D2"/>
    <w:rsid w:val="00534835"/>
    <w:rsid w:val="00540BB4"/>
    <w:rsid w:val="00545A73"/>
    <w:rsid w:val="00546DEB"/>
    <w:rsid w:val="00546F0F"/>
    <w:rsid w:val="005477E7"/>
    <w:rsid w:val="00550159"/>
    <w:rsid w:val="00551897"/>
    <w:rsid w:val="00551FFD"/>
    <w:rsid w:val="00552A0F"/>
    <w:rsid w:val="00554F73"/>
    <w:rsid w:val="005551ED"/>
    <w:rsid w:val="00556419"/>
    <w:rsid w:val="005572B4"/>
    <w:rsid w:val="005572DD"/>
    <w:rsid w:val="00557C3B"/>
    <w:rsid w:val="00560564"/>
    <w:rsid w:val="00562E2B"/>
    <w:rsid w:val="00564668"/>
    <w:rsid w:val="00567F64"/>
    <w:rsid w:val="00570353"/>
    <w:rsid w:val="005715F5"/>
    <w:rsid w:val="0057171E"/>
    <w:rsid w:val="00571EEC"/>
    <w:rsid w:val="00572666"/>
    <w:rsid w:val="0057267E"/>
    <w:rsid w:val="005726BD"/>
    <w:rsid w:val="00574A5A"/>
    <w:rsid w:val="005753B8"/>
    <w:rsid w:val="00576A95"/>
    <w:rsid w:val="00583ED5"/>
    <w:rsid w:val="005844ED"/>
    <w:rsid w:val="00587437"/>
    <w:rsid w:val="00592678"/>
    <w:rsid w:val="00593502"/>
    <w:rsid w:val="00594644"/>
    <w:rsid w:val="0059526F"/>
    <w:rsid w:val="00596F36"/>
    <w:rsid w:val="005A0626"/>
    <w:rsid w:val="005A1741"/>
    <w:rsid w:val="005A235F"/>
    <w:rsid w:val="005A28F6"/>
    <w:rsid w:val="005A751F"/>
    <w:rsid w:val="005A7719"/>
    <w:rsid w:val="005A77C2"/>
    <w:rsid w:val="005B0714"/>
    <w:rsid w:val="005B0A24"/>
    <w:rsid w:val="005B291B"/>
    <w:rsid w:val="005B6F9F"/>
    <w:rsid w:val="005B76C5"/>
    <w:rsid w:val="005B7AF0"/>
    <w:rsid w:val="005B7B8A"/>
    <w:rsid w:val="005C09C6"/>
    <w:rsid w:val="005C458D"/>
    <w:rsid w:val="005C491E"/>
    <w:rsid w:val="005C5E0A"/>
    <w:rsid w:val="005C6C0C"/>
    <w:rsid w:val="005D2276"/>
    <w:rsid w:val="005D25FD"/>
    <w:rsid w:val="005D2621"/>
    <w:rsid w:val="005D2808"/>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23A77"/>
    <w:rsid w:val="006256F5"/>
    <w:rsid w:val="0063097B"/>
    <w:rsid w:val="006364B8"/>
    <w:rsid w:val="00636A64"/>
    <w:rsid w:val="00636B93"/>
    <w:rsid w:val="00640550"/>
    <w:rsid w:val="0064326A"/>
    <w:rsid w:val="00644D5D"/>
    <w:rsid w:val="0064695B"/>
    <w:rsid w:val="00646DC7"/>
    <w:rsid w:val="006511FB"/>
    <w:rsid w:val="00651A9D"/>
    <w:rsid w:val="00654C93"/>
    <w:rsid w:val="00656092"/>
    <w:rsid w:val="0065741C"/>
    <w:rsid w:val="00660B85"/>
    <w:rsid w:val="006622E0"/>
    <w:rsid w:val="00662DCE"/>
    <w:rsid w:val="0066486B"/>
    <w:rsid w:val="00664F6D"/>
    <w:rsid w:val="006650B8"/>
    <w:rsid w:val="00666329"/>
    <w:rsid w:val="006672EE"/>
    <w:rsid w:val="0067011F"/>
    <w:rsid w:val="0067015E"/>
    <w:rsid w:val="00680453"/>
    <w:rsid w:val="00682526"/>
    <w:rsid w:val="00683555"/>
    <w:rsid w:val="00686F1D"/>
    <w:rsid w:val="00692F7A"/>
    <w:rsid w:val="00695E06"/>
    <w:rsid w:val="00696315"/>
    <w:rsid w:val="00697282"/>
    <w:rsid w:val="006A0D51"/>
    <w:rsid w:val="006A1C05"/>
    <w:rsid w:val="006A225B"/>
    <w:rsid w:val="006A30D2"/>
    <w:rsid w:val="006A5A6A"/>
    <w:rsid w:val="006A5FE3"/>
    <w:rsid w:val="006B23B2"/>
    <w:rsid w:val="006B4845"/>
    <w:rsid w:val="006B635C"/>
    <w:rsid w:val="006C1708"/>
    <w:rsid w:val="006C1C29"/>
    <w:rsid w:val="006C2717"/>
    <w:rsid w:val="006C3782"/>
    <w:rsid w:val="006C3CDE"/>
    <w:rsid w:val="006C4745"/>
    <w:rsid w:val="006D0EE8"/>
    <w:rsid w:val="006D3162"/>
    <w:rsid w:val="006D37E7"/>
    <w:rsid w:val="006D3CE2"/>
    <w:rsid w:val="006D5146"/>
    <w:rsid w:val="006D59D6"/>
    <w:rsid w:val="006D5C04"/>
    <w:rsid w:val="006D7508"/>
    <w:rsid w:val="006E0F2F"/>
    <w:rsid w:val="006E19D7"/>
    <w:rsid w:val="006E35C3"/>
    <w:rsid w:val="006E71B9"/>
    <w:rsid w:val="006E72D3"/>
    <w:rsid w:val="006F0FE9"/>
    <w:rsid w:val="006F39B2"/>
    <w:rsid w:val="006F5384"/>
    <w:rsid w:val="006F6604"/>
    <w:rsid w:val="006F6896"/>
    <w:rsid w:val="006F71D8"/>
    <w:rsid w:val="006F7D1A"/>
    <w:rsid w:val="00702F6F"/>
    <w:rsid w:val="0070346C"/>
    <w:rsid w:val="007051A0"/>
    <w:rsid w:val="00705BA4"/>
    <w:rsid w:val="00706496"/>
    <w:rsid w:val="00711A12"/>
    <w:rsid w:val="00711F11"/>
    <w:rsid w:val="007154C4"/>
    <w:rsid w:val="00715DB9"/>
    <w:rsid w:val="007174BE"/>
    <w:rsid w:val="007218A0"/>
    <w:rsid w:val="007238AF"/>
    <w:rsid w:val="00726799"/>
    <w:rsid w:val="00726908"/>
    <w:rsid w:val="007270C7"/>
    <w:rsid w:val="00730E6C"/>
    <w:rsid w:val="00730F3A"/>
    <w:rsid w:val="00735F34"/>
    <w:rsid w:val="00736944"/>
    <w:rsid w:val="00741200"/>
    <w:rsid w:val="00741333"/>
    <w:rsid w:val="00742FF2"/>
    <w:rsid w:val="00744D6A"/>
    <w:rsid w:val="00744E43"/>
    <w:rsid w:val="00746138"/>
    <w:rsid w:val="0074620A"/>
    <w:rsid w:val="00751D50"/>
    <w:rsid w:val="007527D5"/>
    <w:rsid w:val="00752F3C"/>
    <w:rsid w:val="00754A8B"/>
    <w:rsid w:val="007561FC"/>
    <w:rsid w:val="00761D34"/>
    <w:rsid w:val="00762D2D"/>
    <w:rsid w:val="00764622"/>
    <w:rsid w:val="00764CAD"/>
    <w:rsid w:val="00767B08"/>
    <w:rsid w:val="00770FA1"/>
    <w:rsid w:val="00771781"/>
    <w:rsid w:val="00773884"/>
    <w:rsid w:val="00774813"/>
    <w:rsid w:val="0078052A"/>
    <w:rsid w:val="007812FB"/>
    <w:rsid w:val="00784032"/>
    <w:rsid w:val="00786E79"/>
    <w:rsid w:val="00787925"/>
    <w:rsid w:val="00790E31"/>
    <w:rsid w:val="00791578"/>
    <w:rsid w:val="00793B87"/>
    <w:rsid w:val="00794373"/>
    <w:rsid w:val="0079566E"/>
    <w:rsid w:val="00796509"/>
    <w:rsid w:val="0079691E"/>
    <w:rsid w:val="00797723"/>
    <w:rsid w:val="007B1EEE"/>
    <w:rsid w:val="007B249B"/>
    <w:rsid w:val="007B6D4D"/>
    <w:rsid w:val="007B6FAF"/>
    <w:rsid w:val="007B7A09"/>
    <w:rsid w:val="007C0F7A"/>
    <w:rsid w:val="007D24A9"/>
    <w:rsid w:val="007D27FA"/>
    <w:rsid w:val="007D30B5"/>
    <w:rsid w:val="007D6218"/>
    <w:rsid w:val="007D6699"/>
    <w:rsid w:val="007D6EB5"/>
    <w:rsid w:val="007D7E30"/>
    <w:rsid w:val="007E0A75"/>
    <w:rsid w:val="007E27AD"/>
    <w:rsid w:val="007E6419"/>
    <w:rsid w:val="007F6815"/>
    <w:rsid w:val="007F6BA8"/>
    <w:rsid w:val="0080681B"/>
    <w:rsid w:val="0080738C"/>
    <w:rsid w:val="00810B77"/>
    <w:rsid w:val="00811275"/>
    <w:rsid w:val="00817436"/>
    <w:rsid w:val="00822217"/>
    <w:rsid w:val="0082542D"/>
    <w:rsid w:val="00827834"/>
    <w:rsid w:val="00832835"/>
    <w:rsid w:val="00835110"/>
    <w:rsid w:val="008351FC"/>
    <w:rsid w:val="00841F50"/>
    <w:rsid w:val="00843A0E"/>
    <w:rsid w:val="00845DFE"/>
    <w:rsid w:val="00846E17"/>
    <w:rsid w:val="0085200A"/>
    <w:rsid w:val="00854283"/>
    <w:rsid w:val="00856356"/>
    <w:rsid w:val="008573E3"/>
    <w:rsid w:val="00861E81"/>
    <w:rsid w:val="008621BF"/>
    <w:rsid w:val="008645FF"/>
    <w:rsid w:val="00866D42"/>
    <w:rsid w:val="0087030E"/>
    <w:rsid w:val="00870AAC"/>
    <w:rsid w:val="008734F7"/>
    <w:rsid w:val="00874E9F"/>
    <w:rsid w:val="00877842"/>
    <w:rsid w:val="00877FE5"/>
    <w:rsid w:val="008806F8"/>
    <w:rsid w:val="008808E2"/>
    <w:rsid w:val="00881456"/>
    <w:rsid w:val="00881ACB"/>
    <w:rsid w:val="00885FC9"/>
    <w:rsid w:val="008905BD"/>
    <w:rsid w:val="00891328"/>
    <w:rsid w:val="00891A47"/>
    <w:rsid w:val="00892809"/>
    <w:rsid w:val="0089370F"/>
    <w:rsid w:val="008939AF"/>
    <w:rsid w:val="00893FED"/>
    <w:rsid w:val="0089449A"/>
    <w:rsid w:val="00895E48"/>
    <w:rsid w:val="00896687"/>
    <w:rsid w:val="008971F4"/>
    <w:rsid w:val="008A0E7D"/>
    <w:rsid w:val="008A3023"/>
    <w:rsid w:val="008A403F"/>
    <w:rsid w:val="008A5262"/>
    <w:rsid w:val="008A6815"/>
    <w:rsid w:val="008B1031"/>
    <w:rsid w:val="008B2303"/>
    <w:rsid w:val="008B34A0"/>
    <w:rsid w:val="008B5740"/>
    <w:rsid w:val="008C0B84"/>
    <w:rsid w:val="008C41DA"/>
    <w:rsid w:val="008C4E1F"/>
    <w:rsid w:val="008C553A"/>
    <w:rsid w:val="008C588E"/>
    <w:rsid w:val="008C6D5F"/>
    <w:rsid w:val="008C7226"/>
    <w:rsid w:val="008D7B80"/>
    <w:rsid w:val="008E243B"/>
    <w:rsid w:val="008E3232"/>
    <w:rsid w:val="008E4184"/>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2145D"/>
    <w:rsid w:val="009245DE"/>
    <w:rsid w:val="00930762"/>
    <w:rsid w:val="00930C0C"/>
    <w:rsid w:val="00936B81"/>
    <w:rsid w:val="009428A7"/>
    <w:rsid w:val="00944701"/>
    <w:rsid w:val="00950ED1"/>
    <w:rsid w:val="00952A7A"/>
    <w:rsid w:val="00953A02"/>
    <w:rsid w:val="0095444E"/>
    <w:rsid w:val="00955C67"/>
    <w:rsid w:val="00957B65"/>
    <w:rsid w:val="00960AFF"/>
    <w:rsid w:val="0096385A"/>
    <w:rsid w:val="00963F62"/>
    <w:rsid w:val="00964763"/>
    <w:rsid w:val="00965EFC"/>
    <w:rsid w:val="00970BCA"/>
    <w:rsid w:val="0097161B"/>
    <w:rsid w:val="009762D2"/>
    <w:rsid w:val="009762F1"/>
    <w:rsid w:val="0097692D"/>
    <w:rsid w:val="009776D2"/>
    <w:rsid w:val="00977EA8"/>
    <w:rsid w:val="0098140D"/>
    <w:rsid w:val="00981CED"/>
    <w:rsid w:val="00983E37"/>
    <w:rsid w:val="00984C60"/>
    <w:rsid w:val="00987225"/>
    <w:rsid w:val="00990870"/>
    <w:rsid w:val="00990DCF"/>
    <w:rsid w:val="009920F5"/>
    <w:rsid w:val="00992B56"/>
    <w:rsid w:val="00992CDA"/>
    <w:rsid w:val="00993342"/>
    <w:rsid w:val="00996CE4"/>
    <w:rsid w:val="009A0FB3"/>
    <w:rsid w:val="009A3011"/>
    <w:rsid w:val="009A3F36"/>
    <w:rsid w:val="009A48D8"/>
    <w:rsid w:val="009A6C59"/>
    <w:rsid w:val="009A7878"/>
    <w:rsid w:val="009B0888"/>
    <w:rsid w:val="009B33DF"/>
    <w:rsid w:val="009B4270"/>
    <w:rsid w:val="009B44CC"/>
    <w:rsid w:val="009B5651"/>
    <w:rsid w:val="009B6027"/>
    <w:rsid w:val="009B62E4"/>
    <w:rsid w:val="009B706A"/>
    <w:rsid w:val="009C4319"/>
    <w:rsid w:val="009D109E"/>
    <w:rsid w:val="009D12F1"/>
    <w:rsid w:val="009D1CD9"/>
    <w:rsid w:val="009D1F28"/>
    <w:rsid w:val="009D28E5"/>
    <w:rsid w:val="009D4830"/>
    <w:rsid w:val="009D520D"/>
    <w:rsid w:val="009D797A"/>
    <w:rsid w:val="009E026A"/>
    <w:rsid w:val="009E3B56"/>
    <w:rsid w:val="009E49B5"/>
    <w:rsid w:val="009E551E"/>
    <w:rsid w:val="009E7066"/>
    <w:rsid w:val="009F1EF8"/>
    <w:rsid w:val="009F3023"/>
    <w:rsid w:val="009F4604"/>
    <w:rsid w:val="009F4B78"/>
    <w:rsid w:val="009F606B"/>
    <w:rsid w:val="009F6E66"/>
    <w:rsid w:val="009F7888"/>
    <w:rsid w:val="00A02AC3"/>
    <w:rsid w:val="00A06840"/>
    <w:rsid w:val="00A06B40"/>
    <w:rsid w:val="00A06EAD"/>
    <w:rsid w:val="00A1293C"/>
    <w:rsid w:val="00A14F9B"/>
    <w:rsid w:val="00A1559A"/>
    <w:rsid w:val="00A167F1"/>
    <w:rsid w:val="00A2085F"/>
    <w:rsid w:val="00A20EC0"/>
    <w:rsid w:val="00A2150B"/>
    <w:rsid w:val="00A215D9"/>
    <w:rsid w:val="00A2292C"/>
    <w:rsid w:val="00A22DD6"/>
    <w:rsid w:val="00A23FC3"/>
    <w:rsid w:val="00A25F1B"/>
    <w:rsid w:val="00A3288D"/>
    <w:rsid w:val="00A329DC"/>
    <w:rsid w:val="00A41135"/>
    <w:rsid w:val="00A41FEB"/>
    <w:rsid w:val="00A42FBA"/>
    <w:rsid w:val="00A44DA6"/>
    <w:rsid w:val="00A50921"/>
    <w:rsid w:val="00A5160D"/>
    <w:rsid w:val="00A56CA4"/>
    <w:rsid w:val="00A63813"/>
    <w:rsid w:val="00A65F04"/>
    <w:rsid w:val="00A65F2E"/>
    <w:rsid w:val="00A7086D"/>
    <w:rsid w:val="00A7192A"/>
    <w:rsid w:val="00A71AD5"/>
    <w:rsid w:val="00A8073E"/>
    <w:rsid w:val="00A80883"/>
    <w:rsid w:val="00A81BED"/>
    <w:rsid w:val="00A82FC6"/>
    <w:rsid w:val="00A85A0D"/>
    <w:rsid w:val="00A92270"/>
    <w:rsid w:val="00AA10AE"/>
    <w:rsid w:val="00AA329F"/>
    <w:rsid w:val="00AA7B6A"/>
    <w:rsid w:val="00AB593E"/>
    <w:rsid w:val="00AB5D37"/>
    <w:rsid w:val="00AB683F"/>
    <w:rsid w:val="00AC1322"/>
    <w:rsid w:val="00AC4A2E"/>
    <w:rsid w:val="00AD1885"/>
    <w:rsid w:val="00AD50BA"/>
    <w:rsid w:val="00AE02E7"/>
    <w:rsid w:val="00AE0F75"/>
    <w:rsid w:val="00AE319E"/>
    <w:rsid w:val="00AE3B2C"/>
    <w:rsid w:val="00AE3B4E"/>
    <w:rsid w:val="00AE4982"/>
    <w:rsid w:val="00AE676F"/>
    <w:rsid w:val="00AE709C"/>
    <w:rsid w:val="00AE7DD9"/>
    <w:rsid w:val="00AF2B38"/>
    <w:rsid w:val="00B004C1"/>
    <w:rsid w:val="00B0168B"/>
    <w:rsid w:val="00B03458"/>
    <w:rsid w:val="00B04B8E"/>
    <w:rsid w:val="00B1072F"/>
    <w:rsid w:val="00B124C0"/>
    <w:rsid w:val="00B15820"/>
    <w:rsid w:val="00B215D8"/>
    <w:rsid w:val="00B2218A"/>
    <w:rsid w:val="00B23F64"/>
    <w:rsid w:val="00B246ED"/>
    <w:rsid w:val="00B26DD0"/>
    <w:rsid w:val="00B338C8"/>
    <w:rsid w:val="00B341CC"/>
    <w:rsid w:val="00B35321"/>
    <w:rsid w:val="00B353D7"/>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62C0"/>
    <w:rsid w:val="00B5720A"/>
    <w:rsid w:val="00B604A0"/>
    <w:rsid w:val="00B60761"/>
    <w:rsid w:val="00B620A5"/>
    <w:rsid w:val="00B62BB1"/>
    <w:rsid w:val="00B63559"/>
    <w:rsid w:val="00B71E6E"/>
    <w:rsid w:val="00B73979"/>
    <w:rsid w:val="00B74430"/>
    <w:rsid w:val="00B751B0"/>
    <w:rsid w:val="00B762E0"/>
    <w:rsid w:val="00B8391A"/>
    <w:rsid w:val="00B86188"/>
    <w:rsid w:val="00B86C54"/>
    <w:rsid w:val="00B874C4"/>
    <w:rsid w:val="00B93BF5"/>
    <w:rsid w:val="00B97AA2"/>
    <w:rsid w:val="00B97B8E"/>
    <w:rsid w:val="00BA00A8"/>
    <w:rsid w:val="00BA0378"/>
    <w:rsid w:val="00BA37A4"/>
    <w:rsid w:val="00BA4FB0"/>
    <w:rsid w:val="00BA6138"/>
    <w:rsid w:val="00BB1930"/>
    <w:rsid w:val="00BB3478"/>
    <w:rsid w:val="00BC2247"/>
    <w:rsid w:val="00BC3029"/>
    <w:rsid w:val="00BC3E0A"/>
    <w:rsid w:val="00BC5572"/>
    <w:rsid w:val="00BC6169"/>
    <w:rsid w:val="00BD497C"/>
    <w:rsid w:val="00BD4DD1"/>
    <w:rsid w:val="00BD57EE"/>
    <w:rsid w:val="00BD6593"/>
    <w:rsid w:val="00BE4E8A"/>
    <w:rsid w:val="00BE6478"/>
    <w:rsid w:val="00BF2A79"/>
    <w:rsid w:val="00BF375F"/>
    <w:rsid w:val="00BF7E95"/>
    <w:rsid w:val="00C02372"/>
    <w:rsid w:val="00C044C3"/>
    <w:rsid w:val="00C05BD7"/>
    <w:rsid w:val="00C10453"/>
    <w:rsid w:val="00C12E60"/>
    <w:rsid w:val="00C13BCA"/>
    <w:rsid w:val="00C141B9"/>
    <w:rsid w:val="00C158CF"/>
    <w:rsid w:val="00C16518"/>
    <w:rsid w:val="00C1787D"/>
    <w:rsid w:val="00C20F14"/>
    <w:rsid w:val="00C22B7C"/>
    <w:rsid w:val="00C23B8E"/>
    <w:rsid w:val="00C3184D"/>
    <w:rsid w:val="00C331FD"/>
    <w:rsid w:val="00C340E5"/>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5119"/>
    <w:rsid w:val="00C76DD6"/>
    <w:rsid w:val="00C90B62"/>
    <w:rsid w:val="00C91C08"/>
    <w:rsid w:val="00C959F3"/>
    <w:rsid w:val="00C96D10"/>
    <w:rsid w:val="00C97F0E"/>
    <w:rsid w:val="00CA06AC"/>
    <w:rsid w:val="00CA1D9E"/>
    <w:rsid w:val="00CA242A"/>
    <w:rsid w:val="00CA27BD"/>
    <w:rsid w:val="00CA2AB6"/>
    <w:rsid w:val="00CA36DE"/>
    <w:rsid w:val="00CA4BCC"/>
    <w:rsid w:val="00CA5313"/>
    <w:rsid w:val="00CB01D6"/>
    <w:rsid w:val="00CB311E"/>
    <w:rsid w:val="00CB71E1"/>
    <w:rsid w:val="00CC021F"/>
    <w:rsid w:val="00CC0ED3"/>
    <w:rsid w:val="00CC1894"/>
    <w:rsid w:val="00CC2EE2"/>
    <w:rsid w:val="00CC3D03"/>
    <w:rsid w:val="00CC45DB"/>
    <w:rsid w:val="00CC5651"/>
    <w:rsid w:val="00CC73FF"/>
    <w:rsid w:val="00CD141E"/>
    <w:rsid w:val="00CD45DA"/>
    <w:rsid w:val="00CD63E2"/>
    <w:rsid w:val="00CE2EA4"/>
    <w:rsid w:val="00CE5714"/>
    <w:rsid w:val="00CE6138"/>
    <w:rsid w:val="00CE6F33"/>
    <w:rsid w:val="00CE6F59"/>
    <w:rsid w:val="00CE7AAB"/>
    <w:rsid w:val="00CF2673"/>
    <w:rsid w:val="00CF2DA1"/>
    <w:rsid w:val="00CF43B1"/>
    <w:rsid w:val="00CF7E35"/>
    <w:rsid w:val="00D0614B"/>
    <w:rsid w:val="00D06AD1"/>
    <w:rsid w:val="00D17549"/>
    <w:rsid w:val="00D24D97"/>
    <w:rsid w:val="00D275F5"/>
    <w:rsid w:val="00D376F1"/>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28F0"/>
    <w:rsid w:val="00D74A82"/>
    <w:rsid w:val="00D753F6"/>
    <w:rsid w:val="00D7737D"/>
    <w:rsid w:val="00D80897"/>
    <w:rsid w:val="00D81375"/>
    <w:rsid w:val="00D8540E"/>
    <w:rsid w:val="00D85C4D"/>
    <w:rsid w:val="00D8730B"/>
    <w:rsid w:val="00D87749"/>
    <w:rsid w:val="00D9072A"/>
    <w:rsid w:val="00D94852"/>
    <w:rsid w:val="00D968ED"/>
    <w:rsid w:val="00DA039C"/>
    <w:rsid w:val="00DA10B4"/>
    <w:rsid w:val="00DA6EBE"/>
    <w:rsid w:val="00DB27CC"/>
    <w:rsid w:val="00DB2A54"/>
    <w:rsid w:val="00DB3A42"/>
    <w:rsid w:val="00DB4EF9"/>
    <w:rsid w:val="00DC29FE"/>
    <w:rsid w:val="00DC430C"/>
    <w:rsid w:val="00DC60FB"/>
    <w:rsid w:val="00DC7319"/>
    <w:rsid w:val="00DC742E"/>
    <w:rsid w:val="00DD38DC"/>
    <w:rsid w:val="00DD63FF"/>
    <w:rsid w:val="00DF1BBF"/>
    <w:rsid w:val="00DF3145"/>
    <w:rsid w:val="00DF4B0E"/>
    <w:rsid w:val="00E01E4B"/>
    <w:rsid w:val="00E0223B"/>
    <w:rsid w:val="00E062B0"/>
    <w:rsid w:val="00E0711E"/>
    <w:rsid w:val="00E07373"/>
    <w:rsid w:val="00E0770C"/>
    <w:rsid w:val="00E14DFA"/>
    <w:rsid w:val="00E17EA5"/>
    <w:rsid w:val="00E229DB"/>
    <w:rsid w:val="00E2571A"/>
    <w:rsid w:val="00E26EDC"/>
    <w:rsid w:val="00E2713C"/>
    <w:rsid w:val="00E303AF"/>
    <w:rsid w:val="00E30B42"/>
    <w:rsid w:val="00E31CCA"/>
    <w:rsid w:val="00E342D7"/>
    <w:rsid w:val="00E34554"/>
    <w:rsid w:val="00E34D1F"/>
    <w:rsid w:val="00E35C26"/>
    <w:rsid w:val="00E40003"/>
    <w:rsid w:val="00E410EA"/>
    <w:rsid w:val="00E41D5C"/>
    <w:rsid w:val="00E437F7"/>
    <w:rsid w:val="00E46561"/>
    <w:rsid w:val="00E529F9"/>
    <w:rsid w:val="00E55017"/>
    <w:rsid w:val="00E55416"/>
    <w:rsid w:val="00E55661"/>
    <w:rsid w:val="00E557D1"/>
    <w:rsid w:val="00E56282"/>
    <w:rsid w:val="00E60F91"/>
    <w:rsid w:val="00E616BF"/>
    <w:rsid w:val="00E621FD"/>
    <w:rsid w:val="00E658AA"/>
    <w:rsid w:val="00E6656A"/>
    <w:rsid w:val="00E70D30"/>
    <w:rsid w:val="00E716BA"/>
    <w:rsid w:val="00E735DC"/>
    <w:rsid w:val="00E75977"/>
    <w:rsid w:val="00E76431"/>
    <w:rsid w:val="00E7686D"/>
    <w:rsid w:val="00E813BA"/>
    <w:rsid w:val="00E8590C"/>
    <w:rsid w:val="00E85F76"/>
    <w:rsid w:val="00E93590"/>
    <w:rsid w:val="00E94506"/>
    <w:rsid w:val="00E95A7B"/>
    <w:rsid w:val="00E95ECD"/>
    <w:rsid w:val="00E969E9"/>
    <w:rsid w:val="00EA01A0"/>
    <w:rsid w:val="00EA155A"/>
    <w:rsid w:val="00EA24D4"/>
    <w:rsid w:val="00EA2851"/>
    <w:rsid w:val="00EA3515"/>
    <w:rsid w:val="00EA4472"/>
    <w:rsid w:val="00EA55FE"/>
    <w:rsid w:val="00EB0B4F"/>
    <w:rsid w:val="00EB1B59"/>
    <w:rsid w:val="00EB4384"/>
    <w:rsid w:val="00EB6055"/>
    <w:rsid w:val="00EB6065"/>
    <w:rsid w:val="00EB734B"/>
    <w:rsid w:val="00EC014D"/>
    <w:rsid w:val="00EC024A"/>
    <w:rsid w:val="00EC0826"/>
    <w:rsid w:val="00EC23B3"/>
    <w:rsid w:val="00EC4E99"/>
    <w:rsid w:val="00EC7E23"/>
    <w:rsid w:val="00ED3A21"/>
    <w:rsid w:val="00ED4856"/>
    <w:rsid w:val="00ED54F9"/>
    <w:rsid w:val="00ED6982"/>
    <w:rsid w:val="00EE0218"/>
    <w:rsid w:val="00EE0E54"/>
    <w:rsid w:val="00EE1033"/>
    <w:rsid w:val="00EE114E"/>
    <w:rsid w:val="00EE5C60"/>
    <w:rsid w:val="00EF24BB"/>
    <w:rsid w:val="00EF2B90"/>
    <w:rsid w:val="00EF32F6"/>
    <w:rsid w:val="00EF4114"/>
    <w:rsid w:val="00EF448F"/>
    <w:rsid w:val="00EF4634"/>
    <w:rsid w:val="00EF472E"/>
    <w:rsid w:val="00EF4A5A"/>
    <w:rsid w:val="00EF4EC4"/>
    <w:rsid w:val="00EF66A9"/>
    <w:rsid w:val="00EF74D8"/>
    <w:rsid w:val="00F01898"/>
    <w:rsid w:val="00F02F3F"/>
    <w:rsid w:val="00F05EE0"/>
    <w:rsid w:val="00F06985"/>
    <w:rsid w:val="00F07DE8"/>
    <w:rsid w:val="00F156B3"/>
    <w:rsid w:val="00F15FD8"/>
    <w:rsid w:val="00F21A1A"/>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5606"/>
    <w:rsid w:val="00F66614"/>
    <w:rsid w:val="00F67764"/>
    <w:rsid w:val="00F67C19"/>
    <w:rsid w:val="00F71232"/>
    <w:rsid w:val="00F74722"/>
    <w:rsid w:val="00F75F45"/>
    <w:rsid w:val="00F82957"/>
    <w:rsid w:val="00F83BD2"/>
    <w:rsid w:val="00F857CA"/>
    <w:rsid w:val="00F92C2B"/>
    <w:rsid w:val="00F94241"/>
    <w:rsid w:val="00F945CD"/>
    <w:rsid w:val="00F95ECF"/>
    <w:rsid w:val="00F9792C"/>
    <w:rsid w:val="00F97AAA"/>
    <w:rsid w:val="00FA4AD8"/>
    <w:rsid w:val="00FB0422"/>
    <w:rsid w:val="00FB3597"/>
    <w:rsid w:val="00FB4E37"/>
    <w:rsid w:val="00FB53CA"/>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050D"/>
    <w:rsid w:val="00FF29D4"/>
    <w:rsid w:val="00FF388D"/>
    <w:rsid w:val="7CDD3C55"/>
    <w:rsid w:val="D6FD8CF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name="footnote text"/>
    <w:lsdException w:uiPriority="99" w:semiHidden="0"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MS Mincho" w:cs="Times New Roman"/>
      <w:sz w:val="24"/>
      <w:szCs w:val="24"/>
      <w:lang w:val="de-DE" w:eastAsia="ja-JP" w:bidi="ar-SA"/>
    </w:rPr>
  </w:style>
  <w:style w:type="character" w:default="1" w:styleId="12">
    <w:name w:val="Default Paragraph Font"/>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52"/>
    <w:unhideWhenUsed/>
    <w:uiPriority w:val="99"/>
    <w:rPr>
      <w:sz w:val="20"/>
      <w:szCs w:val="20"/>
      <w:lang w:val="zh-CN"/>
    </w:rPr>
  </w:style>
  <w:style w:type="paragraph" w:styleId="3">
    <w:name w:val="Balloon Text"/>
    <w:basedOn w:val="1"/>
    <w:semiHidden/>
    <w:uiPriority w:val="0"/>
    <w:rPr>
      <w:rFonts w:ascii="Tahoma" w:hAnsi="Tahoma" w:cs="Tahoma"/>
      <w:sz w:val="16"/>
      <w:szCs w:val="16"/>
    </w:rPr>
  </w:style>
  <w:style w:type="paragraph" w:styleId="4">
    <w:name w:val="footer"/>
    <w:basedOn w:val="1"/>
    <w:link w:val="54"/>
    <w:uiPriority w:val="99"/>
    <w:pPr>
      <w:tabs>
        <w:tab w:val="center" w:pos="4536"/>
        <w:tab w:val="right" w:pos="9072"/>
      </w:tabs>
    </w:pPr>
  </w:style>
  <w:style w:type="paragraph" w:styleId="5">
    <w:name w:val="header"/>
    <w:basedOn w:val="1"/>
    <w:link w:val="51"/>
    <w:uiPriority w:val="0"/>
    <w:pPr>
      <w:tabs>
        <w:tab w:val="center" w:pos="4536"/>
        <w:tab w:val="right" w:pos="9072"/>
      </w:tabs>
    </w:pPr>
    <w:rPr>
      <w:lang w:val="zh-CN"/>
    </w:rPr>
  </w:style>
  <w:style w:type="paragraph" w:styleId="6">
    <w:name w:val="footnote text"/>
    <w:basedOn w:val="1"/>
    <w:semiHidden/>
    <w:uiPriority w:val="0"/>
    <w:pPr>
      <w:keepLines/>
      <w:widowControl w:val="0"/>
      <w:jc w:val="both"/>
    </w:pPr>
    <w:rPr>
      <w:rFonts w:eastAsia="Times New Roman"/>
      <w:sz w:val="20"/>
      <w:szCs w:val="20"/>
      <w:lang w:val="en-GB" w:eastAsia="ro-RO"/>
    </w:rPr>
  </w:style>
  <w:style w:type="paragraph" w:styleId="7">
    <w:name w:val="Normal (Web)"/>
    <w:basedOn w:val="1"/>
    <w:unhideWhenUsed/>
    <w:uiPriority w:val="99"/>
  </w:style>
  <w:style w:type="paragraph" w:styleId="8">
    <w:name w:val="Title"/>
    <w:basedOn w:val="1"/>
    <w:next w:val="1"/>
    <w:link w:val="58"/>
    <w:qFormat/>
    <w:uiPriority w:val="10"/>
    <w:pPr>
      <w:spacing w:before="240" w:after="60"/>
      <w:jc w:val="center"/>
      <w:outlineLvl w:val="0"/>
    </w:pPr>
    <w:rPr>
      <w:rFonts w:asciiTheme="majorHAnsi" w:hAnsiTheme="majorHAnsi" w:eastAsiaTheme="majorEastAsia" w:cstheme="majorBidi"/>
      <w:b/>
      <w:bCs/>
      <w:sz w:val="32"/>
      <w:szCs w:val="32"/>
    </w:rPr>
  </w:style>
  <w:style w:type="paragraph" w:styleId="9">
    <w:name w:val="annotation subject"/>
    <w:basedOn w:val="2"/>
    <w:next w:val="2"/>
    <w:link w:val="53"/>
    <w:semiHidden/>
    <w:unhideWhenUsed/>
    <w:uiPriority w:val="99"/>
    <w:rPr>
      <w:b/>
      <w:bCs/>
    </w:rPr>
  </w:style>
  <w:style w:type="table" w:styleId="11">
    <w:name w:val="Table Grid"/>
    <w:basedOn w:val="10"/>
    <w:qFormat/>
    <w:uiPriority w:val="0"/>
    <w:pPr>
      <w:widowControl w:val="0"/>
      <w:jc w:val="both"/>
    </w:pPr>
    <w:rPr>
      <w:rFonts w:eastAsia="宋体"/>
      <w:lang w:val="en-US"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semiHidden/>
    <w:unhideWhenUsed/>
    <w:uiPriority w:val="99"/>
    <w:rPr>
      <w:color w:val="954F72" w:themeColor="followedHyperlink"/>
      <w:u w:val="single"/>
    </w:rPr>
  </w:style>
  <w:style w:type="character" w:styleId="14">
    <w:name w:val="Hyperlink"/>
    <w:basedOn w:val="12"/>
    <w:unhideWhenUsed/>
    <w:uiPriority w:val="99"/>
    <w:rPr>
      <w:color w:val="0563C1" w:themeColor="hyperlink"/>
      <w:u w:val="single"/>
    </w:rPr>
  </w:style>
  <w:style w:type="character" w:styleId="15">
    <w:name w:val="annotation reference"/>
    <w:semiHidden/>
    <w:unhideWhenUsed/>
    <w:uiPriority w:val="99"/>
    <w:rPr>
      <w:sz w:val="16"/>
      <w:szCs w:val="16"/>
    </w:rPr>
  </w:style>
  <w:style w:type="paragraph" w:customStyle="1" w:styleId="16">
    <w:name w:val="History"/>
    <w:basedOn w:val="1"/>
    <w:uiPriority w:val="0"/>
    <w:pPr>
      <w:spacing w:before="230" w:after="460" w:line="180" w:lineRule="exact"/>
      <w:jc w:val="right"/>
    </w:pPr>
    <w:rPr>
      <w:rFonts w:ascii="Arial" w:hAnsi="Arial"/>
      <w:sz w:val="14"/>
      <w:szCs w:val="16"/>
    </w:rPr>
  </w:style>
  <w:style w:type="paragraph" w:customStyle="1" w:styleId="17">
    <w:name w:val="References"/>
    <w:basedOn w:val="1"/>
    <w:uiPriority w:val="0"/>
    <w:pPr>
      <w:spacing w:line="200" w:lineRule="exact"/>
      <w:ind w:left="425" w:hanging="425"/>
      <w:jc w:val="both"/>
    </w:pPr>
    <w:rPr>
      <w:sz w:val="15"/>
      <w:szCs w:val="14"/>
      <w:lang w:val="en-GB"/>
    </w:rPr>
  </w:style>
  <w:style w:type="paragraph" w:customStyle="1" w:styleId="18">
    <w:name w:val="HExperimental_Section"/>
    <w:basedOn w:val="1"/>
    <w:uiPriority w:val="0"/>
    <w:pPr>
      <w:spacing w:before="460" w:after="230" w:line="230" w:lineRule="atLeast"/>
    </w:pPr>
    <w:rPr>
      <w:i/>
      <w:szCs w:val="20"/>
    </w:rPr>
  </w:style>
  <w:style w:type="paragraph" w:customStyle="1" w:styleId="19">
    <w:name w:val="ExperimentalSection"/>
    <w:basedOn w:val="1"/>
    <w:uiPriority w:val="0"/>
    <w:pPr>
      <w:spacing w:after="240" w:line="200" w:lineRule="exact"/>
      <w:ind w:firstLine="170"/>
      <w:jc w:val="both"/>
    </w:pPr>
    <w:rPr>
      <w:sz w:val="16"/>
      <w:szCs w:val="14"/>
      <w:lang w:val="en-GB"/>
    </w:rPr>
  </w:style>
  <w:style w:type="paragraph" w:customStyle="1" w:styleId="20">
    <w:name w:val="FNB"/>
    <w:basedOn w:val="1"/>
    <w:link w:val="21"/>
    <w:uiPriority w:val="0"/>
    <w:pPr>
      <w:widowControl w:val="0"/>
      <w:spacing w:after="40" w:line="160" w:lineRule="exact"/>
      <w:ind w:left="567" w:right="4434" w:hanging="567"/>
      <w:jc w:val="both"/>
    </w:pPr>
    <w:rPr>
      <w:rFonts w:ascii="Times" w:hAnsi="Times"/>
      <w:sz w:val="14"/>
      <w:szCs w:val="3276"/>
      <w:lang w:val="en-GB" w:eastAsia="de-DE"/>
    </w:rPr>
  </w:style>
  <w:style w:type="character" w:customStyle="1" w:styleId="21">
    <w:name w:val="FNB Char"/>
    <w:link w:val="20"/>
    <w:uiPriority w:val="0"/>
    <w:rPr>
      <w:rFonts w:ascii="Times" w:hAnsi="Times"/>
      <w:sz w:val="14"/>
      <w:szCs w:val="3276"/>
      <w:lang w:val="en-GB" w:eastAsia="de-DE" w:bidi="ar-SA"/>
    </w:rPr>
  </w:style>
  <w:style w:type="paragraph" w:customStyle="1" w:styleId="22">
    <w:name w:val="Ack"/>
    <w:basedOn w:val="1"/>
    <w:uiPriority w:val="0"/>
  </w:style>
  <w:style w:type="paragraph" w:customStyle="1" w:styleId="23">
    <w:name w:val="TableCaption"/>
    <w:basedOn w:val="1"/>
    <w:uiPriority w:val="0"/>
    <w:pPr>
      <w:spacing w:after="120" w:line="190" w:lineRule="exact"/>
      <w:jc w:val="both"/>
    </w:pPr>
    <w:rPr>
      <w:rFonts w:ascii="Arial" w:hAnsi="Arial"/>
      <w:sz w:val="16"/>
      <w:szCs w:val="14"/>
      <w:lang w:val="en-GB"/>
    </w:rPr>
  </w:style>
  <w:style w:type="paragraph" w:customStyle="1" w:styleId="24">
    <w:name w:val="TableHead"/>
    <w:basedOn w:val="23"/>
    <w:uiPriority w:val="0"/>
    <w:pPr>
      <w:pBdr>
        <w:top w:val="single" w:color="FFFFFF" w:sz="4" w:space="4"/>
        <w:left w:val="single" w:color="FFFFFF" w:sz="4" w:space="4"/>
        <w:bottom w:val="single" w:color="FFFFFF" w:sz="4" w:space="4"/>
        <w:right w:val="single" w:color="FFFFFF" w:sz="4" w:space="4"/>
      </w:pBdr>
      <w:spacing w:after="0"/>
    </w:pPr>
  </w:style>
  <w:style w:type="paragraph" w:customStyle="1" w:styleId="25">
    <w:name w:val="TableBody"/>
    <w:basedOn w:val="24"/>
    <w:uiPriority w:val="0"/>
  </w:style>
  <w:style w:type="paragraph" w:customStyle="1" w:styleId="26">
    <w:name w:val="TableFoot"/>
    <w:basedOn w:val="25"/>
    <w:uiPriority w:val="0"/>
    <w:pPr>
      <w:spacing w:before="60" w:after="60"/>
    </w:pPr>
  </w:style>
  <w:style w:type="paragraph" w:customStyle="1" w:styleId="27">
    <w:name w:val="SchemeCaption"/>
    <w:basedOn w:val="1"/>
    <w:uiPriority w:val="0"/>
    <w:pPr>
      <w:spacing w:before="230" w:after="460" w:line="190" w:lineRule="exact"/>
      <w:jc w:val="both"/>
    </w:pPr>
    <w:rPr>
      <w:rFonts w:ascii="Arial" w:hAnsi="Arial"/>
      <w:sz w:val="16"/>
      <w:szCs w:val="14"/>
      <w:lang w:val="en-GB"/>
    </w:rPr>
  </w:style>
  <w:style w:type="paragraph" w:customStyle="1" w:styleId="28">
    <w:name w:val="STOE"/>
    <w:basedOn w:val="1"/>
    <w:link w:val="29"/>
    <w:uiPriority w:val="0"/>
    <w:pPr>
      <w:widowControl w:val="0"/>
      <w:spacing w:line="236" w:lineRule="exact"/>
      <w:ind w:right="4434"/>
      <w:jc w:val="both"/>
    </w:pPr>
    <w:rPr>
      <w:rFonts w:ascii="Times" w:hAnsi="Times"/>
      <w:sz w:val="18"/>
      <w:szCs w:val="3276"/>
      <w:lang w:val="en-GB" w:eastAsia="de-DE"/>
    </w:rPr>
  </w:style>
  <w:style w:type="character" w:customStyle="1" w:styleId="29">
    <w:name w:val="STOE Char1"/>
    <w:link w:val="28"/>
    <w:uiPriority w:val="0"/>
    <w:rPr>
      <w:rFonts w:ascii="Times" w:hAnsi="Times"/>
      <w:sz w:val="18"/>
      <w:szCs w:val="3276"/>
      <w:lang w:val="en-GB" w:eastAsia="de-DE" w:bidi="ar-SA"/>
    </w:rPr>
  </w:style>
  <w:style w:type="paragraph" w:customStyle="1" w:styleId="30">
    <w:name w:val="Title1"/>
    <w:basedOn w:val="1"/>
    <w:uiPriority w:val="0"/>
    <w:rPr>
      <w:b/>
      <w:lang w:val="en-US"/>
    </w:rPr>
  </w:style>
  <w:style w:type="paragraph" w:customStyle="1" w:styleId="31">
    <w:name w:val="Authors Full"/>
    <w:basedOn w:val="1"/>
    <w:uiPriority w:val="0"/>
    <w:rPr>
      <w:i/>
      <w:lang w:val="en-US"/>
    </w:rPr>
  </w:style>
  <w:style w:type="paragraph" w:customStyle="1" w:styleId="32">
    <w:name w:val="dedication"/>
    <w:basedOn w:val="1"/>
    <w:uiPriority w:val="0"/>
    <w:rPr>
      <w:i/>
      <w:lang w:val="en-US"/>
    </w:rPr>
  </w:style>
  <w:style w:type="paragraph" w:customStyle="1" w:styleId="33">
    <w:name w:val="Addresses"/>
    <w:basedOn w:val="1"/>
    <w:uiPriority w:val="0"/>
    <w:rPr>
      <w:lang w:val="en-US"/>
    </w:rPr>
  </w:style>
  <w:style w:type="paragraph" w:customStyle="1" w:styleId="34">
    <w:name w:val="Acknowledgements"/>
    <w:basedOn w:val="1"/>
    <w:qFormat/>
    <w:uiPriority w:val="0"/>
    <w:rPr>
      <w:lang w:val="en-US"/>
    </w:rPr>
  </w:style>
  <w:style w:type="paragraph" w:customStyle="1" w:styleId="35">
    <w:name w:val="Abstract"/>
    <w:basedOn w:val="1"/>
    <w:uiPriority w:val="0"/>
    <w:pPr>
      <w:spacing w:line="360" w:lineRule="auto"/>
      <w:jc w:val="both"/>
    </w:pPr>
    <w:rPr>
      <w:lang w:val="en-US" w:eastAsia="zh-CN"/>
    </w:rPr>
  </w:style>
  <w:style w:type="paragraph" w:customStyle="1" w:styleId="36">
    <w:name w:val="Head 1"/>
    <w:basedOn w:val="1"/>
    <w:qFormat/>
    <w:uiPriority w:val="0"/>
    <w:pPr>
      <w:widowControl w:val="0"/>
      <w:snapToGrid w:val="0"/>
      <w:spacing w:before="240" w:line="360" w:lineRule="auto"/>
      <w:ind w:firstLine="480" w:firstLineChars="200"/>
      <w:jc w:val="both"/>
    </w:pPr>
    <w:rPr>
      <w:bCs/>
      <w:lang w:val="en-US" w:eastAsia="zh-CN"/>
    </w:rPr>
  </w:style>
  <w:style w:type="paragraph" w:customStyle="1" w:styleId="37">
    <w:name w:val="Head 2"/>
    <w:basedOn w:val="1"/>
    <w:uiPriority w:val="0"/>
    <w:pPr>
      <w:widowControl w:val="0"/>
      <w:spacing w:before="240" w:after="240" w:line="360" w:lineRule="auto"/>
      <w:ind w:firstLine="480" w:firstLineChars="200"/>
      <w:jc w:val="both"/>
    </w:pPr>
    <w:rPr>
      <w:rFonts w:eastAsia="宋体"/>
      <w:bCs/>
      <w:iCs/>
      <w:lang w:val="en-US" w:eastAsia="zh-CN"/>
    </w:rPr>
  </w:style>
  <w:style w:type="paragraph" w:customStyle="1" w:styleId="38">
    <w:name w:val="dates"/>
    <w:basedOn w:val="1"/>
    <w:uiPriority w:val="0"/>
    <w:pPr>
      <w:jc w:val="right"/>
    </w:pPr>
    <w:rPr>
      <w:lang w:val="en-US"/>
    </w:rPr>
  </w:style>
  <w:style w:type="paragraph" w:customStyle="1" w:styleId="39">
    <w:name w:val="Literature"/>
    <w:basedOn w:val="1"/>
    <w:uiPriority w:val="0"/>
    <w:pPr>
      <w:spacing w:line="480" w:lineRule="auto"/>
    </w:pPr>
  </w:style>
  <w:style w:type="paragraph" w:customStyle="1" w:styleId="40">
    <w:name w:val="Legend"/>
    <w:basedOn w:val="1"/>
    <w:uiPriority w:val="0"/>
    <w:rPr>
      <w:lang w:val="en-US"/>
    </w:rPr>
  </w:style>
  <w:style w:type="paragraph" w:customStyle="1" w:styleId="41">
    <w:name w:val="Main Text"/>
    <w:basedOn w:val="1"/>
    <w:link w:val="45"/>
    <w:qFormat/>
    <w:uiPriority w:val="0"/>
    <w:pPr>
      <w:spacing w:line="480" w:lineRule="auto"/>
    </w:pPr>
    <w:rPr>
      <w:lang w:val="en-US"/>
    </w:rPr>
  </w:style>
  <w:style w:type="paragraph" w:customStyle="1" w:styleId="42">
    <w:name w:val="Table of contents"/>
    <w:basedOn w:val="1"/>
    <w:uiPriority w:val="0"/>
    <w:rPr>
      <w:rFonts w:eastAsiaTheme="minorEastAsia"/>
      <w:b/>
      <w:bCs/>
      <w:sz w:val="28"/>
      <w:szCs w:val="28"/>
      <w:lang w:val="en-US" w:eastAsia="zh-CN"/>
    </w:rPr>
  </w:style>
  <w:style w:type="paragraph" w:customStyle="1" w:styleId="43">
    <w:name w:val="Experimental Text"/>
    <w:basedOn w:val="1"/>
    <w:link w:val="44"/>
    <w:uiPriority w:val="0"/>
    <w:pPr>
      <w:spacing w:line="480" w:lineRule="auto"/>
    </w:pPr>
    <w:rPr>
      <w:lang w:val="en-US"/>
    </w:rPr>
  </w:style>
  <w:style w:type="character" w:customStyle="1" w:styleId="44">
    <w:name w:val="Experimental Text Char"/>
    <w:link w:val="43"/>
    <w:uiPriority w:val="0"/>
    <w:rPr>
      <w:rFonts w:eastAsia="MS Mincho"/>
      <w:sz w:val="24"/>
      <w:szCs w:val="24"/>
      <w:lang w:val="en-US" w:eastAsia="ja-JP" w:bidi="ar-SA"/>
    </w:rPr>
  </w:style>
  <w:style w:type="character" w:customStyle="1" w:styleId="45">
    <w:name w:val="Main Text Char"/>
    <w:link w:val="41"/>
    <w:qFormat/>
    <w:uiPriority w:val="0"/>
    <w:rPr>
      <w:rFonts w:eastAsia="MS Mincho"/>
      <w:sz w:val="24"/>
      <w:szCs w:val="24"/>
      <w:lang w:val="en-US" w:eastAsia="ja-JP" w:bidi="ar-SA"/>
    </w:rPr>
  </w:style>
  <w:style w:type="paragraph" w:customStyle="1" w:styleId="46">
    <w:name w:val="Title2"/>
    <w:basedOn w:val="1"/>
    <w:uiPriority w:val="0"/>
    <w:rPr>
      <w:b/>
      <w:lang w:val="en-US"/>
    </w:rPr>
  </w:style>
  <w:style w:type="paragraph" w:customStyle="1" w:styleId="47">
    <w:name w:val="Dedication"/>
    <w:basedOn w:val="1"/>
    <w:uiPriority w:val="0"/>
    <w:rPr>
      <w:lang w:val="en-US"/>
    </w:rPr>
  </w:style>
  <w:style w:type="paragraph" w:customStyle="1" w:styleId="48">
    <w:name w:val="Main text"/>
    <w:basedOn w:val="1"/>
    <w:link w:val="49"/>
    <w:uiPriority w:val="0"/>
    <w:pPr>
      <w:spacing w:line="480" w:lineRule="auto"/>
    </w:pPr>
    <w:rPr>
      <w:lang w:val="en-US"/>
    </w:rPr>
  </w:style>
  <w:style w:type="character" w:customStyle="1" w:styleId="49">
    <w:name w:val="Main text Char"/>
    <w:link w:val="48"/>
    <w:uiPriority w:val="0"/>
    <w:rPr>
      <w:sz w:val="24"/>
      <w:szCs w:val="24"/>
      <w:lang w:val="en-US" w:eastAsia="ja-JP"/>
    </w:rPr>
  </w:style>
  <w:style w:type="paragraph" w:customStyle="1" w:styleId="50">
    <w:name w:val="Biography"/>
    <w:basedOn w:val="1"/>
    <w:uiPriority w:val="0"/>
    <w:rPr>
      <w:i/>
      <w:lang w:val="en-US"/>
    </w:rPr>
  </w:style>
  <w:style w:type="character" w:customStyle="1" w:styleId="51">
    <w:name w:val="页眉 字符"/>
    <w:link w:val="5"/>
    <w:uiPriority w:val="0"/>
    <w:rPr>
      <w:sz w:val="24"/>
      <w:szCs w:val="24"/>
      <w:lang w:eastAsia="ja-JP"/>
    </w:rPr>
  </w:style>
  <w:style w:type="character" w:customStyle="1" w:styleId="52">
    <w:name w:val="批注文字 字符"/>
    <w:link w:val="2"/>
    <w:uiPriority w:val="99"/>
    <w:rPr>
      <w:lang w:eastAsia="ja-JP"/>
    </w:rPr>
  </w:style>
  <w:style w:type="character" w:customStyle="1" w:styleId="53">
    <w:name w:val="批注主题 字符"/>
    <w:link w:val="9"/>
    <w:semiHidden/>
    <w:uiPriority w:val="99"/>
    <w:rPr>
      <w:b/>
      <w:bCs/>
      <w:lang w:eastAsia="ja-JP"/>
    </w:rPr>
  </w:style>
  <w:style w:type="character" w:customStyle="1" w:styleId="54">
    <w:name w:val="页脚 字符"/>
    <w:link w:val="4"/>
    <w:uiPriority w:val="99"/>
    <w:rPr>
      <w:sz w:val="24"/>
      <w:szCs w:val="24"/>
      <w:lang w:eastAsia="ja-JP"/>
    </w:rPr>
  </w:style>
  <w:style w:type="paragraph" w:customStyle="1" w:styleId="55">
    <w:name w:val="Revision"/>
    <w:hidden/>
    <w:semiHidden/>
    <w:uiPriority w:val="99"/>
    <w:rPr>
      <w:rFonts w:ascii="Times New Roman" w:hAnsi="Times New Roman" w:eastAsia="MS Mincho" w:cs="Times New Roman"/>
      <w:sz w:val="24"/>
      <w:szCs w:val="24"/>
      <w:lang w:val="de-DE" w:eastAsia="ja-JP" w:bidi="ar-SA"/>
    </w:rPr>
  </w:style>
  <w:style w:type="character" w:customStyle="1" w:styleId="56">
    <w:name w:val="Unresolved Mention"/>
    <w:basedOn w:val="12"/>
    <w:semiHidden/>
    <w:unhideWhenUsed/>
    <w:uiPriority w:val="99"/>
    <w:rPr>
      <w:color w:val="605E5C"/>
      <w:shd w:val="clear" w:color="auto" w:fill="E1DFDD"/>
    </w:rPr>
  </w:style>
  <w:style w:type="paragraph" w:styleId="57">
    <w:name w:val="List Paragraph"/>
    <w:basedOn w:val="1"/>
    <w:qFormat/>
    <w:uiPriority w:val="34"/>
    <w:pPr>
      <w:ind w:firstLine="420" w:firstLineChars="200"/>
    </w:pPr>
  </w:style>
  <w:style w:type="character" w:customStyle="1" w:styleId="58">
    <w:name w:val="标题 字符"/>
    <w:basedOn w:val="12"/>
    <w:link w:val="8"/>
    <w:uiPriority w:val="10"/>
    <w:rPr>
      <w:rFonts w:asciiTheme="majorHAnsi" w:hAnsiTheme="majorHAnsi" w:eastAsiaTheme="majorEastAsia" w:cstheme="majorBidi"/>
      <w:b/>
      <w:bCs/>
      <w:sz w:val="32"/>
      <w:szCs w:val="32"/>
      <w:lang w:val="de-DE" w:eastAsia="ja-JP"/>
    </w:rPr>
  </w:style>
  <w:style w:type="character" w:customStyle="1" w:styleId="59">
    <w:name w:val="anchor-text"/>
    <w:basedOn w:val="12"/>
    <w:uiPriority w:val="0"/>
  </w:style>
  <w:style w:type="paragraph" w:customStyle="1" w:styleId="60">
    <w:name w:val="SM caption"/>
    <w:basedOn w:val="1"/>
    <w:qFormat/>
    <w:uiPriority w:val="99"/>
    <w:rPr>
      <w:rFonts w:eastAsiaTheme="minorEastAsia"/>
      <w:szCs w:val="20"/>
      <w:lang w:val="en-US" w:eastAsia="en-US"/>
    </w:rPr>
  </w:style>
  <w:style w:type="character" w:customStyle="1" w:styleId="61">
    <w:name w:val="identifier"/>
    <w:basedOn w:val="12"/>
    <w:uiPriority w:val="0"/>
  </w:style>
  <w:style w:type="character" w:customStyle="1" w:styleId="62">
    <w:name w:val="authors-list-item"/>
    <w:basedOn w:val="12"/>
    <w:uiPriority w:val="0"/>
  </w:style>
  <w:style w:type="character" w:customStyle="1" w:styleId="63">
    <w:name w:val="author-sup-separator"/>
    <w:basedOn w:val="12"/>
    <w:uiPriority w:val="0"/>
  </w:style>
  <w:style w:type="character" w:customStyle="1" w:styleId="64">
    <w:name w:val="comma"/>
    <w:basedOn w:val="12"/>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svg"/><Relationship Id="rId8" Type="http://schemas.openxmlformats.org/officeDocument/2006/relationships/image" Target="media/image3.png"/><Relationship Id="rId7" Type="http://schemas.openxmlformats.org/officeDocument/2006/relationships/image" Target="media/image2.sv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5.sv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tiff"/><Relationship Id="rId27" Type="http://schemas.openxmlformats.org/officeDocument/2006/relationships/image" Target="media/image22.svg"/><Relationship Id="rId26" Type="http://schemas.openxmlformats.org/officeDocument/2006/relationships/image" Target="media/image21.png"/><Relationship Id="rId25" Type="http://schemas.openxmlformats.org/officeDocument/2006/relationships/image" Target="media/image20.svg"/><Relationship Id="rId24" Type="http://schemas.openxmlformats.org/officeDocument/2006/relationships/image" Target="media/image19.png"/><Relationship Id="rId23" Type="http://schemas.openxmlformats.org/officeDocument/2006/relationships/image" Target="media/image18.svg"/><Relationship Id="rId22" Type="http://schemas.openxmlformats.org/officeDocument/2006/relationships/image" Target="media/image17.png"/><Relationship Id="rId21" Type="http://schemas.openxmlformats.org/officeDocument/2006/relationships/image" Target="media/image16.sv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svg"/><Relationship Id="rId18" Type="http://schemas.openxmlformats.org/officeDocument/2006/relationships/image" Target="media/image13.png"/><Relationship Id="rId17" Type="http://schemas.openxmlformats.org/officeDocument/2006/relationships/image" Target="media/image12.svg"/><Relationship Id="rId16" Type="http://schemas.openxmlformats.org/officeDocument/2006/relationships/image" Target="media/image11.png"/><Relationship Id="rId15" Type="http://schemas.openxmlformats.org/officeDocument/2006/relationships/image" Target="media/image10.svg"/><Relationship Id="rId14" Type="http://schemas.openxmlformats.org/officeDocument/2006/relationships/image" Target="media/image9.png"/><Relationship Id="rId13" Type="http://schemas.openxmlformats.org/officeDocument/2006/relationships/image" Target="media/image8.svg"/><Relationship Id="rId12" Type="http://schemas.openxmlformats.org/officeDocument/2006/relationships/image" Target="media/image7.png"/><Relationship Id="rId11" Type="http://schemas.openxmlformats.org/officeDocument/2006/relationships/image" Target="media/image6.sv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2"/>
    <customShpInfo spid="_x0000_s2051"/>
    <customShpInfo spid="_x0000_s2056"/>
    <customShpInfo spid="_x0000_s2054"/>
    <customShpInfo spid="_x0000_s2055"/>
    <customShpInfo spid="_x0000_s2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8575</Words>
  <Characters>9176</Characters>
  <Lines>436</Lines>
  <Paragraphs>322</Paragraphs>
  <TotalTime>0</TotalTime>
  <ScaleCrop>false</ScaleCrop>
  <LinksUpToDate>false</LinksUpToDate>
  <CharactersWithSpaces>17429</CharactersWithSpaces>
  <Application>WPS Office_6.5.1.8687_F1E327BC-269C-435d-A152-05C5408002CA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2026-08-03T23:39:00Z</dcterms:created>
  <dc:creator>Göbel, Uta</dc:creator>
  <cp:lastModifiedBy>郑莉媛</cp:lastModifiedBy>
  <dcterms:modified xsi:type="dcterms:W3CDTF">2026-08-03T17:35:29Z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KSOProductBuildVer">
    <vt:lpwstr>2052-6.5.1.8687</vt:lpwstr>
  </property>
  <property fmtid="{D5CDD505-2E9C-101B-9397-08002B2CF9AE}" pid="4" name="ICV">
    <vt:lpwstr>5F26299A94B51F49DF46706A4E3C4C2B_42</vt:lpwstr>
  </property>
</Properties>
</file>