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ECC571" w14:textId="77777777" w:rsidR="00B94E35" w:rsidRPr="00886BA6" w:rsidRDefault="00000000">
      <w:pPr>
        <w:pStyle w:val="1"/>
        <w:rPr>
          <w:sz w:val="24"/>
          <w:szCs w:val="24"/>
        </w:rPr>
      </w:pPr>
      <w:r w:rsidRPr="00886BA6">
        <w:rPr>
          <w:sz w:val="24"/>
          <w:szCs w:val="24"/>
        </w:rPr>
        <w:t>Supplementary Methods</w:t>
      </w:r>
    </w:p>
    <w:p w14:paraId="3B5F81AD" w14:textId="77777777" w:rsidR="00B94E35" w:rsidRPr="00886BA6" w:rsidRDefault="00000000">
      <w:pPr>
        <w:pStyle w:val="21"/>
        <w:rPr>
          <w:sz w:val="24"/>
          <w:szCs w:val="24"/>
        </w:rPr>
      </w:pPr>
      <w:r w:rsidRPr="00886BA6">
        <w:rPr>
          <w:sz w:val="24"/>
          <w:szCs w:val="24"/>
        </w:rPr>
        <w:t>C-CAT source files and linkage overview</w:t>
      </w:r>
    </w:p>
    <w:p w14:paraId="59FEACD4" w14:textId="77777777" w:rsidR="00B94E35" w:rsidRPr="00886BA6" w:rsidRDefault="00000000">
      <w:pPr>
        <w:spacing w:after="80" w:line="259" w:lineRule="auto"/>
        <w:rPr>
          <w:sz w:val="24"/>
          <w:szCs w:val="24"/>
        </w:rPr>
      </w:pPr>
      <w:r w:rsidRPr="00886BA6">
        <w:rPr>
          <w:sz w:val="24"/>
          <w:szCs w:val="24"/>
        </w:rPr>
        <w:t>The analysis used 14 C-CAT report workbooks and linked case-layer workbooks covering the prespecified tumor/organ groups. The source report-case cohort contained 97,343 records. Report-to-case linkage was successful for all 16,920 selected FoundationOne Liquid CDx (F1L) or Guardant360 CDx (G360) records.</w:t>
      </w:r>
    </w:p>
    <w:p w14:paraId="1A3918D6" w14:textId="77777777" w:rsidR="00B94E35" w:rsidRPr="00886BA6" w:rsidRDefault="00000000">
      <w:pPr>
        <w:pStyle w:val="21"/>
        <w:rPr>
          <w:sz w:val="24"/>
          <w:szCs w:val="24"/>
        </w:rPr>
      </w:pPr>
      <w:r w:rsidRPr="00886BA6">
        <w:rPr>
          <w:sz w:val="24"/>
          <w:szCs w:val="24"/>
        </w:rPr>
        <w:t>Cohort construction</w:t>
      </w:r>
    </w:p>
    <w:p w14:paraId="1B7A78BA" w14:textId="77777777" w:rsidR="00B94E35" w:rsidRPr="00886BA6" w:rsidRDefault="00000000">
      <w:pPr>
        <w:spacing w:after="80" w:line="259" w:lineRule="auto"/>
        <w:rPr>
          <w:sz w:val="24"/>
          <w:szCs w:val="24"/>
        </w:rPr>
      </w:pPr>
      <w:r w:rsidRPr="00886BA6">
        <w:rPr>
          <w:sz w:val="24"/>
          <w:szCs w:val="24"/>
        </w:rPr>
        <w:t>Patients tested with F1L or G360 through 31 March 2025 were selected from the nationwide cohort. The historical liquid-CGP cohort comprised 14,878 F1L and 2,042 G360 records from 267 facilities. Three F1L whole-assay failures were retained in the denominator to reproduce the historical operational comparison. No record was excluded because of missing age, sex, tumor/organ group, registration date, or facility.</w:t>
      </w:r>
    </w:p>
    <w:p w14:paraId="447626C6" w14:textId="77777777" w:rsidR="00B94E35" w:rsidRPr="00886BA6" w:rsidRDefault="00000000">
      <w:pPr>
        <w:pStyle w:val="21"/>
        <w:rPr>
          <w:sz w:val="24"/>
          <w:szCs w:val="24"/>
        </w:rPr>
      </w:pPr>
      <w:r w:rsidRPr="00886BA6">
        <w:rPr>
          <w:sz w:val="24"/>
          <w:szCs w:val="24"/>
        </w:rPr>
        <w:t>Operational outcome definition</w:t>
      </w:r>
    </w:p>
    <w:p w14:paraId="03BA6468" w14:textId="77777777" w:rsidR="00B94E35" w:rsidRPr="00886BA6" w:rsidRDefault="00000000">
      <w:pPr>
        <w:spacing w:after="80" w:line="259" w:lineRule="auto"/>
        <w:rPr>
          <w:sz w:val="24"/>
          <w:szCs w:val="24"/>
        </w:rPr>
      </w:pPr>
      <w:r w:rsidRPr="00886BA6">
        <w:rPr>
          <w:sz w:val="24"/>
          <w:szCs w:val="24"/>
        </w:rPr>
        <w:t>The primary outcome was the patient-level union of seven prespecified candidates: MSI high or equivocal; TMB-H; NTRK1, NTRK2, or NTRK3 fusion/rearrangement; RET fusion/rearrangement; ERBB2 amplification; ALK fusion/rearrangement; and exact BRAF V600E. Any qualifying candidate generated one event regardless of overlap.</w:t>
      </w:r>
    </w:p>
    <w:p w14:paraId="20AAA188" w14:textId="77777777" w:rsidR="00B94E35" w:rsidRPr="00886BA6" w:rsidRDefault="00000000">
      <w:pPr>
        <w:pStyle w:val="21"/>
        <w:rPr>
          <w:sz w:val="24"/>
          <w:szCs w:val="24"/>
        </w:rPr>
      </w:pPr>
      <w:r w:rsidRPr="00886BA6">
        <w:rPr>
          <w:sz w:val="24"/>
          <w:szCs w:val="24"/>
        </w:rPr>
        <w:t>Seven-candidate mapping rules</w:t>
      </w:r>
    </w:p>
    <w:p w14:paraId="4D039747" w14:textId="77777777" w:rsidR="00B94E35" w:rsidRPr="00886BA6" w:rsidRDefault="00000000">
      <w:pPr>
        <w:spacing w:after="80" w:line="259" w:lineRule="auto"/>
        <w:rPr>
          <w:sz w:val="24"/>
          <w:szCs w:val="24"/>
        </w:rPr>
      </w:pPr>
      <w:r w:rsidRPr="00886BA6">
        <w:rPr>
          <w:sz w:val="24"/>
          <w:szCs w:val="24"/>
        </w:rPr>
        <w:t>MSI equivocal was retained to reproduce the historical definition and was not interpreted as confirmed MSI-high. Fusion/rearrangement candidates required the specified gene marker together with a change term of fusion, rearrangement, or rearrangements. ERBB2 required an exact ERBB2 marker and amplification change. Exact BRAF V600E was identified after validated text normalization; other BRAF changes did not qualify.</w:t>
      </w:r>
    </w:p>
    <w:p w14:paraId="1DCF5377" w14:textId="77777777" w:rsidR="00B94E35" w:rsidRPr="00886BA6" w:rsidRDefault="00000000">
      <w:pPr>
        <w:pStyle w:val="21"/>
        <w:rPr>
          <w:sz w:val="24"/>
          <w:szCs w:val="24"/>
        </w:rPr>
      </w:pPr>
      <w:r w:rsidRPr="00886BA6">
        <w:rPr>
          <w:sz w:val="24"/>
          <w:szCs w:val="24"/>
        </w:rPr>
        <w:t>F1L TMB-H classification and G360 data-layer state</w:t>
      </w:r>
    </w:p>
    <w:p w14:paraId="35C1B973" w14:textId="77777777" w:rsidR="00B94E35" w:rsidRPr="00886BA6" w:rsidRDefault="00000000">
      <w:pPr>
        <w:spacing w:after="80" w:line="259" w:lineRule="auto"/>
        <w:rPr>
          <w:sz w:val="24"/>
          <w:szCs w:val="24"/>
        </w:rPr>
      </w:pPr>
      <w:r w:rsidRPr="00886BA6">
        <w:rPr>
          <w:sz w:val="24"/>
          <w:szCs w:val="24"/>
        </w:rPr>
        <w:t>For F1L, a nonblank categorical TMB status took precedence; high qualified. When status was blank, a numeric TMB value of at least 10 mutations/Mb qualified. During the study period, TMB was not among the biomarkers reported by the Japanese G360 configuration and numeric and categorical TMB fields were blank in all 2,042 accessible C-CAT records. G360 TMB was therefore treated as data-layer unavailable, not negative, TMB-low, or 0% TMB-H positivity; underlying G360 TMB-H status is unknown.</w:t>
      </w:r>
    </w:p>
    <w:p w14:paraId="63F4339D" w14:textId="77777777" w:rsidR="00B94E35" w:rsidRPr="00886BA6" w:rsidRDefault="00000000">
      <w:pPr>
        <w:pStyle w:val="21"/>
        <w:rPr>
          <w:sz w:val="24"/>
          <w:szCs w:val="24"/>
        </w:rPr>
      </w:pPr>
      <w:r w:rsidRPr="00886BA6">
        <w:rPr>
          <w:sz w:val="24"/>
          <w:szCs w:val="24"/>
        </w:rPr>
        <w:t>Model 1 specification</w:t>
      </w:r>
    </w:p>
    <w:p w14:paraId="2A6CE8C6" w14:textId="77777777" w:rsidR="00B94E35" w:rsidRPr="00886BA6" w:rsidRDefault="00000000">
      <w:pPr>
        <w:spacing w:after="80" w:line="259" w:lineRule="auto"/>
        <w:rPr>
          <w:sz w:val="24"/>
          <w:szCs w:val="24"/>
        </w:rPr>
      </w:pPr>
      <w:r w:rsidRPr="00886BA6">
        <w:rPr>
          <w:sz w:val="24"/>
          <w:szCs w:val="24"/>
        </w:rPr>
        <w:t>Model 1 was a logistic regression including platform, continuous linear age at the index report, sex, and the prespecified 12-category tumor/organ group. All 16,920 records were complete for these variables.</w:t>
      </w:r>
    </w:p>
    <w:p w14:paraId="2F2ACC7F" w14:textId="77777777" w:rsidR="00B94E35" w:rsidRPr="00886BA6" w:rsidRDefault="00000000">
      <w:pPr>
        <w:pStyle w:val="21"/>
        <w:rPr>
          <w:sz w:val="24"/>
          <w:szCs w:val="24"/>
        </w:rPr>
      </w:pPr>
      <w:r w:rsidRPr="00886BA6">
        <w:rPr>
          <w:sz w:val="24"/>
          <w:szCs w:val="24"/>
        </w:rPr>
        <w:lastRenderedPageBreak/>
        <w:t>Model 2 calendar-time specification</w:t>
      </w:r>
    </w:p>
    <w:p w14:paraId="17F3F271" w14:textId="77777777" w:rsidR="00B94E35" w:rsidRPr="00886BA6" w:rsidRDefault="00000000">
      <w:pPr>
        <w:spacing w:after="80" w:line="259" w:lineRule="auto"/>
        <w:rPr>
          <w:sz w:val="24"/>
          <w:szCs w:val="24"/>
        </w:rPr>
      </w:pPr>
      <w:r w:rsidRPr="00886BA6">
        <w:rPr>
          <w:sz w:val="24"/>
          <w:szCs w:val="24"/>
        </w:rPr>
        <w:t>Model 2 added calendar time from the case-layer registration date using a prespecified natural cubic spline with 4 degrees of freedom. Calendar time was expressed as days from 15 March 2021; boundary values were −523 and 1,477 days and internal empirical knots were 500, 889, and 1,187 days. The basis was fixed before outcome-model estimation.</w:t>
      </w:r>
      <w:r>
        <w:t xml:space="preserve"> The Model 2 fit converged in eight iterations, and the design matrix had full rank (19/19).</w:t>
      </w:r>
    </w:p>
    <w:p w14:paraId="04A8856A" w14:textId="77777777" w:rsidR="00B94E35" w:rsidRPr="00886BA6" w:rsidRDefault="00000000">
      <w:pPr>
        <w:pStyle w:val="21"/>
        <w:rPr>
          <w:sz w:val="24"/>
          <w:szCs w:val="24"/>
        </w:rPr>
      </w:pPr>
      <w:r w:rsidRPr="00886BA6">
        <w:rPr>
          <w:sz w:val="24"/>
          <w:szCs w:val="24"/>
        </w:rPr>
        <w:t>Marginal standardization and inference</w:t>
      </w:r>
    </w:p>
    <w:p w14:paraId="5012D500" w14:textId="77777777" w:rsidR="00B94E35" w:rsidRPr="00886BA6" w:rsidRDefault="00000000">
      <w:pPr>
        <w:spacing w:after="80" w:line="259" w:lineRule="auto"/>
        <w:rPr>
          <w:sz w:val="24"/>
          <w:szCs w:val="24"/>
        </w:rPr>
      </w:pPr>
      <w:r w:rsidRPr="00886BA6">
        <w:rPr>
          <w:sz w:val="24"/>
          <w:szCs w:val="24"/>
        </w:rPr>
        <w:t>For Models 1 and 2, platform-specific probabilities were obtained by marginal standardization over the relevant target population. The principal contrast was the RD calculated as G360 minus F1L and reported in percentage points. RRs were supportive relative measures. Facility-cluster-robust sandwich covariance addressed within-facility correlation but did not adjust for facility-level differences.</w:t>
      </w:r>
    </w:p>
    <w:p w14:paraId="7D824241" w14:textId="77777777" w:rsidR="00B94E35" w:rsidRPr="00886BA6" w:rsidRDefault="00000000">
      <w:pPr>
        <w:pStyle w:val="21"/>
        <w:rPr>
          <w:sz w:val="24"/>
          <w:szCs w:val="24"/>
        </w:rPr>
      </w:pPr>
      <w:r w:rsidRPr="00886BA6">
        <w:rPr>
          <w:sz w:val="24"/>
          <w:szCs w:val="24"/>
        </w:rPr>
        <w:t>Both-platform facility restriction</w:t>
      </w:r>
    </w:p>
    <w:p w14:paraId="0934AEFA" w14:textId="77777777" w:rsidR="00B94E35" w:rsidRPr="00886BA6" w:rsidRDefault="00000000">
      <w:pPr>
        <w:spacing w:after="80" w:line="259" w:lineRule="auto"/>
        <w:rPr>
          <w:sz w:val="24"/>
          <w:szCs w:val="24"/>
        </w:rPr>
      </w:pPr>
      <w:r w:rsidRPr="00886BA6">
        <w:rPr>
          <w:sz w:val="24"/>
          <w:szCs w:val="24"/>
        </w:rPr>
        <w:t>The sensitivity analysis was restricted to the 171 facilities contributing at least one record from each platform. The seven-candidate outcome and the full-cohort Model 2 specification, including the fixed calendar basis, were unchanged. Standardization was over the restricted cohort. This changed the target population and was not a facility-adjusted or within-facility comparison; residual facility-level confounding could not be excluded.</w:t>
      </w:r>
    </w:p>
    <w:p w14:paraId="45296DEF" w14:textId="77777777" w:rsidR="00B94E35" w:rsidRPr="00886BA6" w:rsidRDefault="00000000">
      <w:pPr>
        <w:pStyle w:val="21"/>
        <w:rPr>
          <w:sz w:val="24"/>
          <w:szCs w:val="24"/>
        </w:rPr>
      </w:pPr>
      <w:r w:rsidRPr="00886BA6">
        <w:rPr>
          <w:sz w:val="24"/>
          <w:szCs w:val="24"/>
        </w:rPr>
        <w:t>TMB-H-only and overlap decomposition</w:t>
      </w:r>
    </w:p>
    <w:p w14:paraId="616B3DBE" w14:textId="77777777" w:rsidR="00B94E35" w:rsidRPr="00886BA6" w:rsidRDefault="00000000">
      <w:pPr>
        <w:spacing w:after="80" w:line="259" w:lineRule="auto"/>
        <w:rPr>
          <w:sz w:val="24"/>
          <w:szCs w:val="24"/>
        </w:rPr>
      </w:pPr>
      <w:r w:rsidRPr="00886BA6">
        <w:rPr>
          <w:sz w:val="24"/>
          <w:szCs w:val="24"/>
        </w:rPr>
        <w:t>Among F1L primary-positive cases, TMB-H-positive records were classified as TMB-H-only if all other six candidates were negative and as overlapping if at least one other candidate was positive. Exclusive decomposition beyond these categories was not performed.</w:t>
      </w:r>
    </w:p>
    <w:p w14:paraId="6A2C8CA5" w14:textId="77777777" w:rsidR="00B94E35" w:rsidRPr="00886BA6" w:rsidRDefault="00000000">
      <w:pPr>
        <w:pStyle w:val="21"/>
        <w:rPr>
          <w:sz w:val="24"/>
          <w:szCs w:val="24"/>
        </w:rPr>
      </w:pPr>
      <w:r w:rsidRPr="00886BA6">
        <w:rPr>
          <w:sz w:val="24"/>
          <w:szCs w:val="24"/>
        </w:rPr>
        <w:t>Six-candidate supportive analysis</w:t>
      </w:r>
    </w:p>
    <w:p w14:paraId="2357CBC8" w14:textId="5DE26578" w:rsidR="00B94E35" w:rsidRPr="00886BA6" w:rsidRDefault="00000000" w:rsidP="00886BA6">
      <w:pPr>
        <w:spacing w:after="80" w:line="259" w:lineRule="auto"/>
        <w:rPr>
          <w:sz w:val="24"/>
          <w:szCs w:val="24"/>
          <w:lang w:eastAsia="ja-JP"/>
        </w:rPr>
        <w:sectPr w:rsidR="00B94E35" w:rsidRPr="00886BA6">
          <w:headerReference w:type="default" r:id="rId8"/>
          <w:footerReference w:type="default" r:id="rId9"/>
          <w:pgSz w:w="11906" w:h="16838"/>
          <w:pgMar w:top="1984" w:right="1701" w:bottom="1701" w:left="1701" w:header="360" w:footer="360" w:gutter="0"/>
          <w:cols w:space="720"/>
          <w:docGrid w:linePitch="360"/>
        </w:sectPr>
      </w:pPr>
      <w:r w:rsidRPr="00886BA6">
        <w:rPr>
          <w:sz w:val="24"/>
          <w:szCs w:val="24"/>
        </w:rPr>
        <w:t>The supportive outcome removed only TMB-H from the seven-candidate union, retained the 16,920-patient denominator, and used Model 1 with marginal standardization and facility-cluster-robust inference. The change in absolute RD was descriptive and was not treated as a causal explanation, mediation proportion, or corrected primary outcome.</w:t>
      </w:r>
    </w:p>
    <w:p w14:paraId="592C69E4" w14:textId="15F53103" w:rsidR="00886BA6" w:rsidRDefault="00886BA6">
      <w:pPr>
        <w:keepNext/>
        <w:spacing w:before="120"/>
        <w:rPr>
          <w:b/>
          <w:color w:val="000000"/>
          <w:sz w:val="24"/>
          <w:szCs w:val="24"/>
          <w:lang w:eastAsia="ja-JP"/>
        </w:rPr>
      </w:pPr>
      <w:r w:rsidRPr="00886BA6">
        <w:rPr>
          <w:b/>
          <w:color w:val="000000"/>
          <w:sz w:val="24"/>
          <w:szCs w:val="24"/>
        </w:rPr>
        <w:lastRenderedPageBreak/>
        <w:t>Supplementary Table</w:t>
      </w:r>
      <w:r>
        <w:rPr>
          <w:b/>
          <w:color w:val="000000"/>
          <w:sz w:val="24"/>
          <w:szCs w:val="24"/>
        </w:rPr>
        <w:t>s</w:t>
      </w:r>
      <w:r w:rsidRPr="00886BA6">
        <w:rPr>
          <w:b/>
          <w:color w:val="000000"/>
          <w:sz w:val="24"/>
          <w:szCs w:val="24"/>
        </w:rPr>
        <w:t xml:space="preserve"> </w:t>
      </w:r>
    </w:p>
    <w:p w14:paraId="7A3177B7" w14:textId="2E4CF3A9" w:rsidR="00B94E35" w:rsidRPr="00886BA6" w:rsidRDefault="00000000">
      <w:pPr>
        <w:keepNext/>
        <w:spacing w:before="120"/>
        <w:rPr>
          <w:sz w:val="24"/>
          <w:szCs w:val="24"/>
        </w:rPr>
      </w:pPr>
      <w:r w:rsidRPr="00886BA6">
        <w:rPr>
          <w:b/>
          <w:color w:val="000000"/>
          <w:sz w:val="24"/>
          <w:szCs w:val="24"/>
        </w:rPr>
        <w:t xml:space="preserve">Supplementary Table S1. </w:t>
      </w:r>
      <w:r w:rsidRPr="00886BA6">
        <w:rPr>
          <w:color w:val="000000"/>
          <w:sz w:val="24"/>
          <w:szCs w:val="24"/>
        </w:rPr>
        <w:t>Seven-candidate operational outcome definitions and source-variable mapping</w:t>
      </w:r>
    </w:p>
    <w:tbl>
      <w:tblPr>
        <w:tblW w:w="15830" w:type="dxa"/>
        <w:jc w:val="center"/>
        <w:tblLayout w:type="fixed"/>
        <w:tblLook w:val="04A0" w:firstRow="1" w:lastRow="0" w:firstColumn="1" w:lastColumn="0" w:noHBand="0" w:noVBand="1"/>
      </w:tblPr>
      <w:tblGrid>
        <w:gridCol w:w="1701"/>
        <w:gridCol w:w="1985"/>
        <w:gridCol w:w="2551"/>
        <w:gridCol w:w="2127"/>
        <w:gridCol w:w="1328"/>
        <w:gridCol w:w="1011"/>
        <w:gridCol w:w="1334"/>
        <w:gridCol w:w="1855"/>
        <w:gridCol w:w="1938"/>
      </w:tblGrid>
      <w:tr w:rsidR="00B94E35" w14:paraId="077BEAD1" w14:textId="77777777" w:rsidTr="00886BA6">
        <w:trPr>
          <w:cantSplit/>
          <w:tblHeader/>
          <w:jc w:val="center"/>
        </w:trPr>
        <w:tc>
          <w:tcPr>
            <w:tcW w:w="1701"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56CAB34C" w14:textId="77777777" w:rsidR="00B94E35" w:rsidRPr="00886BA6" w:rsidRDefault="00000000">
            <w:pPr>
              <w:spacing w:after="0" w:line="240" w:lineRule="auto"/>
              <w:rPr>
                <w:sz w:val="16"/>
                <w:szCs w:val="16"/>
              </w:rPr>
            </w:pPr>
            <w:r w:rsidRPr="00886BA6">
              <w:rPr>
                <w:b/>
                <w:color w:val="000000"/>
                <w:sz w:val="16"/>
                <w:szCs w:val="16"/>
              </w:rPr>
              <w:t>Candidate</w:t>
            </w:r>
          </w:p>
        </w:tc>
        <w:tc>
          <w:tcPr>
            <w:tcW w:w="1985"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394D4234" w14:textId="77777777" w:rsidR="00B94E35" w:rsidRPr="00886BA6" w:rsidRDefault="00000000">
            <w:pPr>
              <w:spacing w:after="0" w:line="240" w:lineRule="auto"/>
              <w:jc w:val="center"/>
              <w:rPr>
                <w:sz w:val="16"/>
                <w:szCs w:val="16"/>
              </w:rPr>
            </w:pPr>
            <w:r w:rsidRPr="00886BA6">
              <w:rPr>
                <w:b/>
                <w:color w:val="000000"/>
                <w:sz w:val="16"/>
                <w:szCs w:val="16"/>
              </w:rPr>
              <w:t>Clinical role</w:t>
            </w:r>
          </w:p>
        </w:tc>
        <w:tc>
          <w:tcPr>
            <w:tcW w:w="2551"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63F18554" w14:textId="77777777" w:rsidR="00B94E35" w:rsidRPr="00886BA6" w:rsidRDefault="00000000">
            <w:pPr>
              <w:spacing w:after="0" w:line="240" w:lineRule="auto"/>
              <w:jc w:val="center"/>
              <w:rPr>
                <w:sz w:val="16"/>
                <w:szCs w:val="16"/>
              </w:rPr>
            </w:pPr>
            <w:r w:rsidRPr="00886BA6">
              <w:rPr>
                <w:b/>
                <w:color w:val="000000"/>
                <w:sz w:val="16"/>
                <w:szCs w:val="16"/>
              </w:rPr>
              <w:t>Qualifying state</w:t>
            </w:r>
          </w:p>
        </w:tc>
        <w:tc>
          <w:tcPr>
            <w:tcW w:w="2127"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4394C972" w14:textId="77777777" w:rsidR="00B94E35" w:rsidRPr="00886BA6" w:rsidRDefault="00000000">
            <w:pPr>
              <w:spacing w:after="0" w:line="240" w:lineRule="auto"/>
              <w:jc w:val="center"/>
              <w:rPr>
                <w:sz w:val="16"/>
                <w:szCs w:val="16"/>
              </w:rPr>
            </w:pPr>
            <w:r w:rsidRPr="00886BA6">
              <w:rPr>
                <w:b/>
                <w:color w:val="000000"/>
                <w:sz w:val="16"/>
                <w:szCs w:val="16"/>
              </w:rPr>
              <w:t>Nonqualifying state</w:t>
            </w:r>
          </w:p>
        </w:tc>
        <w:tc>
          <w:tcPr>
            <w:tcW w:w="1328"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3E0103C4" w14:textId="77777777" w:rsidR="00B94E35" w:rsidRPr="00886BA6" w:rsidRDefault="00000000">
            <w:pPr>
              <w:spacing w:after="0" w:line="240" w:lineRule="auto"/>
              <w:jc w:val="center"/>
              <w:rPr>
                <w:sz w:val="16"/>
                <w:szCs w:val="16"/>
              </w:rPr>
            </w:pPr>
            <w:r w:rsidRPr="00886BA6">
              <w:rPr>
                <w:b/>
                <w:color w:val="000000"/>
                <w:sz w:val="16"/>
                <w:szCs w:val="16"/>
              </w:rPr>
              <w:t>Source field(s)</w:t>
            </w:r>
          </w:p>
        </w:tc>
        <w:tc>
          <w:tcPr>
            <w:tcW w:w="1011"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47FA3884" w14:textId="77777777" w:rsidR="00B94E35" w:rsidRPr="00886BA6" w:rsidRDefault="00000000">
            <w:pPr>
              <w:spacing w:after="0" w:line="240" w:lineRule="auto"/>
              <w:jc w:val="center"/>
              <w:rPr>
                <w:sz w:val="16"/>
                <w:szCs w:val="16"/>
              </w:rPr>
            </w:pPr>
            <w:r w:rsidRPr="00886BA6">
              <w:rPr>
                <w:b/>
                <w:color w:val="000000"/>
                <w:sz w:val="16"/>
                <w:szCs w:val="16"/>
              </w:rPr>
              <w:t>F1L</w:t>
            </w:r>
          </w:p>
        </w:tc>
        <w:tc>
          <w:tcPr>
            <w:tcW w:w="1334"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6556F046" w14:textId="77777777" w:rsidR="00B94E35" w:rsidRPr="00886BA6" w:rsidRDefault="00000000">
            <w:pPr>
              <w:spacing w:after="0" w:line="240" w:lineRule="auto"/>
              <w:jc w:val="center"/>
              <w:rPr>
                <w:sz w:val="16"/>
                <w:szCs w:val="16"/>
              </w:rPr>
            </w:pPr>
            <w:r w:rsidRPr="00886BA6">
              <w:rPr>
                <w:b/>
                <w:color w:val="000000"/>
                <w:sz w:val="16"/>
                <w:szCs w:val="16"/>
              </w:rPr>
              <w:t>G360</w:t>
            </w:r>
          </w:p>
        </w:tc>
        <w:tc>
          <w:tcPr>
            <w:tcW w:w="1855"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534CA2D7" w14:textId="77777777" w:rsidR="00B94E35" w:rsidRPr="00886BA6" w:rsidRDefault="00000000">
            <w:pPr>
              <w:spacing w:after="0" w:line="240" w:lineRule="auto"/>
              <w:jc w:val="center"/>
              <w:rPr>
                <w:sz w:val="16"/>
                <w:szCs w:val="16"/>
              </w:rPr>
            </w:pPr>
            <w:r w:rsidRPr="00886BA6">
              <w:rPr>
                <w:b/>
                <w:color w:val="000000"/>
                <w:sz w:val="16"/>
                <w:szCs w:val="16"/>
              </w:rPr>
              <w:t>Mapping rule</w:t>
            </w:r>
          </w:p>
        </w:tc>
        <w:tc>
          <w:tcPr>
            <w:tcW w:w="1938"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3E100426" w14:textId="77777777" w:rsidR="00B94E35" w:rsidRPr="00886BA6" w:rsidRDefault="00000000">
            <w:pPr>
              <w:spacing w:after="0" w:line="240" w:lineRule="auto"/>
              <w:jc w:val="center"/>
              <w:rPr>
                <w:sz w:val="16"/>
                <w:szCs w:val="16"/>
              </w:rPr>
            </w:pPr>
            <w:r w:rsidRPr="00886BA6">
              <w:rPr>
                <w:b/>
                <w:color w:val="000000"/>
                <w:sz w:val="16"/>
                <w:szCs w:val="16"/>
              </w:rPr>
              <w:t>Notes</w:t>
            </w:r>
          </w:p>
        </w:tc>
      </w:tr>
      <w:tr w:rsidR="00B94E35" w14:paraId="4D60FCAD" w14:textId="77777777" w:rsidTr="00886BA6">
        <w:trPr>
          <w:cantSplit/>
          <w:jc w:val="center"/>
        </w:trPr>
        <w:tc>
          <w:tcPr>
            <w:tcW w:w="1701" w:type="dxa"/>
            <w:tcBorders>
              <w:top w:val="nil"/>
              <w:left w:val="nil"/>
              <w:bottom w:val="nil"/>
              <w:right w:val="nil"/>
            </w:tcBorders>
            <w:shd w:val="clear" w:color="auto" w:fill="FFFFFF"/>
            <w:tcMar>
              <w:top w:w="70" w:type="dxa"/>
              <w:left w:w="90" w:type="dxa"/>
              <w:bottom w:w="70" w:type="dxa"/>
              <w:right w:w="90" w:type="dxa"/>
            </w:tcMar>
            <w:vAlign w:val="center"/>
          </w:tcPr>
          <w:p w14:paraId="37EC1291" w14:textId="77777777" w:rsidR="00B94E35" w:rsidRPr="00886BA6" w:rsidRDefault="00000000">
            <w:pPr>
              <w:spacing w:after="0" w:line="240" w:lineRule="auto"/>
              <w:rPr>
                <w:sz w:val="16"/>
                <w:szCs w:val="16"/>
              </w:rPr>
            </w:pPr>
            <w:r w:rsidRPr="00886BA6">
              <w:rPr>
                <w:color w:val="000000"/>
                <w:sz w:val="16"/>
                <w:szCs w:val="16"/>
              </w:rPr>
              <w:t>MSI high or equivocal</w:t>
            </w:r>
          </w:p>
        </w:tc>
        <w:tc>
          <w:tcPr>
            <w:tcW w:w="1985" w:type="dxa"/>
            <w:tcBorders>
              <w:top w:val="nil"/>
              <w:left w:val="nil"/>
              <w:bottom w:val="nil"/>
              <w:right w:val="nil"/>
            </w:tcBorders>
            <w:shd w:val="clear" w:color="auto" w:fill="FFFFFF"/>
            <w:tcMar>
              <w:top w:w="70" w:type="dxa"/>
              <w:left w:w="90" w:type="dxa"/>
              <w:bottom w:w="70" w:type="dxa"/>
              <w:right w:w="90" w:type="dxa"/>
            </w:tcMar>
            <w:vAlign w:val="center"/>
          </w:tcPr>
          <w:p w14:paraId="769118D1" w14:textId="77777777" w:rsidR="00B94E35" w:rsidRPr="00886BA6" w:rsidRDefault="00000000">
            <w:pPr>
              <w:spacing w:after="0" w:line="240" w:lineRule="auto"/>
              <w:jc w:val="center"/>
              <w:rPr>
                <w:sz w:val="16"/>
                <w:szCs w:val="16"/>
              </w:rPr>
            </w:pPr>
            <w:r w:rsidRPr="00886BA6">
              <w:rPr>
                <w:color w:val="000000"/>
                <w:sz w:val="16"/>
                <w:szCs w:val="16"/>
              </w:rPr>
              <w:t>Treatment-linked operational candidate</w:t>
            </w:r>
          </w:p>
        </w:tc>
        <w:tc>
          <w:tcPr>
            <w:tcW w:w="2551" w:type="dxa"/>
            <w:tcBorders>
              <w:top w:val="nil"/>
              <w:left w:val="nil"/>
              <w:bottom w:val="nil"/>
              <w:right w:val="nil"/>
            </w:tcBorders>
            <w:shd w:val="clear" w:color="auto" w:fill="FFFFFF"/>
            <w:tcMar>
              <w:top w:w="70" w:type="dxa"/>
              <w:left w:w="90" w:type="dxa"/>
              <w:bottom w:w="70" w:type="dxa"/>
              <w:right w:w="90" w:type="dxa"/>
            </w:tcMar>
            <w:vAlign w:val="center"/>
          </w:tcPr>
          <w:p w14:paraId="37720974" w14:textId="77777777" w:rsidR="00B94E35" w:rsidRPr="00886BA6" w:rsidRDefault="00000000">
            <w:pPr>
              <w:spacing w:after="0" w:line="240" w:lineRule="auto"/>
              <w:jc w:val="center"/>
              <w:rPr>
                <w:sz w:val="16"/>
                <w:szCs w:val="16"/>
              </w:rPr>
            </w:pPr>
            <w:r w:rsidRPr="00886BA6">
              <w:rPr>
                <w:color w:val="000000"/>
                <w:sz w:val="16"/>
                <w:szCs w:val="16"/>
              </w:rPr>
              <w:t>MSI-Status high or equivocal</w:t>
            </w:r>
          </w:p>
        </w:tc>
        <w:tc>
          <w:tcPr>
            <w:tcW w:w="2127" w:type="dxa"/>
            <w:tcBorders>
              <w:top w:val="nil"/>
              <w:left w:val="nil"/>
              <w:bottom w:val="nil"/>
              <w:right w:val="nil"/>
            </w:tcBorders>
            <w:shd w:val="clear" w:color="auto" w:fill="FFFFFF"/>
            <w:tcMar>
              <w:top w:w="70" w:type="dxa"/>
              <w:left w:w="90" w:type="dxa"/>
              <w:bottom w:w="70" w:type="dxa"/>
              <w:right w:w="90" w:type="dxa"/>
            </w:tcMar>
            <w:vAlign w:val="center"/>
          </w:tcPr>
          <w:p w14:paraId="2CE186D3" w14:textId="77777777" w:rsidR="00B94E35" w:rsidRPr="00886BA6" w:rsidRDefault="00000000">
            <w:pPr>
              <w:spacing w:after="0" w:line="240" w:lineRule="auto"/>
              <w:jc w:val="center"/>
              <w:rPr>
                <w:sz w:val="16"/>
                <w:szCs w:val="16"/>
              </w:rPr>
            </w:pPr>
            <w:r w:rsidRPr="00886BA6">
              <w:rPr>
                <w:color w:val="000000"/>
                <w:sz w:val="16"/>
                <w:szCs w:val="16"/>
              </w:rPr>
              <w:t>Other status or blank</w:t>
            </w:r>
          </w:p>
        </w:tc>
        <w:tc>
          <w:tcPr>
            <w:tcW w:w="1328" w:type="dxa"/>
            <w:tcBorders>
              <w:top w:val="nil"/>
              <w:left w:val="nil"/>
              <w:bottom w:val="nil"/>
              <w:right w:val="nil"/>
            </w:tcBorders>
            <w:shd w:val="clear" w:color="auto" w:fill="FFFFFF"/>
            <w:tcMar>
              <w:top w:w="70" w:type="dxa"/>
              <w:left w:w="90" w:type="dxa"/>
              <w:bottom w:w="70" w:type="dxa"/>
              <w:right w:w="90" w:type="dxa"/>
            </w:tcMar>
            <w:vAlign w:val="center"/>
          </w:tcPr>
          <w:p w14:paraId="62FE24C4" w14:textId="77777777" w:rsidR="00B94E35" w:rsidRPr="00886BA6" w:rsidRDefault="00000000">
            <w:pPr>
              <w:spacing w:after="0" w:line="240" w:lineRule="auto"/>
              <w:jc w:val="center"/>
              <w:rPr>
                <w:sz w:val="16"/>
                <w:szCs w:val="16"/>
              </w:rPr>
            </w:pPr>
            <w:r w:rsidRPr="00886BA6">
              <w:rPr>
                <w:color w:val="000000"/>
                <w:sz w:val="16"/>
                <w:szCs w:val="16"/>
              </w:rPr>
              <w:t>MSI-Status</w:t>
            </w:r>
          </w:p>
        </w:tc>
        <w:tc>
          <w:tcPr>
            <w:tcW w:w="1011" w:type="dxa"/>
            <w:tcBorders>
              <w:top w:val="nil"/>
              <w:left w:val="nil"/>
              <w:bottom w:val="nil"/>
              <w:right w:val="nil"/>
            </w:tcBorders>
            <w:shd w:val="clear" w:color="auto" w:fill="FFFFFF"/>
            <w:tcMar>
              <w:top w:w="70" w:type="dxa"/>
              <w:left w:w="90" w:type="dxa"/>
              <w:bottom w:w="70" w:type="dxa"/>
              <w:right w:w="90" w:type="dxa"/>
            </w:tcMar>
            <w:vAlign w:val="center"/>
          </w:tcPr>
          <w:p w14:paraId="4AD5646B" w14:textId="77777777" w:rsidR="00B94E35" w:rsidRPr="00886BA6" w:rsidRDefault="00000000">
            <w:pPr>
              <w:spacing w:after="0" w:line="240" w:lineRule="auto"/>
              <w:jc w:val="center"/>
              <w:rPr>
                <w:sz w:val="16"/>
                <w:szCs w:val="16"/>
              </w:rPr>
            </w:pPr>
            <w:r w:rsidRPr="00886BA6">
              <w:rPr>
                <w:color w:val="000000"/>
                <w:sz w:val="16"/>
                <w:szCs w:val="16"/>
              </w:rPr>
              <w:t>Available</w:t>
            </w:r>
          </w:p>
        </w:tc>
        <w:tc>
          <w:tcPr>
            <w:tcW w:w="1334" w:type="dxa"/>
            <w:tcBorders>
              <w:top w:val="nil"/>
              <w:left w:val="nil"/>
              <w:bottom w:val="nil"/>
              <w:right w:val="nil"/>
            </w:tcBorders>
            <w:shd w:val="clear" w:color="auto" w:fill="FFFFFF"/>
            <w:tcMar>
              <w:top w:w="70" w:type="dxa"/>
              <w:left w:w="90" w:type="dxa"/>
              <w:bottom w:w="70" w:type="dxa"/>
              <w:right w:w="90" w:type="dxa"/>
            </w:tcMar>
            <w:vAlign w:val="center"/>
          </w:tcPr>
          <w:p w14:paraId="777A4851" w14:textId="77777777" w:rsidR="00B94E35" w:rsidRPr="00886BA6" w:rsidRDefault="00000000">
            <w:pPr>
              <w:spacing w:after="0" w:line="240" w:lineRule="auto"/>
              <w:jc w:val="center"/>
              <w:rPr>
                <w:sz w:val="16"/>
                <w:szCs w:val="16"/>
              </w:rPr>
            </w:pPr>
            <w:r w:rsidRPr="00886BA6">
              <w:rPr>
                <w:color w:val="000000"/>
                <w:sz w:val="16"/>
                <w:szCs w:val="16"/>
              </w:rPr>
              <w:t>Available</w:t>
            </w:r>
          </w:p>
        </w:tc>
        <w:tc>
          <w:tcPr>
            <w:tcW w:w="1855" w:type="dxa"/>
            <w:tcBorders>
              <w:top w:val="nil"/>
              <w:left w:val="nil"/>
              <w:bottom w:val="nil"/>
              <w:right w:val="nil"/>
            </w:tcBorders>
            <w:shd w:val="clear" w:color="auto" w:fill="FFFFFF"/>
            <w:tcMar>
              <w:top w:w="70" w:type="dxa"/>
              <w:left w:w="90" w:type="dxa"/>
              <w:bottom w:w="70" w:type="dxa"/>
              <w:right w:w="90" w:type="dxa"/>
            </w:tcMar>
            <w:vAlign w:val="center"/>
          </w:tcPr>
          <w:p w14:paraId="29353766" w14:textId="77777777" w:rsidR="00B94E35" w:rsidRPr="00886BA6" w:rsidRDefault="00000000">
            <w:pPr>
              <w:spacing w:after="0" w:line="240" w:lineRule="auto"/>
              <w:jc w:val="center"/>
              <w:rPr>
                <w:sz w:val="16"/>
                <w:szCs w:val="16"/>
              </w:rPr>
            </w:pPr>
            <w:r w:rsidRPr="00886BA6">
              <w:rPr>
                <w:color w:val="000000"/>
                <w:sz w:val="16"/>
                <w:szCs w:val="16"/>
              </w:rPr>
              <w:t>Case-insensitive exact status</w:t>
            </w:r>
          </w:p>
        </w:tc>
        <w:tc>
          <w:tcPr>
            <w:tcW w:w="1938" w:type="dxa"/>
            <w:tcBorders>
              <w:top w:val="nil"/>
              <w:left w:val="nil"/>
              <w:bottom w:val="nil"/>
              <w:right w:val="nil"/>
            </w:tcBorders>
            <w:shd w:val="clear" w:color="auto" w:fill="FFFFFF"/>
            <w:tcMar>
              <w:top w:w="70" w:type="dxa"/>
              <w:left w:w="90" w:type="dxa"/>
              <w:bottom w:w="70" w:type="dxa"/>
              <w:right w:w="90" w:type="dxa"/>
            </w:tcMar>
            <w:vAlign w:val="center"/>
          </w:tcPr>
          <w:p w14:paraId="799B1426" w14:textId="77777777" w:rsidR="00B94E35" w:rsidRPr="00886BA6" w:rsidRDefault="00000000">
            <w:pPr>
              <w:spacing w:after="0" w:line="240" w:lineRule="auto"/>
              <w:jc w:val="center"/>
              <w:rPr>
                <w:sz w:val="16"/>
                <w:szCs w:val="16"/>
              </w:rPr>
            </w:pPr>
            <w:r w:rsidRPr="00886BA6">
              <w:rPr>
                <w:color w:val="000000"/>
                <w:sz w:val="16"/>
                <w:szCs w:val="16"/>
              </w:rPr>
              <w:t>Equivocal retained for historical reproduction</w:t>
            </w:r>
          </w:p>
        </w:tc>
      </w:tr>
      <w:tr w:rsidR="00B94E35" w14:paraId="42F60934" w14:textId="77777777" w:rsidTr="00886BA6">
        <w:trPr>
          <w:cantSplit/>
          <w:jc w:val="center"/>
        </w:trPr>
        <w:tc>
          <w:tcPr>
            <w:tcW w:w="1701" w:type="dxa"/>
            <w:tcBorders>
              <w:top w:val="nil"/>
              <w:left w:val="nil"/>
              <w:bottom w:val="nil"/>
              <w:right w:val="nil"/>
            </w:tcBorders>
            <w:shd w:val="clear" w:color="auto" w:fill="FFFFFF"/>
            <w:tcMar>
              <w:top w:w="70" w:type="dxa"/>
              <w:left w:w="90" w:type="dxa"/>
              <w:bottom w:w="70" w:type="dxa"/>
              <w:right w:w="90" w:type="dxa"/>
            </w:tcMar>
            <w:vAlign w:val="center"/>
          </w:tcPr>
          <w:p w14:paraId="1CCA50E4" w14:textId="77777777" w:rsidR="00B94E35" w:rsidRPr="00886BA6" w:rsidRDefault="00000000">
            <w:pPr>
              <w:spacing w:after="0" w:line="240" w:lineRule="auto"/>
              <w:rPr>
                <w:sz w:val="16"/>
                <w:szCs w:val="16"/>
              </w:rPr>
            </w:pPr>
            <w:r w:rsidRPr="00886BA6">
              <w:rPr>
                <w:color w:val="000000"/>
                <w:sz w:val="16"/>
                <w:szCs w:val="16"/>
              </w:rPr>
              <w:t>TMB-H</w:t>
            </w:r>
          </w:p>
        </w:tc>
        <w:tc>
          <w:tcPr>
            <w:tcW w:w="1985" w:type="dxa"/>
            <w:tcBorders>
              <w:top w:val="nil"/>
              <w:left w:val="nil"/>
              <w:bottom w:val="nil"/>
              <w:right w:val="nil"/>
            </w:tcBorders>
            <w:shd w:val="clear" w:color="auto" w:fill="FFFFFF"/>
            <w:tcMar>
              <w:top w:w="70" w:type="dxa"/>
              <w:left w:w="90" w:type="dxa"/>
              <w:bottom w:w="70" w:type="dxa"/>
              <w:right w:w="90" w:type="dxa"/>
            </w:tcMar>
            <w:vAlign w:val="center"/>
          </w:tcPr>
          <w:p w14:paraId="188DFEB7" w14:textId="77777777" w:rsidR="00B94E35" w:rsidRPr="00886BA6" w:rsidRDefault="00000000">
            <w:pPr>
              <w:spacing w:after="0" w:line="240" w:lineRule="auto"/>
              <w:jc w:val="center"/>
              <w:rPr>
                <w:sz w:val="16"/>
                <w:szCs w:val="16"/>
              </w:rPr>
            </w:pPr>
            <w:r w:rsidRPr="00886BA6">
              <w:rPr>
                <w:color w:val="000000"/>
                <w:sz w:val="16"/>
                <w:szCs w:val="16"/>
              </w:rPr>
              <w:t>Tumor-agnostic treatment-linked candidate</w:t>
            </w:r>
          </w:p>
        </w:tc>
        <w:tc>
          <w:tcPr>
            <w:tcW w:w="2551" w:type="dxa"/>
            <w:tcBorders>
              <w:top w:val="nil"/>
              <w:left w:val="nil"/>
              <w:bottom w:val="nil"/>
              <w:right w:val="nil"/>
            </w:tcBorders>
            <w:shd w:val="clear" w:color="auto" w:fill="FFFFFF"/>
            <w:tcMar>
              <w:top w:w="70" w:type="dxa"/>
              <w:left w:w="90" w:type="dxa"/>
              <w:bottom w:w="70" w:type="dxa"/>
              <w:right w:w="90" w:type="dxa"/>
            </w:tcMar>
            <w:vAlign w:val="center"/>
          </w:tcPr>
          <w:p w14:paraId="1A717BB0" w14:textId="77777777" w:rsidR="00B94E35" w:rsidRPr="00886BA6" w:rsidRDefault="00000000">
            <w:pPr>
              <w:spacing w:after="0" w:line="240" w:lineRule="auto"/>
              <w:jc w:val="center"/>
              <w:rPr>
                <w:sz w:val="16"/>
                <w:szCs w:val="16"/>
              </w:rPr>
            </w:pPr>
            <w:r w:rsidRPr="00886BA6">
              <w:rPr>
                <w:color w:val="000000"/>
                <w:sz w:val="16"/>
                <w:szCs w:val="16"/>
              </w:rPr>
              <w:t>Status high; or blank status with numeric TMB ≥10 mutations/Mb</w:t>
            </w:r>
          </w:p>
        </w:tc>
        <w:tc>
          <w:tcPr>
            <w:tcW w:w="2127" w:type="dxa"/>
            <w:tcBorders>
              <w:top w:val="nil"/>
              <w:left w:val="nil"/>
              <w:bottom w:val="nil"/>
              <w:right w:val="nil"/>
            </w:tcBorders>
            <w:shd w:val="clear" w:color="auto" w:fill="FFFFFF"/>
            <w:tcMar>
              <w:top w:w="70" w:type="dxa"/>
              <w:left w:w="90" w:type="dxa"/>
              <w:bottom w:w="70" w:type="dxa"/>
              <w:right w:w="90" w:type="dxa"/>
            </w:tcMar>
            <w:vAlign w:val="center"/>
          </w:tcPr>
          <w:p w14:paraId="0EA2D42D" w14:textId="77777777" w:rsidR="00B94E35" w:rsidRPr="00886BA6" w:rsidRDefault="00000000">
            <w:pPr>
              <w:spacing w:after="0" w:line="240" w:lineRule="auto"/>
              <w:jc w:val="center"/>
              <w:rPr>
                <w:sz w:val="16"/>
                <w:szCs w:val="16"/>
              </w:rPr>
            </w:pPr>
            <w:r w:rsidRPr="00886BA6">
              <w:rPr>
                <w:color w:val="000000"/>
                <w:sz w:val="16"/>
                <w:szCs w:val="16"/>
              </w:rPr>
              <w:t>Nonblank non-high; or blank status with numeric TMB &lt;10</w:t>
            </w:r>
          </w:p>
        </w:tc>
        <w:tc>
          <w:tcPr>
            <w:tcW w:w="1328" w:type="dxa"/>
            <w:tcBorders>
              <w:top w:val="nil"/>
              <w:left w:val="nil"/>
              <w:bottom w:val="nil"/>
              <w:right w:val="nil"/>
            </w:tcBorders>
            <w:shd w:val="clear" w:color="auto" w:fill="FFFFFF"/>
            <w:tcMar>
              <w:top w:w="70" w:type="dxa"/>
              <w:left w:w="90" w:type="dxa"/>
              <w:bottom w:w="70" w:type="dxa"/>
              <w:right w:w="90" w:type="dxa"/>
            </w:tcMar>
            <w:vAlign w:val="center"/>
          </w:tcPr>
          <w:p w14:paraId="17B26F88" w14:textId="77777777" w:rsidR="00B94E35" w:rsidRPr="00886BA6" w:rsidRDefault="00000000">
            <w:pPr>
              <w:spacing w:after="0" w:line="240" w:lineRule="auto"/>
              <w:jc w:val="center"/>
              <w:rPr>
                <w:sz w:val="16"/>
                <w:szCs w:val="16"/>
              </w:rPr>
            </w:pPr>
            <w:r w:rsidRPr="00886BA6">
              <w:rPr>
                <w:color w:val="000000"/>
                <w:sz w:val="16"/>
                <w:szCs w:val="16"/>
              </w:rPr>
              <w:t>TMB-Status; TMB-Value</w:t>
            </w:r>
          </w:p>
        </w:tc>
        <w:tc>
          <w:tcPr>
            <w:tcW w:w="1011" w:type="dxa"/>
            <w:tcBorders>
              <w:top w:val="nil"/>
              <w:left w:val="nil"/>
              <w:bottom w:val="nil"/>
              <w:right w:val="nil"/>
            </w:tcBorders>
            <w:shd w:val="clear" w:color="auto" w:fill="FFFFFF"/>
            <w:tcMar>
              <w:top w:w="70" w:type="dxa"/>
              <w:left w:w="90" w:type="dxa"/>
              <w:bottom w:w="70" w:type="dxa"/>
              <w:right w:w="90" w:type="dxa"/>
            </w:tcMar>
            <w:vAlign w:val="center"/>
          </w:tcPr>
          <w:p w14:paraId="336D7C30" w14:textId="77777777" w:rsidR="00B94E35" w:rsidRPr="00886BA6" w:rsidRDefault="00000000">
            <w:pPr>
              <w:spacing w:after="0" w:line="240" w:lineRule="auto"/>
              <w:jc w:val="center"/>
              <w:rPr>
                <w:sz w:val="16"/>
                <w:szCs w:val="16"/>
              </w:rPr>
            </w:pPr>
            <w:r w:rsidRPr="00886BA6">
              <w:rPr>
                <w:color w:val="000000"/>
                <w:sz w:val="16"/>
                <w:szCs w:val="16"/>
              </w:rPr>
              <w:t>Available</w:t>
            </w:r>
          </w:p>
        </w:tc>
        <w:tc>
          <w:tcPr>
            <w:tcW w:w="1334" w:type="dxa"/>
            <w:tcBorders>
              <w:top w:val="nil"/>
              <w:left w:val="nil"/>
              <w:bottom w:val="nil"/>
              <w:right w:val="nil"/>
            </w:tcBorders>
            <w:shd w:val="clear" w:color="auto" w:fill="FFFFFF"/>
            <w:tcMar>
              <w:top w:w="70" w:type="dxa"/>
              <w:left w:w="90" w:type="dxa"/>
              <w:bottom w:w="70" w:type="dxa"/>
              <w:right w:w="90" w:type="dxa"/>
            </w:tcMar>
            <w:vAlign w:val="center"/>
          </w:tcPr>
          <w:p w14:paraId="0A4217BB" w14:textId="77777777" w:rsidR="00B94E35" w:rsidRPr="00886BA6" w:rsidRDefault="00000000">
            <w:pPr>
              <w:spacing w:after="0" w:line="240" w:lineRule="auto"/>
              <w:jc w:val="center"/>
              <w:rPr>
                <w:sz w:val="16"/>
                <w:szCs w:val="16"/>
              </w:rPr>
            </w:pPr>
            <w:r w:rsidRPr="00886BA6">
              <w:rPr>
                <w:color w:val="000000"/>
                <w:sz w:val="16"/>
                <w:szCs w:val="16"/>
              </w:rPr>
              <w:t>Data-layer unavailable</w:t>
            </w:r>
          </w:p>
        </w:tc>
        <w:tc>
          <w:tcPr>
            <w:tcW w:w="1855" w:type="dxa"/>
            <w:tcBorders>
              <w:top w:val="nil"/>
              <w:left w:val="nil"/>
              <w:bottom w:val="nil"/>
              <w:right w:val="nil"/>
            </w:tcBorders>
            <w:shd w:val="clear" w:color="auto" w:fill="FFFFFF"/>
            <w:tcMar>
              <w:top w:w="70" w:type="dxa"/>
              <w:left w:w="90" w:type="dxa"/>
              <w:bottom w:w="70" w:type="dxa"/>
              <w:right w:w="90" w:type="dxa"/>
            </w:tcMar>
            <w:vAlign w:val="center"/>
          </w:tcPr>
          <w:p w14:paraId="24950FB1" w14:textId="77777777" w:rsidR="00B94E35" w:rsidRPr="00886BA6" w:rsidRDefault="00000000">
            <w:pPr>
              <w:spacing w:after="0" w:line="240" w:lineRule="auto"/>
              <w:jc w:val="center"/>
              <w:rPr>
                <w:sz w:val="16"/>
                <w:szCs w:val="16"/>
              </w:rPr>
            </w:pPr>
            <w:r w:rsidRPr="00886BA6">
              <w:rPr>
                <w:color w:val="000000"/>
                <w:sz w:val="16"/>
                <w:szCs w:val="16"/>
              </w:rPr>
              <w:t>Nonblank status takes precedence</w:t>
            </w:r>
          </w:p>
        </w:tc>
        <w:tc>
          <w:tcPr>
            <w:tcW w:w="1938" w:type="dxa"/>
            <w:tcBorders>
              <w:top w:val="nil"/>
              <w:left w:val="nil"/>
              <w:bottom w:val="nil"/>
              <w:right w:val="nil"/>
            </w:tcBorders>
            <w:shd w:val="clear" w:color="auto" w:fill="FFFFFF"/>
            <w:tcMar>
              <w:top w:w="70" w:type="dxa"/>
              <w:left w:w="90" w:type="dxa"/>
              <w:bottom w:w="70" w:type="dxa"/>
              <w:right w:w="90" w:type="dxa"/>
            </w:tcMar>
            <w:vAlign w:val="center"/>
          </w:tcPr>
          <w:p w14:paraId="0587B9F8" w14:textId="77777777" w:rsidR="00B94E35" w:rsidRPr="00886BA6" w:rsidRDefault="00000000">
            <w:pPr>
              <w:spacing w:after="0" w:line="240" w:lineRule="auto"/>
              <w:jc w:val="center"/>
              <w:rPr>
                <w:sz w:val="16"/>
                <w:szCs w:val="16"/>
              </w:rPr>
            </w:pPr>
            <w:r w:rsidRPr="00886BA6">
              <w:rPr>
                <w:color w:val="000000"/>
                <w:sz w:val="16"/>
                <w:szCs w:val="16"/>
              </w:rPr>
              <w:t>G360 blanks not negative; status unknown</w:t>
            </w:r>
          </w:p>
        </w:tc>
      </w:tr>
      <w:tr w:rsidR="00B94E35" w14:paraId="599075E7" w14:textId="77777777" w:rsidTr="00886BA6">
        <w:trPr>
          <w:cantSplit/>
          <w:jc w:val="center"/>
        </w:trPr>
        <w:tc>
          <w:tcPr>
            <w:tcW w:w="1701" w:type="dxa"/>
            <w:tcBorders>
              <w:top w:val="nil"/>
              <w:left w:val="nil"/>
              <w:bottom w:val="nil"/>
              <w:right w:val="nil"/>
            </w:tcBorders>
            <w:shd w:val="clear" w:color="auto" w:fill="FFFFFF"/>
            <w:tcMar>
              <w:top w:w="70" w:type="dxa"/>
              <w:left w:w="90" w:type="dxa"/>
              <w:bottom w:w="70" w:type="dxa"/>
              <w:right w:w="90" w:type="dxa"/>
            </w:tcMar>
            <w:vAlign w:val="center"/>
          </w:tcPr>
          <w:p w14:paraId="73CBECE0" w14:textId="77777777" w:rsidR="00B94E35" w:rsidRPr="00886BA6" w:rsidRDefault="00000000">
            <w:pPr>
              <w:spacing w:after="0" w:line="240" w:lineRule="auto"/>
              <w:rPr>
                <w:sz w:val="16"/>
                <w:szCs w:val="16"/>
              </w:rPr>
            </w:pPr>
            <w:r w:rsidRPr="00886BA6">
              <w:rPr>
                <w:color w:val="000000"/>
                <w:sz w:val="16"/>
                <w:szCs w:val="16"/>
              </w:rPr>
              <w:t>NTRK1/2/3 fusion or rearrangement</w:t>
            </w:r>
          </w:p>
        </w:tc>
        <w:tc>
          <w:tcPr>
            <w:tcW w:w="1985" w:type="dxa"/>
            <w:tcBorders>
              <w:top w:val="nil"/>
              <w:left w:val="nil"/>
              <w:bottom w:val="nil"/>
              <w:right w:val="nil"/>
            </w:tcBorders>
            <w:shd w:val="clear" w:color="auto" w:fill="FFFFFF"/>
            <w:tcMar>
              <w:top w:w="70" w:type="dxa"/>
              <w:left w:w="90" w:type="dxa"/>
              <w:bottom w:w="70" w:type="dxa"/>
              <w:right w:w="90" w:type="dxa"/>
            </w:tcMar>
            <w:vAlign w:val="center"/>
          </w:tcPr>
          <w:p w14:paraId="714B372C" w14:textId="77777777" w:rsidR="00B94E35" w:rsidRPr="00886BA6" w:rsidRDefault="00000000">
            <w:pPr>
              <w:spacing w:after="0" w:line="240" w:lineRule="auto"/>
              <w:jc w:val="center"/>
              <w:rPr>
                <w:sz w:val="16"/>
                <w:szCs w:val="16"/>
              </w:rPr>
            </w:pPr>
            <w:r w:rsidRPr="00886BA6">
              <w:rPr>
                <w:color w:val="000000"/>
                <w:sz w:val="16"/>
                <w:szCs w:val="16"/>
              </w:rPr>
              <w:t>Tumor-agnostic treatment-linked candidate</w:t>
            </w:r>
          </w:p>
        </w:tc>
        <w:tc>
          <w:tcPr>
            <w:tcW w:w="2551" w:type="dxa"/>
            <w:tcBorders>
              <w:top w:val="nil"/>
              <w:left w:val="nil"/>
              <w:bottom w:val="nil"/>
              <w:right w:val="nil"/>
            </w:tcBorders>
            <w:shd w:val="clear" w:color="auto" w:fill="FFFFFF"/>
            <w:tcMar>
              <w:top w:w="70" w:type="dxa"/>
              <w:left w:w="90" w:type="dxa"/>
              <w:bottom w:w="70" w:type="dxa"/>
              <w:right w:w="90" w:type="dxa"/>
            </w:tcMar>
            <w:vAlign w:val="center"/>
          </w:tcPr>
          <w:p w14:paraId="6D907F1A" w14:textId="77777777" w:rsidR="00B94E35" w:rsidRPr="00886BA6" w:rsidRDefault="00000000">
            <w:pPr>
              <w:spacing w:after="0" w:line="240" w:lineRule="auto"/>
              <w:jc w:val="center"/>
              <w:rPr>
                <w:sz w:val="16"/>
                <w:szCs w:val="16"/>
              </w:rPr>
            </w:pPr>
            <w:r w:rsidRPr="00886BA6">
              <w:rPr>
                <w:color w:val="000000"/>
                <w:sz w:val="16"/>
                <w:szCs w:val="16"/>
              </w:rPr>
              <w:t>Specified gene plus qualifying change</w:t>
            </w:r>
          </w:p>
        </w:tc>
        <w:tc>
          <w:tcPr>
            <w:tcW w:w="2127" w:type="dxa"/>
            <w:tcBorders>
              <w:top w:val="nil"/>
              <w:left w:val="nil"/>
              <w:bottom w:val="nil"/>
              <w:right w:val="nil"/>
            </w:tcBorders>
            <w:shd w:val="clear" w:color="auto" w:fill="FFFFFF"/>
            <w:tcMar>
              <w:top w:w="70" w:type="dxa"/>
              <w:left w:w="90" w:type="dxa"/>
              <w:bottom w:w="70" w:type="dxa"/>
              <w:right w:w="90" w:type="dxa"/>
            </w:tcMar>
            <w:vAlign w:val="center"/>
          </w:tcPr>
          <w:p w14:paraId="5B690CD8" w14:textId="77777777" w:rsidR="00B94E35" w:rsidRPr="00886BA6" w:rsidRDefault="00000000">
            <w:pPr>
              <w:spacing w:after="0" w:line="240" w:lineRule="auto"/>
              <w:jc w:val="center"/>
              <w:rPr>
                <w:sz w:val="16"/>
                <w:szCs w:val="16"/>
              </w:rPr>
            </w:pPr>
            <w:r w:rsidRPr="00886BA6">
              <w:rPr>
                <w:color w:val="000000"/>
                <w:sz w:val="16"/>
                <w:szCs w:val="16"/>
              </w:rPr>
              <w:t>Other gene/change</w:t>
            </w:r>
          </w:p>
        </w:tc>
        <w:tc>
          <w:tcPr>
            <w:tcW w:w="1328" w:type="dxa"/>
            <w:tcBorders>
              <w:top w:val="nil"/>
              <w:left w:val="nil"/>
              <w:bottom w:val="nil"/>
              <w:right w:val="nil"/>
            </w:tcBorders>
            <w:shd w:val="clear" w:color="auto" w:fill="FFFFFF"/>
            <w:tcMar>
              <w:top w:w="70" w:type="dxa"/>
              <w:left w:w="90" w:type="dxa"/>
              <w:bottom w:w="70" w:type="dxa"/>
              <w:right w:w="90" w:type="dxa"/>
            </w:tcMar>
            <w:vAlign w:val="center"/>
          </w:tcPr>
          <w:p w14:paraId="681E92CF" w14:textId="77777777" w:rsidR="00B94E35" w:rsidRPr="00886BA6" w:rsidRDefault="00000000">
            <w:pPr>
              <w:spacing w:after="0" w:line="240" w:lineRule="auto"/>
              <w:jc w:val="center"/>
              <w:rPr>
                <w:sz w:val="16"/>
                <w:szCs w:val="16"/>
              </w:rPr>
            </w:pPr>
            <w:r w:rsidRPr="00886BA6">
              <w:rPr>
                <w:color w:val="000000"/>
                <w:sz w:val="16"/>
                <w:szCs w:val="16"/>
              </w:rPr>
              <w:t>Rearrangement-n marker/change</w:t>
            </w:r>
          </w:p>
        </w:tc>
        <w:tc>
          <w:tcPr>
            <w:tcW w:w="1011" w:type="dxa"/>
            <w:tcBorders>
              <w:top w:val="nil"/>
              <w:left w:val="nil"/>
              <w:bottom w:val="nil"/>
              <w:right w:val="nil"/>
            </w:tcBorders>
            <w:shd w:val="clear" w:color="auto" w:fill="FFFFFF"/>
            <w:tcMar>
              <w:top w:w="70" w:type="dxa"/>
              <w:left w:w="90" w:type="dxa"/>
              <w:bottom w:w="70" w:type="dxa"/>
              <w:right w:w="90" w:type="dxa"/>
            </w:tcMar>
            <w:vAlign w:val="center"/>
          </w:tcPr>
          <w:p w14:paraId="77F2EEF4" w14:textId="77777777" w:rsidR="00B94E35" w:rsidRPr="00886BA6" w:rsidRDefault="00000000">
            <w:pPr>
              <w:spacing w:after="0" w:line="240" w:lineRule="auto"/>
              <w:jc w:val="center"/>
              <w:rPr>
                <w:sz w:val="16"/>
                <w:szCs w:val="16"/>
              </w:rPr>
            </w:pPr>
            <w:r w:rsidRPr="00886BA6">
              <w:rPr>
                <w:color w:val="000000"/>
                <w:sz w:val="16"/>
                <w:szCs w:val="16"/>
              </w:rPr>
              <w:t>Available</w:t>
            </w:r>
          </w:p>
        </w:tc>
        <w:tc>
          <w:tcPr>
            <w:tcW w:w="1334" w:type="dxa"/>
            <w:tcBorders>
              <w:top w:val="nil"/>
              <w:left w:val="nil"/>
              <w:bottom w:val="nil"/>
              <w:right w:val="nil"/>
            </w:tcBorders>
            <w:shd w:val="clear" w:color="auto" w:fill="FFFFFF"/>
            <w:tcMar>
              <w:top w:w="70" w:type="dxa"/>
              <w:left w:w="90" w:type="dxa"/>
              <w:bottom w:w="70" w:type="dxa"/>
              <w:right w:w="90" w:type="dxa"/>
            </w:tcMar>
            <w:vAlign w:val="center"/>
          </w:tcPr>
          <w:p w14:paraId="3DC60C17" w14:textId="77777777" w:rsidR="00B94E35" w:rsidRPr="00886BA6" w:rsidRDefault="00000000">
            <w:pPr>
              <w:spacing w:after="0" w:line="240" w:lineRule="auto"/>
              <w:jc w:val="center"/>
              <w:rPr>
                <w:sz w:val="16"/>
                <w:szCs w:val="16"/>
              </w:rPr>
            </w:pPr>
            <w:r w:rsidRPr="00886BA6">
              <w:rPr>
                <w:color w:val="000000"/>
                <w:sz w:val="16"/>
                <w:szCs w:val="16"/>
              </w:rPr>
              <w:t>Operational mapping applied</w:t>
            </w:r>
          </w:p>
        </w:tc>
        <w:tc>
          <w:tcPr>
            <w:tcW w:w="1855" w:type="dxa"/>
            <w:tcBorders>
              <w:top w:val="nil"/>
              <w:left w:val="nil"/>
              <w:bottom w:val="nil"/>
              <w:right w:val="nil"/>
            </w:tcBorders>
            <w:shd w:val="clear" w:color="auto" w:fill="FFFFFF"/>
            <w:tcMar>
              <w:top w:w="70" w:type="dxa"/>
              <w:left w:w="90" w:type="dxa"/>
              <w:bottom w:w="70" w:type="dxa"/>
              <w:right w:w="90" w:type="dxa"/>
            </w:tcMar>
            <w:vAlign w:val="center"/>
          </w:tcPr>
          <w:p w14:paraId="71CA9529" w14:textId="77777777" w:rsidR="00B94E35" w:rsidRPr="00886BA6" w:rsidRDefault="00000000">
            <w:pPr>
              <w:spacing w:after="0" w:line="240" w:lineRule="auto"/>
              <w:jc w:val="center"/>
              <w:rPr>
                <w:sz w:val="16"/>
                <w:szCs w:val="16"/>
              </w:rPr>
            </w:pPr>
            <w:r w:rsidRPr="00886BA6">
              <w:rPr>
                <w:color w:val="000000"/>
                <w:sz w:val="16"/>
                <w:szCs w:val="16"/>
              </w:rPr>
              <w:t>Any qualifying NTRK1/2/3 record</w:t>
            </w:r>
          </w:p>
        </w:tc>
        <w:tc>
          <w:tcPr>
            <w:tcW w:w="1938" w:type="dxa"/>
            <w:tcBorders>
              <w:top w:val="nil"/>
              <w:left w:val="nil"/>
              <w:bottom w:val="nil"/>
              <w:right w:val="nil"/>
            </w:tcBorders>
            <w:shd w:val="clear" w:color="auto" w:fill="FFFFFF"/>
            <w:tcMar>
              <w:top w:w="70" w:type="dxa"/>
              <w:left w:w="90" w:type="dxa"/>
              <w:bottom w:w="70" w:type="dxa"/>
              <w:right w:w="90" w:type="dxa"/>
            </w:tcMar>
            <w:vAlign w:val="center"/>
          </w:tcPr>
          <w:p w14:paraId="03C938B0" w14:textId="77777777" w:rsidR="00B94E35" w:rsidRPr="00886BA6" w:rsidRDefault="00000000">
            <w:pPr>
              <w:spacing w:after="0" w:line="240" w:lineRule="auto"/>
              <w:jc w:val="center"/>
              <w:rPr>
                <w:sz w:val="16"/>
                <w:szCs w:val="16"/>
              </w:rPr>
            </w:pPr>
            <w:r w:rsidRPr="00886BA6">
              <w:rPr>
                <w:color w:val="000000"/>
                <w:sz w:val="16"/>
                <w:szCs w:val="16"/>
              </w:rPr>
              <w:t>Patient-level union</w:t>
            </w:r>
          </w:p>
        </w:tc>
      </w:tr>
      <w:tr w:rsidR="00B94E35" w14:paraId="2BDC840C" w14:textId="77777777" w:rsidTr="00886BA6">
        <w:trPr>
          <w:cantSplit/>
          <w:jc w:val="center"/>
        </w:trPr>
        <w:tc>
          <w:tcPr>
            <w:tcW w:w="1701" w:type="dxa"/>
            <w:tcBorders>
              <w:top w:val="nil"/>
              <w:left w:val="nil"/>
              <w:bottom w:val="nil"/>
              <w:right w:val="nil"/>
            </w:tcBorders>
            <w:shd w:val="clear" w:color="auto" w:fill="FFFFFF"/>
            <w:tcMar>
              <w:top w:w="70" w:type="dxa"/>
              <w:left w:w="90" w:type="dxa"/>
              <w:bottom w:w="70" w:type="dxa"/>
              <w:right w:w="90" w:type="dxa"/>
            </w:tcMar>
            <w:vAlign w:val="center"/>
          </w:tcPr>
          <w:p w14:paraId="16080114" w14:textId="77777777" w:rsidR="00B94E35" w:rsidRPr="00886BA6" w:rsidRDefault="00000000">
            <w:pPr>
              <w:spacing w:after="0" w:line="240" w:lineRule="auto"/>
              <w:rPr>
                <w:sz w:val="16"/>
                <w:szCs w:val="16"/>
              </w:rPr>
            </w:pPr>
            <w:r w:rsidRPr="00886BA6">
              <w:rPr>
                <w:color w:val="000000"/>
                <w:sz w:val="16"/>
                <w:szCs w:val="16"/>
              </w:rPr>
              <w:t>RET fusion or rearrangement</w:t>
            </w:r>
          </w:p>
        </w:tc>
        <w:tc>
          <w:tcPr>
            <w:tcW w:w="1985" w:type="dxa"/>
            <w:tcBorders>
              <w:top w:val="nil"/>
              <w:left w:val="nil"/>
              <w:bottom w:val="nil"/>
              <w:right w:val="nil"/>
            </w:tcBorders>
            <w:shd w:val="clear" w:color="auto" w:fill="FFFFFF"/>
            <w:tcMar>
              <w:top w:w="70" w:type="dxa"/>
              <w:left w:w="90" w:type="dxa"/>
              <w:bottom w:w="70" w:type="dxa"/>
              <w:right w:w="90" w:type="dxa"/>
            </w:tcMar>
            <w:vAlign w:val="center"/>
          </w:tcPr>
          <w:p w14:paraId="4C1E0DCB" w14:textId="77777777" w:rsidR="00B94E35" w:rsidRPr="00886BA6" w:rsidRDefault="00000000">
            <w:pPr>
              <w:spacing w:after="0" w:line="240" w:lineRule="auto"/>
              <w:jc w:val="center"/>
              <w:rPr>
                <w:sz w:val="16"/>
                <w:szCs w:val="16"/>
              </w:rPr>
            </w:pPr>
            <w:r w:rsidRPr="00886BA6">
              <w:rPr>
                <w:color w:val="000000"/>
                <w:sz w:val="16"/>
                <w:szCs w:val="16"/>
              </w:rPr>
              <w:t>Treatment-linked operational candidate</w:t>
            </w:r>
          </w:p>
        </w:tc>
        <w:tc>
          <w:tcPr>
            <w:tcW w:w="2551" w:type="dxa"/>
            <w:tcBorders>
              <w:top w:val="nil"/>
              <w:left w:val="nil"/>
              <w:bottom w:val="nil"/>
              <w:right w:val="nil"/>
            </w:tcBorders>
            <w:shd w:val="clear" w:color="auto" w:fill="FFFFFF"/>
            <w:tcMar>
              <w:top w:w="70" w:type="dxa"/>
              <w:left w:w="90" w:type="dxa"/>
              <w:bottom w:w="70" w:type="dxa"/>
              <w:right w:w="90" w:type="dxa"/>
            </w:tcMar>
            <w:vAlign w:val="center"/>
          </w:tcPr>
          <w:p w14:paraId="3804010F" w14:textId="77777777" w:rsidR="00B94E35" w:rsidRPr="00886BA6" w:rsidRDefault="00000000">
            <w:pPr>
              <w:spacing w:after="0" w:line="240" w:lineRule="auto"/>
              <w:jc w:val="center"/>
              <w:rPr>
                <w:sz w:val="16"/>
                <w:szCs w:val="16"/>
              </w:rPr>
            </w:pPr>
            <w:r w:rsidRPr="00886BA6">
              <w:rPr>
                <w:color w:val="000000"/>
                <w:sz w:val="16"/>
                <w:szCs w:val="16"/>
              </w:rPr>
              <w:t>RET plus qualifying change</w:t>
            </w:r>
          </w:p>
        </w:tc>
        <w:tc>
          <w:tcPr>
            <w:tcW w:w="2127" w:type="dxa"/>
            <w:tcBorders>
              <w:top w:val="nil"/>
              <w:left w:val="nil"/>
              <w:bottom w:val="nil"/>
              <w:right w:val="nil"/>
            </w:tcBorders>
            <w:shd w:val="clear" w:color="auto" w:fill="FFFFFF"/>
            <w:tcMar>
              <w:top w:w="70" w:type="dxa"/>
              <w:left w:w="90" w:type="dxa"/>
              <w:bottom w:w="70" w:type="dxa"/>
              <w:right w:w="90" w:type="dxa"/>
            </w:tcMar>
            <w:vAlign w:val="center"/>
          </w:tcPr>
          <w:p w14:paraId="0CA96DE6" w14:textId="77777777" w:rsidR="00B94E35" w:rsidRPr="00886BA6" w:rsidRDefault="00000000">
            <w:pPr>
              <w:spacing w:after="0" w:line="240" w:lineRule="auto"/>
              <w:jc w:val="center"/>
              <w:rPr>
                <w:sz w:val="16"/>
                <w:szCs w:val="16"/>
              </w:rPr>
            </w:pPr>
            <w:r w:rsidRPr="00886BA6">
              <w:rPr>
                <w:color w:val="000000"/>
                <w:sz w:val="16"/>
                <w:szCs w:val="16"/>
              </w:rPr>
              <w:t>Other gene/change</w:t>
            </w:r>
          </w:p>
        </w:tc>
        <w:tc>
          <w:tcPr>
            <w:tcW w:w="1328" w:type="dxa"/>
            <w:tcBorders>
              <w:top w:val="nil"/>
              <w:left w:val="nil"/>
              <w:bottom w:val="nil"/>
              <w:right w:val="nil"/>
            </w:tcBorders>
            <w:shd w:val="clear" w:color="auto" w:fill="FFFFFF"/>
            <w:tcMar>
              <w:top w:w="70" w:type="dxa"/>
              <w:left w:w="90" w:type="dxa"/>
              <w:bottom w:w="70" w:type="dxa"/>
              <w:right w:w="90" w:type="dxa"/>
            </w:tcMar>
            <w:vAlign w:val="center"/>
          </w:tcPr>
          <w:p w14:paraId="5AE9D50A" w14:textId="77777777" w:rsidR="00B94E35" w:rsidRPr="00886BA6" w:rsidRDefault="00000000">
            <w:pPr>
              <w:spacing w:after="0" w:line="240" w:lineRule="auto"/>
              <w:jc w:val="center"/>
              <w:rPr>
                <w:sz w:val="16"/>
                <w:szCs w:val="16"/>
              </w:rPr>
            </w:pPr>
            <w:r w:rsidRPr="00886BA6">
              <w:rPr>
                <w:color w:val="000000"/>
                <w:sz w:val="16"/>
                <w:szCs w:val="16"/>
              </w:rPr>
              <w:t>Rearrangement-n marker/change</w:t>
            </w:r>
          </w:p>
        </w:tc>
        <w:tc>
          <w:tcPr>
            <w:tcW w:w="1011" w:type="dxa"/>
            <w:tcBorders>
              <w:top w:val="nil"/>
              <w:left w:val="nil"/>
              <w:bottom w:val="nil"/>
              <w:right w:val="nil"/>
            </w:tcBorders>
            <w:shd w:val="clear" w:color="auto" w:fill="FFFFFF"/>
            <w:tcMar>
              <w:top w:w="70" w:type="dxa"/>
              <w:left w:w="90" w:type="dxa"/>
              <w:bottom w:w="70" w:type="dxa"/>
              <w:right w:w="90" w:type="dxa"/>
            </w:tcMar>
            <w:vAlign w:val="center"/>
          </w:tcPr>
          <w:p w14:paraId="579EBB38" w14:textId="77777777" w:rsidR="00B94E35" w:rsidRPr="00886BA6" w:rsidRDefault="00000000">
            <w:pPr>
              <w:spacing w:after="0" w:line="240" w:lineRule="auto"/>
              <w:jc w:val="center"/>
              <w:rPr>
                <w:sz w:val="16"/>
                <w:szCs w:val="16"/>
              </w:rPr>
            </w:pPr>
            <w:r w:rsidRPr="00886BA6">
              <w:rPr>
                <w:color w:val="000000"/>
                <w:sz w:val="16"/>
                <w:szCs w:val="16"/>
              </w:rPr>
              <w:t>Available</w:t>
            </w:r>
          </w:p>
        </w:tc>
        <w:tc>
          <w:tcPr>
            <w:tcW w:w="1334" w:type="dxa"/>
            <w:tcBorders>
              <w:top w:val="nil"/>
              <w:left w:val="nil"/>
              <w:bottom w:val="nil"/>
              <w:right w:val="nil"/>
            </w:tcBorders>
            <w:shd w:val="clear" w:color="auto" w:fill="FFFFFF"/>
            <w:tcMar>
              <w:top w:w="70" w:type="dxa"/>
              <w:left w:w="90" w:type="dxa"/>
              <w:bottom w:w="70" w:type="dxa"/>
              <w:right w:w="90" w:type="dxa"/>
            </w:tcMar>
            <w:vAlign w:val="center"/>
          </w:tcPr>
          <w:p w14:paraId="7F814455" w14:textId="77777777" w:rsidR="00B94E35" w:rsidRPr="00886BA6" w:rsidRDefault="00000000">
            <w:pPr>
              <w:spacing w:after="0" w:line="240" w:lineRule="auto"/>
              <w:jc w:val="center"/>
              <w:rPr>
                <w:sz w:val="16"/>
                <w:szCs w:val="16"/>
              </w:rPr>
            </w:pPr>
            <w:r w:rsidRPr="00886BA6">
              <w:rPr>
                <w:color w:val="000000"/>
                <w:sz w:val="16"/>
                <w:szCs w:val="16"/>
              </w:rPr>
              <w:t>Operational mapping applied</w:t>
            </w:r>
          </w:p>
        </w:tc>
        <w:tc>
          <w:tcPr>
            <w:tcW w:w="1855" w:type="dxa"/>
            <w:tcBorders>
              <w:top w:val="nil"/>
              <w:left w:val="nil"/>
              <w:bottom w:val="nil"/>
              <w:right w:val="nil"/>
            </w:tcBorders>
            <w:shd w:val="clear" w:color="auto" w:fill="FFFFFF"/>
            <w:tcMar>
              <w:top w:w="70" w:type="dxa"/>
              <w:left w:w="90" w:type="dxa"/>
              <w:bottom w:w="70" w:type="dxa"/>
              <w:right w:w="90" w:type="dxa"/>
            </w:tcMar>
            <w:vAlign w:val="center"/>
          </w:tcPr>
          <w:p w14:paraId="1D276DC9" w14:textId="77777777" w:rsidR="00B94E35" w:rsidRPr="00886BA6" w:rsidRDefault="00000000">
            <w:pPr>
              <w:spacing w:after="0" w:line="240" w:lineRule="auto"/>
              <w:jc w:val="center"/>
              <w:rPr>
                <w:sz w:val="16"/>
                <w:szCs w:val="16"/>
              </w:rPr>
            </w:pPr>
            <w:r w:rsidRPr="00886BA6">
              <w:rPr>
                <w:color w:val="000000"/>
                <w:sz w:val="16"/>
                <w:szCs w:val="16"/>
              </w:rPr>
              <w:t>Gene substring plus allowed change</w:t>
            </w:r>
          </w:p>
        </w:tc>
        <w:tc>
          <w:tcPr>
            <w:tcW w:w="1938" w:type="dxa"/>
            <w:tcBorders>
              <w:top w:val="nil"/>
              <w:left w:val="nil"/>
              <w:bottom w:val="nil"/>
              <w:right w:val="nil"/>
            </w:tcBorders>
            <w:shd w:val="clear" w:color="auto" w:fill="FFFFFF"/>
            <w:tcMar>
              <w:top w:w="70" w:type="dxa"/>
              <w:left w:w="90" w:type="dxa"/>
              <w:bottom w:w="70" w:type="dxa"/>
              <w:right w:w="90" w:type="dxa"/>
            </w:tcMar>
            <w:vAlign w:val="center"/>
          </w:tcPr>
          <w:p w14:paraId="0CAB8A12" w14:textId="77777777" w:rsidR="00B94E35" w:rsidRPr="00886BA6" w:rsidRDefault="00000000">
            <w:pPr>
              <w:spacing w:after="0" w:line="240" w:lineRule="auto"/>
              <w:jc w:val="center"/>
              <w:rPr>
                <w:sz w:val="16"/>
                <w:szCs w:val="16"/>
              </w:rPr>
            </w:pPr>
            <w:r w:rsidRPr="00886BA6">
              <w:rPr>
                <w:color w:val="000000"/>
                <w:sz w:val="16"/>
                <w:szCs w:val="16"/>
              </w:rPr>
              <w:t>Patient-level union</w:t>
            </w:r>
          </w:p>
        </w:tc>
      </w:tr>
      <w:tr w:rsidR="00B94E35" w14:paraId="31AAAF57" w14:textId="77777777" w:rsidTr="00886BA6">
        <w:trPr>
          <w:cantSplit/>
          <w:jc w:val="center"/>
        </w:trPr>
        <w:tc>
          <w:tcPr>
            <w:tcW w:w="1701" w:type="dxa"/>
            <w:tcBorders>
              <w:top w:val="nil"/>
              <w:left w:val="nil"/>
              <w:bottom w:val="nil"/>
              <w:right w:val="nil"/>
            </w:tcBorders>
            <w:shd w:val="clear" w:color="auto" w:fill="FFFFFF"/>
            <w:tcMar>
              <w:top w:w="70" w:type="dxa"/>
              <w:left w:w="90" w:type="dxa"/>
              <w:bottom w:w="70" w:type="dxa"/>
              <w:right w:w="90" w:type="dxa"/>
            </w:tcMar>
            <w:vAlign w:val="center"/>
          </w:tcPr>
          <w:p w14:paraId="45C279FB" w14:textId="77777777" w:rsidR="00B94E35" w:rsidRPr="00886BA6" w:rsidRDefault="00000000">
            <w:pPr>
              <w:spacing w:after="0" w:line="240" w:lineRule="auto"/>
              <w:rPr>
                <w:sz w:val="16"/>
                <w:szCs w:val="16"/>
              </w:rPr>
            </w:pPr>
            <w:r w:rsidRPr="00886BA6">
              <w:rPr>
                <w:color w:val="000000"/>
                <w:sz w:val="16"/>
                <w:szCs w:val="16"/>
              </w:rPr>
              <w:t>ERBB2 amplification</w:t>
            </w:r>
          </w:p>
        </w:tc>
        <w:tc>
          <w:tcPr>
            <w:tcW w:w="1985" w:type="dxa"/>
            <w:tcBorders>
              <w:top w:val="nil"/>
              <w:left w:val="nil"/>
              <w:bottom w:val="nil"/>
              <w:right w:val="nil"/>
            </w:tcBorders>
            <w:shd w:val="clear" w:color="auto" w:fill="FFFFFF"/>
            <w:tcMar>
              <w:top w:w="70" w:type="dxa"/>
              <w:left w:w="90" w:type="dxa"/>
              <w:bottom w:w="70" w:type="dxa"/>
              <w:right w:w="90" w:type="dxa"/>
            </w:tcMar>
            <w:vAlign w:val="center"/>
          </w:tcPr>
          <w:p w14:paraId="50CE5FCF" w14:textId="77777777" w:rsidR="00B94E35" w:rsidRPr="00886BA6" w:rsidRDefault="00000000">
            <w:pPr>
              <w:spacing w:after="0" w:line="240" w:lineRule="auto"/>
              <w:jc w:val="center"/>
              <w:rPr>
                <w:sz w:val="16"/>
                <w:szCs w:val="16"/>
              </w:rPr>
            </w:pPr>
            <w:r w:rsidRPr="00886BA6">
              <w:rPr>
                <w:color w:val="000000"/>
                <w:sz w:val="16"/>
                <w:szCs w:val="16"/>
              </w:rPr>
              <w:t>Treatment-linked operational candidate</w:t>
            </w:r>
          </w:p>
        </w:tc>
        <w:tc>
          <w:tcPr>
            <w:tcW w:w="2551" w:type="dxa"/>
            <w:tcBorders>
              <w:top w:val="nil"/>
              <w:left w:val="nil"/>
              <w:bottom w:val="nil"/>
              <w:right w:val="nil"/>
            </w:tcBorders>
            <w:shd w:val="clear" w:color="auto" w:fill="FFFFFF"/>
            <w:tcMar>
              <w:top w:w="70" w:type="dxa"/>
              <w:left w:w="90" w:type="dxa"/>
              <w:bottom w:w="70" w:type="dxa"/>
              <w:right w:w="90" w:type="dxa"/>
            </w:tcMar>
            <w:vAlign w:val="center"/>
          </w:tcPr>
          <w:p w14:paraId="183E68EF" w14:textId="77777777" w:rsidR="00B94E35" w:rsidRPr="00886BA6" w:rsidRDefault="00000000">
            <w:pPr>
              <w:spacing w:after="0" w:line="240" w:lineRule="auto"/>
              <w:jc w:val="center"/>
              <w:rPr>
                <w:sz w:val="16"/>
                <w:szCs w:val="16"/>
              </w:rPr>
            </w:pPr>
            <w:r w:rsidRPr="00886BA6">
              <w:rPr>
                <w:color w:val="000000"/>
                <w:sz w:val="16"/>
                <w:szCs w:val="16"/>
              </w:rPr>
              <w:t>ERBB2 marker and amplification</w:t>
            </w:r>
          </w:p>
        </w:tc>
        <w:tc>
          <w:tcPr>
            <w:tcW w:w="2127" w:type="dxa"/>
            <w:tcBorders>
              <w:top w:val="nil"/>
              <w:left w:val="nil"/>
              <w:bottom w:val="nil"/>
              <w:right w:val="nil"/>
            </w:tcBorders>
            <w:shd w:val="clear" w:color="auto" w:fill="FFFFFF"/>
            <w:tcMar>
              <w:top w:w="70" w:type="dxa"/>
              <w:left w:w="90" w:type="dxa"/>
              <w:bottom w:w="70" w:type="dxa"/>
              <w:right w:w="90" w:type="dxa"/>
            </w:tcMar>
            <w:vAlign w:val="center"/>
          </w:tcPr>
          <w:p w14:paraId="2D4C5F68" w14:textId="77777777" w:rsidR="00B94E35" w:rsidRPr="00886BA6" w:rsidRDefault="00000000">
            <w:pPr>
              <w:spacing w:after="0" w:line="240" w:lineRule="auto"/>
              <w:jc w:val="center"/>
              <w:rPr>
                <w:sz w:val="16"/>
                <w:szCs w:val="16"/>
              </w:rPr>
            </w:pPr>
            <w:r w:rsidRPr="00886BA6">
              <w:rPr>
                <w:color w:val="000000"/>
                <w:sz w:val="16"/>
                <w:szCs w:val="16"/>
              </w:rPr>
              <w:t>Other marker/change</w:t>
            </w:r>
          </w:p>
        </w:tc>
        <w:tc>
          <w:tcPr>
            <w:tcW w:w="1328" w:type="dxa"/>
            <w:tcBorders>
              <w:top w:val="nil"/>
              <w:left w:val="nil"/>
              <w:bottom w:val="nil"/>
              <w:right w:val="nil"/>
            </w:tcBorders>
            <w:shd w:val="clear" w:color="auto" w:fill="FFFFFF"/>
            <w:tcMar>
              <w:top w:w="70" w:type="dxa"/>
              <w:left w:w="90" w:type="dxa"/>
              <w:bottom w:w="70" w:type="dxa"/>
              <w:right w:w="90" w:type="dxa"/>
            </w:tcMar>
            <w:vAlign w:val="center"/>
          </w:tcPr>
          <w:p w14:paraId="65F4F6AA" w14:textId="77777777" w:rsidR="00B94E35" w:rsidRPr="00886BA6" w:rsidRDefault="00000000">
            <w:pPr>
              <w:spacing w:after="0" w:line="240" w:lineRule="auto"/>
              <w:jc w:val="center"/>
              <w:rPr>
                <w:sz w:val="16"/>
                <w:szCs w:val="16"/>
              </w:rPr>
            </w:pPr>
            <w:r w:rsidRPr="00886BA6">
              <w:rPr>
                <w:color w:val="000000"/>
                <w:sz w:val="16"/>
                <w:szCs w:val="16"/>
              </w:rPr>
              <w:t>CNA(Gene)-n marker/change</w:t>
            </w:r>
          </w:p>
        </w:tc>
        <w:tc>
          <w:tcPr>
            <w:tcW w:w="1011" w:type="dxa"/>
            <w:tcBorders>
              <w:top w:val="nil"/>
              <w:left w:val="nil"/>
              <w:bottom w:val="nil"/>
              <w:right w:val="nil"/>
            </w:tcBorders>
            <w:shd w:val="clear" w:color="auto" w:fill="FFFFFF"/>
            <w:tcMar>
              <w:top w:w="70" w:type="dxa"/>
              <w:left w:w="90" w:type="dxa"/>
              <w:bottom w:w="70" w:type="dxa"/>
              <w:right w:w="90" w:type="dxa"/>
            </w:tcMar>
            <w:vAlign w:val="center"/>
          </w:tcPr>
          <w:p w14:paraId="01A7C874" w14:textId="77777777" w:rsidR="00B94E35" w:rsidRPr="00886BA6" w:rsidRDefault="00000000">
            <w:pPr>
              <w:spacing w:after="0" w:line="240" w:lineRule="auto"/>
              <w:jc w:val="center"/>
              <w:rPr>
                <w:sz w:val="16"/>
                <w:szCs w:val="16"/>
              </w:rPr>
            </w:pPr>
            <w:r w:rsidRPr="00886BA6">
              <w:rPr>
                <w:color w:val="000000"/>
                <w:sz w:val="16"/>
                <w:szCs w:val="16"/>
              </w:rPr>
              <w:t>Available</w:t>
            </w:r>
          </w:p>
        </w:tc>
        <w:tc>
          <w:tcPr>
            <w:tcW w:w="1334" w:type="dxa"/>
            <w:tcBorders>
              <w:top w:val="nil"/>
              <w:left w:val="nil"/>
              <w:bottom w:val="nil"/>
              <w:right w:val="nil"/>
            </w:tcBorders>
            <w:shd w:val="clear" w:color="auto" w:fill="FFFFFF"/>
            <w:tcMar>
              <w:top w:w="70" w:type="dxa"/>
              <w:left w:w="90" w:type="dxa"/>
              <w:bottom w:w="70" w:type="dxa"/>
              <w:right w:w="90" w:type="dxa"/>
            </w:tcMar>
            <w:vAlign w:val="center"/>
          </w:tcPr>
          <w:p w14:paraId="1CC1C4D0" w14:textId="77777777" w:rsidR="00B94E35" w:rsidRPr="00886BA6" w:rsidRDefault="00000000">
            <w:pPr>
              <w:spacing w:after="0" w:line="240" w:lineRule="auto"/>
              <w:jc w:val="center"/>
              <w:rPr>
                <w:sz w:val="16"/>
                <w:szCs w:val="16"/>
              </w:rPr>
            </w:pPr>
            <w:r w:rsidRPr="00886BA6">
              <w:rPr>
                <w:color w:val="000000"/>
                <w:sz w:val="16"/>
                <w:szCs w:val="16"/>
              </w:rPr>
              <w:t>Operational mapping applied</w:t>
            </w:r>
          </w:p>
        </w:tc>
        <w:tc>
          <w:tcPr>
            <w:tcW w:w="1855" w:type="dxa"/>
            <w:tcBorders>
              <w:top w:val="nil"/>
              <w:left w:val="nil"/>
              <w:bottom w:val="nil"/>
              <w:right w:val="nil"/>
            </w:tcBorders>
            <w:shd w:val="clear" w:color="auto" w:fill="FFFFFF"/>
            <w:tcMar>
              <w:top w:w="70" w:type="dxa"/>
              <w:left w:w="90" w:type="dxa"/>
              <w:bottom w:w="70" w:type="dxa"/>
              <w:right w:w="90" w:type="dxa"/>
            </w:tcMar>
            <w:vAlign w:val="center"/>
          </w:tcPr>
          <w:p w14:paraId="50A81BA8" w14:textId="77777777" w:rsidR="00B94E35" w:rsidRPr="00886BA6" w:rsidRDefault="00000000">
            <w:pPr>
              <w:spacing w:after="0" w:line="240" w:lineRule="auto"/>
              <w:jc w:val="center"/>
              <w:rPr>
                <w:sz w:val="16"/>
                <w:szCs w:val="16"/>
              </w:rPr>
            </w:pPr>
            <w:r w:rsidRPr="00886BA6">
              <w:rPr>
                <w:color w:val="000000"/>
                <w:sz w:val="16"/>
                <w:szCs w:val="16"/>
              </w:rPr>
              <w:t>Exact gene and change</w:t>
            </w:r>
          </w:p>
        </w:tc>
        <w:tc>
          <w:tcPr>
            <w:tcW w:w="1938" w:type="dxa"/>
            <w:tcBorders>
              <w:top w:val="nil"/>
              <w:left w:val="nil"/>
              <w:bottom w:val="nil"/>
              <w:right w:val="nil"/>
            </w:tcBorders>
            <w:shd w:val="clear" w:color="auto" w:fill="FFFFFF"/>
            <w:tcMar>
              <w:top w:w="70" w:type="dxa"/>
              <w:left w:w="90" w:type="dxa"/>
              <w:bottom w:w="70" w:type="dxa"/>
              <w:right w:w="90" w:type="dxa"/>
            </w:tcMar>
            <w:vAlign w:val="center"/>
          </w:tcPr>
          <w:p w14:paraId="5C39D4EF" w14:textId="77777777" w:rsidR="00B94E35" w:rsidRPr="00886BA6" w:rsidRDefault="00000000">
            <w:pPr>
              <w:spacing w:after="0" w:line="240" w:lineRule="auto"/>
              <w:jc w:val="center"/>
              <w:rPr>
                <w:sz w:val="16"/>
                <w:szCs w:val="16"/>
              </w:rPr>
            </w:pPr>
            <w:r w:rsidRPr="00886BA6">
              <w:rPr>
                <w:color w:val="000000"/>
                <w:sz w:val="16"/>
                <w:szCs w:val="16"/>
              </w:rPr>
              <w:t>Patient-level union</w:t>
            </w:r>
          </w:p>
        </w:tc>
      </w:tr>
      <w:tr w:rsidR="00B94E35" w14:paraId="5B2E6D9E" w14:textId="77777777" w:rsidTr="00886BA6">
        <w:trPr>
          <w:cantSplit/>
          <w:jc w:val="center"/>
        </w:trPr>
        <w:tc>
          <w:tcPr>
            <w:tcW w:w="1701" w:type="dxa"/>
            <w:tcBorders>
              <w:top w:val="nil"/>
              <w:left w:val="nil"/>
              <w:bottom w:val="nil"/>
              <w:right w:val="nil"/>
            </w:tcBorders>
            <w:shd w:val="clear" w:color="auto" w:fill="FFFFFF"/>
            <w:tcMar>
              <w:top w:w="70" w:type="dxa"/>
              <w:left w:w="90" w:type="dxa"/>
              <w:bottom w:w="70" w:type="dxa"/>
              <w:right w:w="90" w:type="dxa"/>
            </w:tcMar>
            <w:vAlign w:val="center"/>
          </w:tcPr>
          <w:p w14:paraId="7C156043" w14:textId="77777777" w:rsidR="00B94E35" w:rsidRPr="00886BA6" w:rsidRDefault="00000000">
            <w:pPr>
              <w:spacing w:after="0" w:line="240" w:lineRule="auto"/>
              <w:rPr>
                <w:sz w:val="16"/>
                <w:szCs w:val="16"/>
              </w:rPr>
            </w:pPr>
            <w:r w:rsidRPr="00886BA6">
              <w:rPr>
                <w:color w:val="000000"/>
                <w:sz w:val="16"/>
                <w:szCs w:val="16"/>
              </w:rPr>
              <w:t>ALK fusion or rearrangement</w:t>
            </w:r>
          </w:p>
        </w:tc>
        <w:tc>
          <w:tcPr>
            <w:tcW w:w="1985" w:type="dxa"/>
            <w:tcBorders>
              <w:top w:val="nil"/>
              <w:left w:val="nil"/>
              <w:bottom w:val="nil"/>
              <w:right w:val="nil"/>
            </w:tcBorders>
            <w:shd w:val="clear" w:color="auto" w:fill="FFFFFF"/>
            <w:tcMar>
              <w:top w:w="70" w:type="dxa"/>
              <w:left w:w="90" w:type="dxa"/>
              <w:bottom w:w="70" w:type="dxa"/>
              <w:right w:w="90" w:type="dxa"/>
            </w:tcMar>
            <w:vAlign w:val="center"/>
          </w:tcPr>
          <w:p w14:paraId="5B1AEB5D" w14:textId="77777777" w:rsidR="00B94E35" w:rsidRPr="00886BA6" w:rsidRDefault="00000000">
            <w:pPr>
              <w:spacing w:after="0" w:line="240" w:lineRule="auto"/>
              <w:jc w:val="center"/>
              <w:rPr>
                <w:sz w:val="16"/>
                <w:szCs w:val="16"/>
              </w:rPr>
            </w:pPr>
            <w:r w:rsidRPr="00886BA6">
              <w:rPr>
                <w:color w:val="000000"/>
                <w:sz w:val="16"/>
                <w:szCs w:val="16"/>
              </w:rPr>
              <w:t>Treatment-linked operational candidate</w:t>
            </w:r>
          </w:p>
        </w:tc>
        <w:tc>
          <w:tcPr>
            <w:tcW w:w="2551" w:type="dxa"/>
            <w:tcBorders>
              <w:top w:val="nil"/>
              <w:left w:val="nil"/>
              <w:bottom w:val="nil"/>
              <w:right w:val="nil"/>
            </w:tcBorders>
            <w:shd w:val="clear" w:color="auto" w:fill="FFFFFF"/>
            <w:tcMar>
              <w:top w:w="70" w:type="dxa"/>
              <w:left w:w="90" w:type="dxa"/>
              <w:bottom w:w="70" w:type="dxa"/>
              <w:right w:w="90" w:type="dxa"/>
            </w:tcMar>
            <w:vAlign w:val="center"/>
          </w:tcPr>
          <w:p w14:paraId="32C446BF" w14:textId="77777777" w:rsidR="00B94E35" w:rsidRPr="00886BA6" w:rsidRDefault="00000000">
            <w:pPr>
              <w:spacing w:after="0" w:line="240" w:lineRule="auto"/>
              <w:jc w:val="center"/>
              <w:rPr>
                <w:sz w:val="16"/>
                <w:szCs w:val="16"/>
              </w:rPr>
            </w:pPr>
            <w:r w:rsidRPr="00886BA6">
              <w:rPr>
                <w:color w:val="000000"/>
                <w:sz w:val="16"/>
                <w:szCs w:val="16"/>
              </w:rPr>
              <w:t>ALK plus qualifying change</w:t>
            </w:r>
          </w:p>
        </w:tc>
        <w:tc>
          <w:tcPr>
            <w:tcW w:w="2127" w:type="dxa"/>
            <w:tcBorders>
              <w:top w:val="nil"/>
              <w:left w:val="nil"/>
              <w:bottom w:val="nil"/>
              <w:right w:val="nil"/>
            </w:tcBorders>
            <w:shd w:val="clear" w:color="auto" w:fill="FFFFFF"/>
            <w:tcMar>
              <w:top w:w="70" w:type="dxa"/>
              <w:left w:w="90" w:type="dxa"/>
              <w:bottom w:w="70" w:type="dxa"/>
              <w:right w:w="90" w:type="dxa"/>
            </w:tcMar>
            <w:vAlign w:val="center"/>
          </w:tcPr>
          <w:p w14:paraId="2EDADFCF" w14:textId="77777777" w:rsidR="00B94E35" w:rsidRPr="00886BA6" w:rsidRDefault="00000000">
            <w:pPr>
              <w:spacing w:after="0" w:line="240" w:lineRule="auto"/>
              <w:jc w:val="center"/>
              <w:rPr>
                <w:sz w:val="16"/>
                <w:szCs w:val="16"/>
              </w:rPr>
            </w:pPr>
            <w:r w:rsidRPr="00886BA6">
              <w:rPr>
                <w:color w:val="000000"/>
                <w:sz w:val="16"/>
                <w:szCs w:val="16"/>
              </w:rPr>
              <w:t>Other gene/change</w:t>
            </w:r>
          </w:p>
        </w:tc>
        <w:tc>
          <w:tcPr>
            <w:tcW w:w="1328" w:type="dxa"/>
            <w:tcBorders>
              <w:top w:val="nil"/>
              <w:left w:val="nil"/>
              <w:bottom w:val="nil"/>
              <w:right w:val="nil"/>
            </w:tcBorders>
            <w:shd w:val="clear" w:color="auto" w:fill="FFFFFF"/>
            <w:tcMar>
              <w:top w:w="70" w:type="dxa"/>
              <w:left w:w="90" w:type="dxa"/>
              <w:bottom w:w="70" w:type="dxa"/>
              <w:right w:w="90" w:type="dxa"/>
            </w:tcMar>
            <w:vAlign w:val="center"/>
          </w:tcPr>
          <w:p w14:paraId="1DC8DA8C" w14:textId="77777777" w:rsidR="00B94E35" w:rsidRPr="00886BA6" w:rsidRDefault="00000000">
            <w:pPr>
              <w:spacing w:after="0" w:line="240" w:lineRule="auto"/>
              <w:jc w:val="center"/>
              <w:rPr>
                <w:sz w:val="16"/>
                <w:szCs w:val="16"/>
              </w:rPr>
            </w:pPr>
            <w:r w:rsidRPr="00886BA6">
              <w:rPr>
                <w:color w:val="000000"/>
                <w:sz w:val="16"/>
                <w:szCs w:val="16"/>
              </w:rPr>
              <w:t>Rearrangement-n marker/change</w:t>
            </w:r>
          </w:p>
        </w:tc>
        <w:tc>
          <w:tcPr>
            <w:tcW w:w="1011" w:type="dxa"/>
            <w:tcBorders>
              <w:top w:val="nil"/>
              <w:left w:val="nil"/>
              <w:bottom w:val="nil"/>
              <w:right w:val="nil"/>
            </w:tcBorders>
            <w:shd w:val="clear" w:color="auto" w:fill="FFFFFF"/>
            <w:tcMar>
              <w:top w:w="70" w:type="dxa"/>
              <w:left w:w="90" w:type="dxa"/>
              <w:bottom w:w="70" w:type="dxa"/>
              <w:right w:w="90" w:type="dxa"/>
            </w:tcMar>
            <w:vAlign w:val="center"/>
          </w:tcPr>
          <w:p w14:paraId="3D74F83D" w14:textId="77777777" w:rsidR="00B94E35" w:rsidRPr="00886BA6" w:rsidRDefault="00000000">
            <w:pPr>
              <w:spacing w:after="0" w:line="240" w:lineRule="auto"/>
              <w:jc w:val="center"/>
              <w:rPr>
                <w:sz w:val="16"/>
                <w:szCs w:val="16"/>
              </w:rPr>
            </w:pPr>
            <w:r w:rsidRPr="00886BA6">
              <w:rPr>
                <w:color w:val="000000"/>
                <w:sz w:val="16"/>
                <w:szCs w:val="16"/>
              </w:rPr>
              <w:t>Available</w:t>
            </w:r>
          </w:p>
        </w:tc>
        <w:tc>
          <w:tcPr>
            <w:tcW w:w="1334" w:type="dxa"/>
            <w:tcBorders>
              <w:top w:val="nil"/>
              <w:left w:val="nil"/>
              <w:bottom w:val="nil"/>
              <w:right w:val="nil"/>
            </w:tcBorders>
            <w:shd w:val="clear" w:color="auto" w:fill="FFFFFF"/>
            <w:tcMar>
              <w:top w:w="70" w:type="dxa"/>
              <w:left w:w="90" w:type="dxa"/>
              <w:bottom w:w="70" w:type="dxa"/>
              <w:right w:w="90" w:type="dxa"/>
            </w:tcMar>
            <w:vAlign w:val="center"/>
          </w:tcPr>
          <w:p w14:paraId="4B640BA9" w14:textId="77777777" w:rsidR="00B94E35" w:rsidRPr="00886BA6" w:rsidRDefault="00000000">
            <w:pPr>
              <w:spacing w:after="0" w:line="240" w:lineRule="auto"/>
              <w:jc w:val="center"/>
              <w:rPr>
                <w:sz w:val="16"/>
                <w:szCs w:val="16"/>
              </w:rPr>
            </w:pPr>
            <w:r w:rsidRPr="00886BA6">
              <w:rPr>
                <w:color w:val="000000"/>
                <w:sz w:val="16"/>
                <w:szCs w:val="16"/>
              </w:rPr>
              <w:t>Operational mapping applied</w:t>
            </w:r>
          </w:p>
        </w:tc>
        <w:tc>
          <w:tcPr>
            <w:tcW w:w="1855" w:type="dxa"/>
            <w:tcBorders>
              <w:top w:val="nil"/>
              <w:left w:val="nil"/>
              <w:bottom w:val="nil"/>
              <w:right w:val="nil"/>
            </w:tcBorders>
            <w:shd w:val="clear" w:color="auto" w:fill="FFFFFF"/>
            <w:tcMar>
              <w:top w:w="70" w:type="dxa"/>
              <w:left w:w="90" w:type="dxa"/>
              <w:bottom w:w="70" w:type="dxa"/>
              <w:right w:w="90" w:type="dxa"/>
            </w:tcMar>
            <w:vAlign w:val="center"/>
          </w:tcPr>
          <w:p w14:paraId="58202185" w14:textId="77777777" w:rsidR="00B94E35" w:rsidRPr="00886BA6" w:rsidRDefault="00000000">
            <w:pPr>
              <w:spacing w:after="0" w:line="240" w:lineRule="auto"/>
              <w:jc w:val="center"/>
              <w:rPr>
                <w:sz w:val="16"/>
                <w:szCs w:val="16"/>
              </w:rPr>
            </w:pPr>
            <w:r w:rsidRPr="00886BA6">
              <w:rPr>
                <w:color w:val="000000"/>
                <w:sz w:val="16"/>
                <w:szCs w:val="16"/>
              </w:rPr>
              <w:t>Gene substring plus allowed change</w:t>
            </w:r>
          </w:p>
        </w:tc>
        <w:tc>
          <w:tcPr>
            <w:tcW w:w="1938" w:type="dxa"/>
            <w:tcBorders>
              <w:top w:val="nil"/>
              <w:left w:val="nil"/>
              <w:bottom w:val="nil"/>
              <w:right w:val="nil"/>
            </w:tcBorders>
            <w:shd w:val="clear" w:color="auto" w:fill="FFFFFF"/>
            <w:tcMar>
              <w:top w:w="70" w:type="dxa"/>
              <w:left w:w="90" w:type="dxa"/>
              <w:bottom w:w="70" w:type="dxa"/>
              <w:right w:w="90" w:type="dxa"/>
            </w:tcMar>
            <w:vAlign w:val="center"/>
          </w:tcPr>
          <w:p w14:paraId="63B2BDF6" w14:textId="77777777" w:rsidR="00B94E35" w:rsidRPr="00886BA6" w:rsidRDefault="00000000">
            <w:pPr>
              <w:spacing w:after="0" w:line="240" w:lineRule="auto"/>
              <w:jc w:val="center"/>
              <w:rPr>
                <w:sz w:val="16"/>
                <w:szCs w:val="16"/>
              </w:rPr>
            </w:pPr>
            <w:r w:rsidRPr="00886BA6">
              <w:rPr>
                <w:color w:val="000000"/>
                <w:sz w:val="16"/>
                <w:szCs w:val="16"/>
              </w:rPr>
              <w:t>Patient-level union</w:t>
            </w:r>
          </w:p>
        </w:tc>
      </w:tr>
      <w:tr w:rsidR="00B94E35" w14:paraId="39FB230B" w14:textId="77777777" w:rsidTr="00886BA6">
        <w:trPr>
          <w:cantSplit/>
          <w:jc w:val="center"/>
        </w:trPr>
        <w:tc>
          <w:tcPr>
            <w:tcW w:w="1701"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1F302BC7" w14:textId="77777777" w:rsidR="00B94E35" w:rsidRPr="00886BA6" w:rsidRDefault="00000000">
            <w:pPr>
              <w:spacing w:after="0" w:line="240" w:lineRule="auto"/>
              <w:rPr>
                <w:sz w:val="16"/>
                <w:szCs w:val="16"/>
              </w:rPr>
            </w:pPr>
            <w:r w:rsidRPr="00886BA6">
              <w:rPr>
                <w:color w:val="000000"/>
                <w:sz w:val="16"/>
                <w:szCs w:val="16"/>
              </w:rPr>
              <w:t>Exact BRAF V600E</w:t>
            </w:r>
          </w:p>
        </w:tc>
        <w:tc>
          <w:tcPr>
            <w:tcW w:w="1985"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160C41EB" w14:textId="77777777" w:rsidR="00B94E35" w:rsidRPr="00886BA6" w:rsidRDefault="00000000">
            <w:pPr>
              <w:spacing w:after="0" w:line="240" w:lineRule="auto"/>
              <w:jc w:val="center"/>
              <w:rPr>
                <w:sz w:val="16"/>
                <w:szCs w:val="16"/>
              </w:rPr>
            </w:pPr>
            <w:r w:rsidRPr="00886BA6">
              <w:rPr>
                <w:color w:val="000000"/>
                <w:sz w:val="16"/>
                <w:szCs w:val="16"/>
              </w:rPr>
              <w:t>Direct colorectal cancer treatment link</w:t>
            </w:r>
          </w:p>
        </w:tc>
        <w:tc>
          <w:tcPr>
            <w:tcW w:w="2551"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6F4998EE" w14:textId="77777777" w:rsidR="00B94E35" w:rsidRPr="00886BA6" w:rsidRDefault="00000000">
            <w:pPr>
              <w:spacing w:after="0" w:line="240" w:lineRule="auto"/>
              <w:jc w:val="center"/>
              <w:rPr>
                <w:sz w:val="16"/>
                <w:szCs w:val="16"/>
              </w:rPr>
            </w:pPr>
            <w:r w:rsidRPr="00886BA6">
              <w:rPr>
                <w:color w:val="000000"/>
                <w:sz w:val="16"/>
                <w:szCs w:val="16"/>
              </w:rPr>
              <w:t>Normalized change contains exact V600E</w:t>
            </w:r>
          </w:p>
        </w:tc>
        <w:tc>
          <w:tcPr>
            <w:tcW w:w="2127"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757CC404" w14:textId="77777777" w:rsidR="00B94E35" w:rsidRPr="00886BA6" w:rsidRDefault="00000000">
            <w:pPr>
              <w:spacing w:after="0" w:line="240" w:lineRule="auto"/>
              <w:jc w:val="center"/>
              <w:rPr>
                <w:sz w:val="16"/>
                <w:szCs w:val="16"/>
              </w:rPr>
            </w:pPr>
            <w:r w:rsidRPr="00886BA6">
              <w:rPr>
                <w:color w:val="000000"/>
                <w:sz w:val="16"/>
                <w:szCs w:val="16"/>
              </w:rPr>
              <w:t>Other BRAF changes</w:t>
            </w:r>
          </w:p>
        </w:tc>
        <w:tc>
          <w:tcPr>
            <w:tcW w:w="1328"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4E78BA53" w14:textId="77777777" w:rsidR="00B94E35" w:rsidRPr="00886BA6" w:rsidRDefault="00000000">
            <w:pPr>
              <w:spacing w:after="0" w:line="240" w:lineRule="auto"/>
              <w:jc w:val="center"/>
              <w:rPr>
                <w:sz w:val="16"/>
                <w:szCs w:val="16"/>
              </w:rPr>
            </w:pPr>
            <w:r w:rsidRPr="00886BA6">
              <w:rPr>
                <w:color w:val="000000"/>
                <w:sz w:val="16"/>
                <w:szCs w:val="16"/>
              </w:rPr>
              <w:t>BRAF-CHANGE</w:t>
            </w:r>
          </w:p>
        </w:tc>
        <w:tc>
          <w:tcPr>
            <w:tcW w:w="1011"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0890D926" w14:textId="77777777" w:rsidR="00B94E35" w:rsidRPr="00886BA6" w:rsidRDefault="00000000">
            <w:pPr>
              <w:spacing w:after="0" w:line="240" w:lineRule="auto"/>
              <w:jc w:val="center"/>
              <w:rPr>
                <w:sz w:val="16"/>
                <w:szCs w:val="16"/>
              </w:rPr>
            </w:pPr>
            <w:r w:rsidRPr="00886BA6">
              <w:rPr>
                <w:color w:val="000000"/>
                <w:sz w:val="16"/>
                <w:szCs w:val="16"/>
              </w:rPr>
              <w:t>Available</w:t>
            </w:r>
          </w:p>
        </w:tc>
        <w:tc>
          <w:tcPr>
            <w:tcW w:w="1334"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37E735DC" w14:textId="77777777" w:rsidR="00B94E35" w:rsidRPr="00886BA6" w:rsidRDefault="00000000">
            <w:pPr>
              <w:spacing w:after="0" w:line="240" w:lineRule="auto"/>
              <w:jc w:val="center"/>
              <w:rPr>
                <w:sz w:val="16"/>
                <w:szCs w:val="16"/>
              </w:rPr>
            </w:pPr>
            <w:r w:rsidRPr="00886BA6">
              <w:rPr>
                <w:color w:val="000000"/>
                <w:sz w:val="16"/>
                <w:szCs w:val="16"/>
              </w:rPr>
              <w:t>Operational mapping applied</w:t>
            </w:r>
          </w:p>
        </w:tc>
        <w:tc>
          <w:tcPr>
            <w:tcW w:w="1855"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3C0A1575" w14:textId="77777777" w:rsidR="00B94E35" w:rsidRPr="00886BA6" w:rsidRDefault="00000000">
            <w:pPr>
              <w:spacing w:after="0" w:line="240" w:lineRule="auto"/>
              <w:jc w:val="center"/>
              <w:rPr>
                <w:sz w:val="16"/>
                <w:szCs w:val="16"/>
              </w:rPr>
            </w:pPr>
            <w:r w:rsidRPr="00886BA6">
              <w:rPr>
                <w:color w:val="000000"/>
                <w:sz w:val="16"/>
                <w:szCs w:val="16"/>
              </w:rPr>
              <w:t>Validated normalization and exact identification</w:t>
            </w:r>
          </w:p>
        </w:tc>
        <w:tc>
          <w:tcPr>
            <w:tcW w:w="1938"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69E60FDB" w14:textId="77777777" w:rsidR="00B94E35" w:rsidRPr="00886BA6" w:rsidRDefault="00000000">
            <w:pPr>
              <w:spacing w:after="0" w:line="240" w:lineRule="auto"/>
              <w:jc w:val="center"/>
              <w:rPr>
                <w:sz w:val="16"/>
                <w:szCs w:val="16"/>
              </w:rPr>
            </w:pPr>
            <w:r w:rsidRPr="00886BA6">
              <w:rPr>
                <w:color w:val="000000"/>
                <w:sz w:val="16"/>
                <w:szCs w:val="16"/>
              </w:rPr>
              <w:t>Not wholly tumor agnostic</w:t>
            </w:r>
          </w:p>
        </w:tc>
      </w:tr>
    </w:tbl>
    <w:p w14:paraId="727C38B5" w14:textId="77777777" w:rsidR="00B94E35" w:rsidRPr="00886BA6" w:rsidRDefault="00000000">
      <w:pPr>
        <w:spacing w:before="40" w:after="40"/>
        <w:rPr>
          <w:sz w:val="24"/>
          <w:szCs w:val="24"/>
        </w:rPr>
      </w:pPr>
      <w:r w:rsidRPr="00886BA6">
        <w:rPr>
          <w:color w:val="000000"/>
          <w:sz w:val="24"/>
          <w:szCs w:val="24"/>
        </w:rPr>
        <w:t>G360 TMB was data-layer unavailable during the study period; blank fields were not classified as negative, TMB-low, or 0% TMB-H positivity. F1L, FoundationOne Liquid CDx; G360, Guardant360 CDx.</w:t>
      </w:r>
    </w:p>
    <w:p w14:paraId="1E6F0A52" w14:textId="77777777" w:rsidR="009123C4" w:rsidRDefault="009123C4" w:rsidP="009123C4">
      <w:pPr>
        <w:rPr>
          <w:lang w:eastAsia="ja-JP"/>
        </w:rPr>
      </w:pPr>
    </w:p>
    <w:p w14:paraId="7EA004CC" w14:textId="401BEBB6" w:rsidR="00B94E35" w:rsidRPr="009123C4" w:rsidRDefault="00000000" w:rsidP="009123C4">
      <w:r w:rsidRPr="00886BA6">
        <w:rPr>
          <w:b/>
          <w:color w:val="000000"/>
          <w:sz w:val="24"/>
          <w:szCs w:val="24"/>
        </w:rPr>
        <w:t>Supplementary Table S2. Candidate-level operational counts and six-candidate supportive outcome counts</w:t>
      </w:r>
    </w:p>
    <w:tbl>
      <w:tblPr>
        <w:tblW w:w="15830" w:type="dxa"/>
        <w:jc w:val="center"/>
        <w:tblLayout w:type="fixed"/>
        <w:tblLook w:val="04A0" w:firstRow="1" w:lastRow="0" w:firstColumn="1" w:lastColumn="0" w:noHBand="0" w:noVBand="1"/>
      </w:tblPr>
      <w:tblGrid>
        <w:gridCol w:w="4387"/>
        <w:gridCol w:w="1907"/>
        <w:gridCol w:w="2861"/>
        <w:gridCol w:w="3242"/>
        <w:gridCol w:w="3433"/>
      </w:tblGrid>
      <w:tr w:rsidR="00B94E35" w14:paraId="27F41F1B" w14:textId="77777777">
        <w:trPr>
          <w:cantSplit/>
          <w:tblHeader/>
          <w:jc w:val="center"/>
        </w:trPr>
        <w:tc>
          <w:tcPr>
            <w:tcW w:w="4387"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5BE4F228" w14:textId="77777777" w:rsidR="00B94E35" w:rsidRPr="00886BA6" w:rsidRDefault="00000000">
            <w:pPr>
              <w:spacing w:after="0" w:line="240" w:lineRule="auto"/>
              <w:rPr>
                <w:sz w:val="16"/>
                <w:szCs w:val="16"/>
              </w:rPr>
            </w:pPr>
            <w:r w:rsidRPr="00886BA6">
              <w:rPr>
                <w:b/>
                <w:color w:val="000000"/>
                <w:sz w:val="16"/>
                <w:szCs w:val="16"/>
              </w:rPr>
              <w:t>Item</w:t>
            </w:r>
          </w:p>
        </w:tc>
        <w:tc>
          <w:tcPr>
            <w:tcW w:w="1907"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792ABF85" w14:textId="77777777" w:rsidR="00B94E35" w:rsidRPr="00886BA6" w:rsidRDefault="00000000">
            <w:pPr>
              <w:spacing w:after="0" w:line="240" w:lineRule="auto"/>
              <w:jc w:val="center"/>
              <w:rPr>
                <w:sz w:val="16"/>
                <w:szCs w:val="16"/>
              </w:rPr>
            </w:pPr>
            <w:r w:rsidRPr="00886BA6">
              <w:rPr>
                <w:b/>
                <w:color w:val="000000"/>
                <w:sz w:val="16"/>
                <w:szCs w:val="16"/>
              </w:rPr>
              <w:t>F1L count</w:t>
            </w:r>
          </w:p>
        </w:tc>
        <w:tc>
          <w:tcPr>
            <w:tcW w:w="2861"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78024D18" w14:textId="77777777" w:rsidR="00B94E35" w:rsidRPr="00886BA6" w:rsidRDefault="00000000">
            <w:pPr>
              <w:spacing w:after="0" w:line="240" w:lineRule="auto"/>
              <w:jc w:val="center"/>
              <w:rPr>
                <w:sz w:val="16"/>
                <w:szCs w:val="16"/>
              </w:rPr>
            </w:pPr>
            <w:r w:rsidRPr="00886BA6">
              <w:rPr>
                <w:b/>
                <w:color w:val="000000"/>
                <w:sz w:val="16"/>
                <w:szCs w:val="16"/>
              </w:rPr>
              <w:t>G360 count / state</w:t>
            </w:r>
          </w:p>
        </w:tc>
        <w:tc>
          <w:tcPr>
            <w:tcW w:w="3242"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0B54949F" w14:textId="77777777" w:rsidR="00B94E35" w:rsidRPr="00886BA6" w:rsidRDefault="00000000">
            <w:pPr>
              <w:spacing w:after="0" w:line="240" w:lineRule="auto"/>
              <w:jc w:val="center"/>
              <w:rPr>
                <w:sz w:val="16"/>
                <w:szCs w:val="16"/>
              </w:rPr>
            </w:pPr>
            <w:r w:rsidRPr="00886BA6">
              <w:rPr>
                <w:b/>
                <w:color w:val="000000"/>
                <w:sz w:val="16"/>
                <w:szCs w:val="16"/>
              </w:rPr>
              <w:t>Population / denominator</w:t>
            </w:r>
          </w:p>
        </w:tc>
        <w:tc>
          <w:tcPr>
            <w:tcW w:w="3433" w:type="dxa"/>
            <w:tcBorders>
              <w:top w:val="single" w:sz="8" w:space="0" w:color="000000"/>
              <w:left w:val="nil"/>
              <w:bottom w:val="single" w:sz="8" w:space="0" w:color="000000"/>
              <w:right w:val="nil"/>
            </w:tcBorders>
            <w:shd w:val="clear" w:color="auto" w:fill="FFFFFF"/>
            <w:tcMar>
              <w:top w:w="70" w:type="dxa"/>
              <w:left w:w="90" w:type="dxa"/>
              <w:bottom w:w="70" w:type="dxa"/>
              <w:right w:w="90" w:type="dxa"/>
            </w:tcMar>
            <w:vAlign w:val="center"/>
          </w:tcPr>
          <w:p w14:paraId="46D657D3" w14:textId="77777777" w:rsidR="00B94E35" w:rsidRPr="00886BA6" w:rsidRDefault="00000000">
            <w:pPr>
              <w:spacing w:after="0" w:line="240" w:lineRule="auto"/>
              <w:jc w:val="center"/>
              <w:rPr>
                <w:sz w:val="16"/>
                <w:szCs w:val="16"/>
              </w:rPr>
            </w:pPr>
            <w:r w:rsidRPr="00886BA6">
              <w:rPr>
                <w:b/>
                <w:color w:val="000000"/>
                <w:sz w:val="16"/>
                <w:szCs w:val="16"/>
              </w:rPr>
              <w:t>Notes</w:t>
            </w:r>
          </w:p>
        </w:tc>
      </w:tr>
      <w:tr w:rsidR="00B94E35" w14:paraId="7085A790" w14:textId="77777777">
        <w:trPr>
          <w:cantSplit/>
          <w:jc w:val="center"/>
        </w:trPr>
        <w:tc>
          <w:tcPr>
            <w:tcW w:w="4387" w:type="dxa"/>
            <w:tcBorders>
              <w:top w:val="nil"/>
              <w:left w:val="nil"/>
              <w:bottom w:val="nil"/>
              <w:right w:val="nil"/>
            </w:tcBorders>
            <w:shd w:val="clear" w:color="auto" w:fill="FFFFFF"/>
            <w:tcMar>
              <w:top w:w="70" w:type="dxa"/>
              <w:left w:w="90" w:type="dxa"/>
              <w:bottom w:w="70" w:type="dxa"/>
              <w:right w:w="90" w:type="dxa"/>
            </w:tcMar>
            <w:vAlign w:val="center"/>
          </w:tcPr>
          <w:p w14:paraId="5B5A2666" w14:textId="77777777" w:rsidR="00B94E35" w:rsidRPr="00886BA6" w:rsidRDefault="00000000">
            <w:pPr>
              <w:spacing w:after="0" w:line="240" w:lineRule="auto"/>
              <w:rPr>
                <w:sz w:val="16"/>
                <w:szCs w:val="16"/>
              </w:rPr>
            </w:pPr>
            <w:r w:rsidRPr="00886BA6">
              <w:rPr>
                <w:color w:val="000000"/>
                <w:sz w:val="16"/>
                <w:szCs w:val="16"/>
              </w:rPr>
              <w:t>MSI high or equivocal</w:t>
            </w:r>
          </w:p>
        </w:tc>
        <w:tc>
          <w:tcPr>
            <w:tcW w:w="1907" w:type="dxa"/>
            <w:tcBorders>
              <w:top w:val="nil"/>
              <w:left w:val="nil"/>
              <w:bottom w:val="nil"/>
              <w:right w:val="nil"/>
            </w:tcBorders>
            <w:shd w:val="clear" w:color="auto" w:fill="FFFFFF"/>
            <w:tcMar>
              <w:top w:w="70" w:type="dxa"/>
              <w:left w:w="90" w:type="dxa"/>
              <w:bottom w:w="70" w:type="dxa"/>
              <w:right w:w="90" w:type="dxa"/>
            </w:tcMar>
            <w:vAlign w:val="center"/>
          </w:tcPr>
          <w:p w14:paraId="2C7FFDDC" w14:textId="77777777" w:rsidR="00B94E35" w:rsidRPr="00886BA6" w:rsidRDefault="00000000">
            <w:pPr>
              <w:spacing w:after="0" w:line="240" w:lineRule="auto"/>
              <w:jc w:val="center"/>
              <w:rPr>
                <w:sz w:val="16"/>
                <w:szCs w:val="16"/>
              </w:rPr>
            </w:pPr>
            <w:r w:rsidRPr="00886BA6">
              <w:rPr>
                <w:color w:val="000000"/>
                <w:sz w:val="16"/>
                <w:szCs w:val="16"/>
              </w:rPr>
              <w:t>125</w:t>
            </w:r>
          </w:p>
        </w:tc>
        <w:tc>
          <w:tcPr>
            <w:tcW w:w="2861" w:type="dxa"/>
            <w:tcBorders>
              <w:top w:val="nil"/>
              <w:left w:val="nil"/>
              <w:bottom w:val="nil"/>
              <w:right w:val="nil"/>
            </w:tcBorders>
            <w:shd w:val="clear" w:color="auto" w:fill="FFFFFF"/>
            <w:tcMar>
              <w:top w:w="70" w:type="dxa"/>
              <w:left w:w="90" w:type="dxa"/>
              <w:bottom w:w="70" w:type="dxa"/>
              <w:right w:w="90" w:type="dxa"/>
            </w:tcMar>
            <w:vAlign w:val="center"/>
          </w:tcPr>
          <w:p w14:paraId="453A9C7D" w14:textId="77777777" w:rsidR="00B94E35" w:rsidRPr="00886BA6" w:rsidRDefault="00000000">
            <w:pPr>
              <w:spacing w:after="0" w:line="240" w:lineRule="auto"/>
              <w:jc w:val="center"/>
              <w:rPr>
                <w:sz w:val="16"/>
                <w:szCs w:val="16"/>
              </w:rPr>
            </w:pPr>
            <w:r w:rsidRPr="00886BA6">
              <w:rPr>
                <w:color w:val="000000"/>
                <w:sz w:val="16"/>
                <w:szCs w:val="16"/>
              </w:rPr>
              <w:t>21</w:t>
            </w:r>
          </w:p>
        </w:tc>
        <w:tc>
          <w:tcPr>
            <w:tcW w:w="3242" w:type="dxa"/>
            <w:tcBorders>
              <w:top w:val="nil"/>
              <w:left w:val="nil"/>
              <w:bottom w:val="nil"/>
              <w:right w:val="nil"/>
            </w:tcBorders>
            <w:shd w:val="clear" w:color="auto" w:fill="FFFFFF"/>
            <w:tcMar>
              <w:top w:w="70" w:type="dxa"/>
              <w:left w:w="90" w:type="dxa"/>
              <w:bottom w:w="70" w:type="dxa"/>
              <w:right w:w="90" w:type="dxa"/>
            </w:tcMar>
            <w:vAlign w:val="center"/>
          </w:tcPr>
          <w:p w14:paraId="749250C2" w14:textId="77777777" w:rsidR="00B94E35" w:rsidRPr="00886BA6" w:rsidRDefault="00000000">
            <w:pPr>
              <w:spacing w:after="0" w:line="240" w:lineRule="auto"/>
              <w:jc w:val="center"/>
              <w:rPr>
                <w:sz w:val="16"/>
                <w:szCs w:val="16"/>
              </w:rPr>
            </w:pPr>
            <w:r w:rsidRPr="00886BA6">
              <w:rPr>
                <w:color w:val="000000"/>
                <w:sz w:val="16"/>
                <w:szCs w:val="16"/>
              </w:rPr>
              <w:t>Platform cohort</w:t>
            </w:r>
          </w:p>
        </w:tc>
        <w:tc>
          <w:tcPr>
            <w:tcW w:w="3433" w:type="dxa"/>
            <w:tcBorders>
              <w:top w:val="nil"/>
              <w:left w:val="nil"/>
              <w:bottom w:val="nil"/>
              <w:right w:val="nil"/>
            </w:tcBorders>
            <w:shd w:val="clear" w:color="auto" w:fill="FFFFFF"/>
            <w:tcMar>
              <w:top w:w="70" w:type="dxa"/>
              <w:left w:w="90" w:type="dxa"/>
              <w:bottom w:w="70" w:type="dxa"/>
              <w:right w:w="90" w:type="dxa"/>
            </w:tcMar>
            <w:vAlign w:val="center"/>
          </w:tcPr>
          <w:p w14:paraId="2C310B27" w14:textId="77777777" w:rsidR="00B94E35" w:rsidRPr="00886BA6" w:rsidRDefault="00000000">
            <w:pPr>
              <w:spacing w:after="0" w:line="240" w:lineRule="auto"/>
              <w:jc w:val="center"/>
              <w:rPr>
                <w:sz w:val="16"/>
                <w:szCs w:val="16"/>
              </w:rPr>
            </w:pPr>
            <w:r w:rsidRPr="00886BA6">
              <w:rPr>
                <w:color w:val="000000"/>
                <w:sz w:val="16"/>
                <w:szCs w:val="16"/>
              </w:rPr>
              <w:t>Qualifying operational state</w:t>
            </w:r>
          </w:p>
        </w:tc>
      </w:tr>
      <w:tr w:rsidR="00B94E35" w14:paraId="42865DFB" w14:textId="77777777">
        <w:trPr>
          <w:cantSplit/>
          <w:jc w:val="center"/>
        </w:trPr>
        <w:tc>
          <w:tcPr>
            <w:tcW w:w="4387" w:type="dxa"/>
            <w:tcBorders>
              <w:top w:val="nil"/>
              <w:left w:val="nil"/>
              <w:bottom w:val="nil"/>
              <w:right w:val="nil"/>
            </w:tcBorders>
            <w:shd w:val="clear" w:color="auto" w:fill="FFFFFF"/>
            <w:tcMar>
              <w:top w:w="70" w:type="dxa"/>
              <w:left w:w="90" w:type="dxa"/>
              <w:bottom w:w="70" w:type="dxa"/>
              <w:right w:w="90" w:type="dxa"/>
            </w:tcMar>
            <w:vAlign w:val="center"/>
          </w:tcPr>
          <w:p w14:paraId="527A3BB1" w14:textId="77777777" w:rsidR="00B94E35" w:rsidRPr="00886BA6" w:rsidRDefault="00000000">
            <w:pPr>
              <w:spacing w:after="0" w:line="240" w:lineRule="auto"/>
              <w:rPr>
                <w:sz w:val="16"/>
                <w:szCs w:val="16"/>
              </w:rPr>
            </w:pPr>
            <w:r w:rsidRPr="00886BA6">
              <w:rPr>
                <w:color w:val="000000"/>
                <w:sz w:val="16"/>
                <w:szCs w:val="16"/>
              </w:rPr>
              <w:t>TMB-H</w:t>
            </w:r>
          </w:p>
        </w:tc>
        <w:tc>
          <w:tcPr>
            <w:tcW w:w="1907" w:type="dxa"/>
            <w:tcBorders>
              <w:top w:val="nil"/>
              <w:left w:val="nil"/>
              <w:bottom w:val="nil"/>
              <w:right w:val="nil"/>
            </w:tcBorders>
            <w:shd w:val="clear" w:color="auto" w:fill="FFFFFF"/>
            <w:tcMar>
              <w:top w:w="70" w:type="dxa"/>
              <w:left w:w="90" w:type="dxa"/>
              <w:bottom w:w="70" w:type="dxa"/>
              <w:right w:w="90" w:type="dxa"/>
            </w:tcMar>
            <w:vAlign w:val="center"/>
          </w:tcPr>
          <w:p w14:paraId="3650E339" w14:textId="77777777" w:rsidR="00B94E35" w:rsidRPr="00886BA6" w:rsidRDefault="00000000">
            <w:pPr>
              <w:spacing w:after="0" w:line="240" w:lineRule="auto"/>
              <w:jc w:val="center"/>
              <w:rPr>
                <w:sz w:val="16"/>
                <w:szCs w:val="16"/>
              </w:rPr>
            </w:pPr>
            <w:r w:rsidRPr="00886BA6">
              <w:rPr>
                <w:color w:val="000000"/>
                <w:sz w:val="16"/>
                <w:szCs w:val="16"/>
              </w:rPr>
              <w:t>1,681</w:t>
            </w:r>
          </w:p>
        </w:tc>
        <w:tc>
          <w:tcPr>
            <w:tcW w:w="2861" w:type="dxa"/>
            <w:tcBorders>
              <w:top w:val="nil"/>
              <w:left w:val="nil"/>
              <w:bottom w:val="nil"/>
              <w:right w:val="nil"/>
            </w:tcBorders>
            <w:shd w:val="clear" w:color="auto" w:fill="FFFFFF"/>
            <w:tcMar>
              <w:top w:w="70" w:type="dxa"/>
              <w:left w:w="90" w:type="dxa"/>
              <w:bottom w:w="70" w:type="dxa"/>
              <w:right w:w="90" w:type="dxa"/>
            </w:tcMar>
            <w:vAlign w:val="center"/>
          </w:tcPr>
          <w:p w14:paraId="5829C717" w14:textId="77777777" w:rsidR="00B94E35" w:rsidRPr="00886BA6" w:rsidRDefault="00000000">
            <w:pPr>
              <w:spacing w:after="0" w:line="240" w:lineRule="auto"/>
              <w:jc w:val="center"/>
              <w:rPr>
                <w:sz w:val="16"/>
                <w:szCs w:val="16"/>
              </w:rPr>
            </w:pPr>
            <w:r w:rsidRPr="00886BA6">
              <w:rPr>
                <w:color w:val="000000"/>
                <w:sz w:val="16"/>
                <w:szCs w:val="16"/>
              </w:rPr>
              <w:t>Data-layer unavailable</w:t>
            </w:r>
          </w:p>
        </w:tc>
        <w:tc>
          <w:tcPr>
            <w:tcW w:w="3242" w:type="dxa"/>
            <w:tcBorders>
              <w:top w:val="nil"/>
              <w:left w:val="nil"/>
              <w:bottom w:val="nil"/>
              <w:right w:val="nil"/>
            </w:tcBorders>
            <w:shd w:val="clear" w:color="auto" w:fill="FFFFFF"/>
            <w:tcMar>
              <w:top w:w="70" w:type="dxa"/>
              <w:left w:w="90" w:type="dxa"/>
              <w:bottom w:w="70" w:type="dxa"/>
              <w:right w:w="90" w:type="dxa"/>
            </w:tcMar>
            <w:vAlign w:val="center"/>
          </w:tcPr>
          <w:p w14:paraId="55C79ED6" w14:textId="77777777" w:rsidR="00B94E35" w:rsidRPr="00886BA6" w:rsidRDefault="00000000">
            <w:pPr>
              <w:spacing w:after="0" w:line="240" w:lineRule="auto"/>
              <w:jc w:val="center"/>
              <w:rPr>
                <w:sz w:val="16"/>
                <w:szCs w:val="16"/>
              </w:rPr>
            </w:pPr>
            <w:r w:rsidRPr="00886BA6">
              <w:rPr>
                <w:color w:val="000000"/>
                <w:sz w:val="16"/>
                <w:szCs w:val="16"/>
              </w:rPr>
              <w:t>Platform cohort</w:t>
            </w:r>
          </w:p>
        </w:tc>
        <w:tc>
          <w:tcPr>
            <w:tcW w:w="3433" w:type="dxa"/>
            <w:tcBorders>
              <w:top w:val="nil"/>
              <w:left w:val="nil"/>
              <w:bottom w:val="nil"/>
              <w:right w:val="nil"/>
            </w:tcBorders>
            <w:shd w:val="clear" w:color="auto" w:fill="FFFFFF"/>
            <w:tcMar>
              <w:top w:w="70" w:type="dxa"/>
              <w:left w:w="90" w:type="dxa"/>
              <w:bottom w:w="70" w:type="dxa"/>
              <w:right w:w="90" w:type="dxa"/>
            </w:tcMar>
            <w:vAlign w:val="center"/>
          </w:tcPr>
          <w:p w14:paraId="66255DA5" w14:textId="77777777" w:rsidR="00B94E35" w:rsidRPr="00886BA6" w:rsidRDefault="00000000">
            <w:pPr>
              <w:spacing w:after="0" w:line="240" w:lineRule="auto"/>
              <w:jc w:val="center"/>
              <w:rPr>
                <w:sz w:val="16"/>
                <w:szCs w:val="16"/>
              </w:rPr>
            </w:pPr>
            <w:r w:rsidRPr="00886BA6">
              <w:rPr>
                <w:color w:val="000000"/>
                <w:sz w:val="16"/>
                <w:szCs w:val="16"/>
              </w:rPr>
              <w:t>Underlying G360 TMB-H status unknown</w:t>
            </w:r>
          </w:p>
        </w:tc>
      </w:tr>
      <w:tr w:rsidR="00B94E35" w14:paraId="1B889A40" w14:textId="77777777">
        <w:trPr>
          <w:cantSplit/>
          <w:jc w:val="center"/>
        </w:trPr>
        <w:tc>
          <w:tcPr>
            <w:tcW w:w="4387" w:type="dxa"/>
            <w:tcBorders>
              <w:top w:val="nil"/>
              <w:left w:val="nil"/>
              <w:bottom w:val="nil"/>
              <w:right w:val="nil"/>
            </w:tcBorders>
            <w:shd w:val="clear" w:color="auto" w:fill="FFFFFF"/>
            <w:tcMar>
              <w:top w:w="70" w:type="dxa"/>
              <w:left w:w="90" w:type="dxa"/>
              <w:bottom w:w="70" w:type="dxa"/>
              <w:right w:w="90" w:type="dxa"/>
            </w:tcMar>
            <w:vAlign w:val="center"/>
          </w:tcPr>
          <w:p w14:paraId="37D03442" w14:textId="77777777" w:rsidR="00B94E35" w:rsidRPr="00886BA6" w:rsidRDefault="00000000">
            <w:pPr>
              <w:spacing w:after="0" w:line="240" w:lineRule="auto"/>
              <w:rPr>
                <w:sz w:val="16"/>
                <w:szCs w:val="16"/>
              </w:rPr>
            </w:pPr>
            <w:r w:rsidRPr="00886BA6">
              <w:rPr>
                <w:color w:val="000000"/>
                <w:sz w:val="16"/>
                <w:szCs w:val="16"/>
              </w:rPr>
              <w:t>NTRK1/2/3 fusion or rearrangement</w:t>
            </w:r>
          </w:p>
        </w:tc>
        <w:tc>
          <w:tcPr>
            <w:tcW w:w="1907" w:type="dxa"/>
            <w:tcBorders>
              <w:top w:val="nil"/>
              <w:left w:val="nil"/>
              <w:bottom w:val="nil"/>
              <w:right w:val="nil"/>
            </w:tcBorders>
            <w:shd w:val="clear" w:color="auto" w:fill="FFFFFF"/>
            <w:tcMar>
              <w:top w:w="70" w:type="dxa"/>
              <w:left w:w="90" w:type="dxa"/>
              <w:bottom w:w="70" w:type="dxa"/>
              <w:right w:w="90" w:type="dxa"/>
            </w:tcMar>
            <w:vAlign w:val="center"/>
          </w:tcPr>
          <w:p w14:paraId="4971AC28" w14:textId="77777777" w:rsidR="00B94E35" w:rsidRPr="00886BA6" w:rsidRDefault="00000000">
            <w:pPr>
              <w:spacing w:after="0" w:line="240" w:lineRule="auto"/>
              <w:jc w:val="center"/>
              <w:rPr>
                <w:sz w:val="16"/>
                <w:szCs w:val="16"/>
              </w:rPr>
            </w:pPr>
            <w:r w:rsidRPr="00886BA6">
              <w:rPr>
                <w:color w:val="000000"/>
                <w:sz w:val="16"/>
                <w:szCs w:val="16"/>
              </w:rPr>
              <w:t>57</w:t>
            </w:r>
          </w:p>
        </w:tc>
        <w:tc>
          <w:tcPr>
            <w:tcW w:w="2861" w:type="dxa"/>
            <w:tcBorders>
              <w:top w:val="nil"/>
              <w:left w:val="nil"/>
              <w:bottom w:val="nil"/>
              <w:right w:val="nil"/>
            </w:tcBorders>
            <w:shd w:val="clear" w:color="auto" w:fill="FFFFFF"/>
            <w:tcMar>
              <w:top w:w="70" w:type="dxa"/>
              <w:left w:w="90" w:type="dxa"/>
              <w:bottom w:w="70" w:type="dxa"/>
              <w:right w:w="90" w:type="dxa"/>
            </w:tcMar>
            <w:vAlign w:val="center"/>
          </w:tcPr>
          <w:p w14:paraId="28E64EC1" w14:textId="77777777" w:rsidR="00B94E35" w:rsidRPr="00886BA6" w:rsidRDefault="00000000">
            <w:pPr>
              <w:spacing w:after="0" w:line="240" w:lineRule="auto"/>
              <w:jc w:val="center"/>
              <w:rPr>
                <w:sz w:val="16"/>
                <w:szCs w:val="16"/>
              </w:rPr>
            </w:pPr>
            <w:r w:rsidRPr="00886BA6">
              <w:rPr>
                <w:color w:val="000000"/>
                <w:sz w:val="16"/>
                <w:szCs w:val="16"/>
              </w:rPr>
              <w:t>0</w:t>
            </w:r>
          </w:p>
        </w:tc>
        <w:tc>
          <w:tcPr>
            <w:tcW w:w="3242" w:type="dxa"/>
            <w:tcBorders>
              <w:top w:val="nil"/>
              <w:left w:val="nil"/>
              <w:bottom w:val="nil"/>
              <w:right w:val="nil"/>
            </w:tcBorders>
            <w:shd w:val="clear" w:color="auto" w:fill="FFFFFF"/>
            <w:tcMar>
              <w:top w:w="70" w:type="dxa"/>
              <w:left w:w="90" w:type="dxa"/>
              <w:bottom w:w="70" w:type="dxa"/>
              <w:right w:w="90" w:type="dxa"/>
            </w:tcMar>
            <w:vAlign w:val="center"/>
          </w:tcPr>
          <w:p w14:paraId="2667FBE3" w14:textId="77777777" w:rsidR="00B94E35" w:rsidRPr="00886BA6" w:rsidRDefault="00000000">
            <w:pPr>
              <w:spacing w:after="0" w:line="240" w:lineRule="auto"/>
              <w:jc w:val="center"/>
              <w:rPr>
                <w:sz w:val="16"/>
                <w:szCs w:val="16"/>
              </w:rPr>
            </w:pPr>
            <w:r w:rsidRPr="00886BA6">
              <w:rPr>
                <w:color w:val="000000"/>
                <w:sz w:val="16"/>
                <w:szCs w:val="16"/>
              </w:rPr>
              <w:t>Platform cohort</w:t>
            </w:r>
          </w:p>
        </w:tc>
        <w:tc>
          <w:tcPr>
            <w:tcW w:w="3433" w:type="dxa"/>
            <w:tcBorders>
              <w:top w:val="nil"/>
              <w:left w:val="nil"/>
              <w:bottom w:val="nil"/>
              <w:right w:val="nil"/>
            </w:tcBorders>
            <w:shd w:val="clear" w:color="auto" w:fill="FFFFFF"/>
            <w:tcMar>
              <w:top w:w="70" w:type="dxa"/>
              <w:left w:w="90" w:type="dxa"/>
              <w:bottom w:w="70" w:type="dxa"/>
              <w:right w:w="90" w:type="dxa"/>
            </w:tcMar>
            <w:vAlign w:val="center"/>
          </w:tcPr>
          <w:p w14:paraId="7E36E8A9" w14:textId="77777777" w:rsidR="00B94E35" w:rsidRPr="00886BA6" w:rsidRDefault="00000000">
            <w:pPr>
              <w:spacing w:after="0" w:line="240" w:lineRule="auto"/>
              <w:jc w:val="center"/>
              <w:rPr>
                <w:sz w:val="16"/>
                <w:szCs w:val="16"/>
              </w:rPr>
            </w:pPr>
            <w:r w:rsidRPr="00886BA6">
              <w:rPr>
                <w:color w:val="000000"/>
                <w:sz w:val="16"/>
                <w:szCs w:val="16"/>
              </w:rPr>
              <w:t>Observed operational count</w:t>
            </w:r>
          </w:p>
        </w:tc>
      </w:tr>
      <w:tr w:rsidR="00B94E35" w14:paraId="3E044A50" w14:textId="77777777">
        <w:trPr>
          <w:cantSplit/>
          <w:jc w:val="center"/>
        </w:trPr>
        <w:tc>
          <w:tcPr>
            <w:tcW w:w="4387" w:type="dxa"/>
            <w:tcBorders>
              <w:top w:val="nil"/>
              <w:left w:val="nil"/>
              <w:bottom w:val="nil"/>
              <w:right w:val="nil"/>
            </w:tcBorders>
            <w:shd w:val="clear" w:color="auto" w:fill="FFFFFF"/>
            <w:tcMar>
              <w:top w:w="70" w:type="dxa"/>
              <w:left w:w="90" w:type="dxa"/>
              <w:bottom w:w="70" w:type="dxa"/>
              <w:right w:w="90" w:type="dxa"/>
            </w:tcMar>
            <w:vAlign w:val="center"/>
          </w:tcPr>
          <w:p w14:paraId="629250A8" w14:textId="77777777" w:rsidR="00B94E35" w:rsidRPr="00886BA6" w:rsidRDefault="00000000">
            <w:pPr>
              <w:spacing w:after="0" w:line="240" w:lineRule="auto"/>
              <w:rPr>
                <w:sz w:val="16"/>
                <w:szCs w:val="16"/>
              </w:rPr>
            </w:pPr>
            <w:r w:rsidRPr="00886BA6">
              <w:rPr>
                <w:color w:val="000000"/>
                <w:sz w:val="16"/>
                <w:szCs w:val="16"/>
              </w:rPr>
              <w:t>RET fusion or rearrangement</w:t>
            </w:r>
          </w:p>
        </w:tc>
        <w:tc>
          <w:tcPr>
            <w:tcW w:w="1907" w:type="dxa"/>
            <w:tcBorders>
              <w:top w:val="nil"/>
              <w:left w:val="nil"/>
              <w:bottom w:val="nil"/>
              <w:right w:val="nil"/>
            </w:tcBorders>
            <w:shd w:val="clear" w:color="auto" w:fill="FFFFFF"/>
            <w:tcMar>
              <w:top w:w="70" w:type="dxa"/>
              <w:left w:w="90" w:type="dxa"/>
              <w:bottom w:w="70" w:type="dxa"/>
              <w:right w:w="90" w:type="dxa"/>
            </w:tcMar>
            <w:vAlign w:val="center"/>
          </w:tcPr>
          <w:p w14:paraId="222D1AD8" w14:textId="77777777" w:rsidR="00B94E35" w:rsidRPr="00886BA6" w:rsidRDefault="00000000">
            <w:pPr>
              <w:spacing w:after="0" w:line="240" w:lineRule="auto"/>
              <w:jc w:val="center"/>
              <w:rPr>
                <w:sz w:val="16"/>
                <w:szCs w:val="16"/>
              </w:rPr>
            </w:pPr>
            <w:r w:rsidRPr="00886BA6">
              <w:rPr>
                <w:color w:val="000000"/>
                <w:sz w:val="16"/>
                <w:szCs w:val="16"/>
              </w:rPr>
              <w:t>42</w:t>
            </w:r>
          </w:p>
        </w:tc>
        <w:tc>
          <w:tcPr>
            <w:tcW w:w="2861" w:type="dxa"/>
            <w:tcBorders>
              <w:top w:val="nil"/>
              <w:left w:val="nil"/>
              <w:bottom w:val="nil"/>
              <w:right w:val="nil"/>
            </w:tcBorders>
            <w:shd w:val="clear" w:color="auto" w:fill="FFFFFF"/>
            <w:tcMar>
              <w:top w:w="70" w:type="dxa"/>
              <w:left w:w="90" w:type="dxa"/>
              <w:bottom w:w="70" w:type="dxa"/>
              <w:right w:w="90" w:type="dxa"/>
            </w:tcMar>
            <w:vAlign w:val="center"/>
          </w:tcPr>
          <w:p w14:paraId="376B93D5" w14:textId="77777777" w:rsidR="00B94E35" w:rsidRPr="00886BA6" w:rsidRDefault="00000000">
            <w:pPr>
              <w:spacing w:after="0" w:line="240" w:lineRule="auto"/>
              <w:jc w:val="center"/>
              <w:rPr>
                <w:sz w:val="16"/>
                <w:szCs w:val="16"/>
              </w:rPr>
            </w:pPr>
            <w:r w:rsidRPr="00886BA6">
              <w:rPr>
                <w:color w:val="000000"/>
                <w:sz w:val="16"/>
                <w:szCs w:val="16"/>
              </w:rPr>
              <w:t>2</w:t>
            </w:r>
          </w:p>
        </w:tc>
        <w:tc>
          <w:tcPr>
            <w:tcW w:w="3242" w:type="dxa"/>
            <w:tcBorders>
              <w:top w:val="nil"/>
              <w:left w:val="nil"/>
              <w:bottom w:val="nil"/>
              <w:right w:val="nil"/>
            </w:tcBorders>
            <w:shd w:val="clear" w:color="auto" w:fill="FFFFFF"/>
            <w:tcMar>
              <w:top w:w="70" w:type="dxa"/>
              <w:left w:w="90" w:type="dxa"/>
              <w:bottom w:w="70" w:type="dxa"/>
              <w:right w:w="90" w:type="dxa"/>
            </w:tcMar>
            <w:vAlign w:val="center"/>
          </w:tcPr>
          <w:p w14:paraId="3513112B" w14:textId="77777777" w:rsidR="00B94E35" w:rsidRPr="00886BA6" w:rsidRDefault="00000000">
            <w:pPr>
              <w:spacing w:after="0" w:line="240" w:lineRule="auto"/>
              <w:jc w:val="center"/>
              <w:rPr>
                <w:sz w:val="16"/>
                <w:szCs w:val="16"/>
              </w:rPr>
            </w:pPr>
            <w:r w:rsidRPr="00886BA6">
              <w:rPr>
                <w:color w:val="000000"/>
                <w:sz w:val="16"/>
                <w:szCs w:val="16"/>
              </w:rPr>
              <w:t>Platform cohort</w:t>
            </w:r>
          </w:p>
        </w:tc>
        <w:tc>
          <w:tcPr>
            <w:tcW w:w="3433" w:type="dxa"/>
            <w:tcBorders>
              <w:top w:val="nil"/>
              <w:left w:val="nil"/>
              <w:bottom w:val="nil"/>
              <w:right w:val="nil"/>
            </w:tcBorders>
            <w:shd w:val="clear" w:color="auto" w:fill="FFFFFF"/>
            <w:tcMar>
              <w:top w:w="70" w:type="dxa"/>
              <w:left w:w="90" w:type="dxa"/>
              <w:bottom w:w="70" w:type="dxa"/>
              <w:right w:w="90" w:type="dxa"/>
            </w:tcMar>
            <w:vAlign w:val="center"/>
          </w:tcPr>
          <w:p w14:paraId="378680B4" w14:textId="77777777" w:rsidR="00B94E35" w:rsidRPr="00886BA6" w:rsidRDefault="00000000">
            <w:pPr>
              <w:spacing w:after="0" w:line="240" w:lineRule="auto"/>
              <w:jc w:val="center"/>
              <w:rPr>
                <w:sz w:val="16"/>
                <w:szCs w:val="16"/>
              </w:rPr>
            </w:pPr>
            <w:r w:rsidRPr="00886BA6">
              <w:rPr>
                <w:color w:val="000000"/>
                <w:sz w:val="16"/>
                <w:szCs w:val="16"/>
              </w:rPr>
              <w:t>Observed operational count</w:t>
            </w:r>
          </w:p>
        </w:tc>
      </w:tr>
      <w:tr w:rsidR="00B94E35" w14:paraId="48E0C6B4" w14:textId="77777777">
        <w:trPr>
          <w:cantSplit/>
          <w:jc w:val="center"/>
        </w:trPr>
        <w:tc>
          <w:tcPr>
            <w:tcW w:w="4387" w:type="dxa"/>
            <w:tcBorders>
              <w:top w:val="nil"/>
              <w:left w:val="nil"/>
              <w:bottom w:val="nil"/>
              <w:right w:val="nil"/>
            </w:tcBorders>
            <w:shd w:val="clear" w:color="auto" w:fill="FFFFFF"/>
            <w:tcMar>
              <w:top w:w="70" w:type="dxa"/>
              <w:left w:w="90" w:type="dxa"/>
              <w:bottom w:w="70" w:type="dxa"/>
              <w:right w:w="90" w:type="dxa"/>
            </w:tcMar>
            <w:vAlign w:val="center"/>
          </w:tcPr>
          <w:p w14:paraId="45A3BF7F" w14:textId="77777777" w:rsidR="00B94E35" w:rsidRPr="00886BA6" w:rsidRDefault="00000000">
            <w:pPr>
              <w:spacing w:after="0" w:line="240" w:lineRule="auto"/>
              <w:rPr>
                <w:sz w:val="16"/>
                <w:szCs w:val="16"/>
              </w:rPr>
            </w:pPr>
            <w:r w:rsidRPr="00886BA6">
              <w:rPr>
                <w:color w:val="000000"/>
                <w:sz w:val="16"/>
                <w:szCs w:val="16"/>
              </w:rPr>
              <w:t>ERBB2 amplification</w:t>
            </w:r>
          </w:p>
        </w:tc>
        <w:tc>
          <w:tcPr>
            <w:tcW w:w="1907" w:type="dxa"/>
            <w:tcBorders>
              <w:top w:val="nil"/>
              <w:left w:val="nil"/>
              <w:bottom w:val="nil"/>
              <w:right w:val="nil"/>
            </w:tcBorders>
            <w:shd w:val="clear" w:color="auto" w:fill="FFFFFF"/>
            <w:tcMar>
              <w:top w:w="70" w:type="dxa"/>
              <w:left w:w="90" w:type="dxa"/>
              <w:bottom w:w="70" w:type="dxa"/>
              <w:right w:w="90" w:type="dxa"/>
            </w:tcMar>
            <w:vAlign w:val="center"/>
          </w:tcPr>
          <w:p w14:paraId="35F63C36" w14:textId="77777777" w:rsidR="00B94E35" w:rsidRPr="00886BA6" w:rsidRDefault="00000000">
            <w:pPr>
              <w:spacing w:after="0" w:line="240" w:lineRule="auto"/>
              <w:jc w:val="center"/>
              <w:rPr>
                <w:sz w:val="16"/>
                <w:szCs w:val="16"/>
              </w:rPr>
            </w:pPr>
            <w:r w:rsidRPr="00886BA6">
              <w:rPr>
                <w:color w:val="000000"/>
                <w:sz w:val="16"/>
                <w:szCs w:val="16"/>
              </w:rPr>
              <w:t>276</w:t>
            </w:r>
          </w:p>
        </w:tc>
        <w:tc>
          <w:tcPr>
            <w:tcW w:w="2861" w:type="dxa"/>
            <w:tcBorders>
              <w:top w:val="nil"/>
              <w:left w:val="nil"/>
              <w:bottom w:val="nil"/>
              <w:right w:val="nil"/>
            </w:tcBorders>
            <w:shd w:val="clear" w:color="auto" w:fill="FFFFFF"/>
            <w:tcMar>
              <w:top w:w="70" w:type="dxa"/>
              <w:left w:w="90" w:type="dxa"/>
              <w:bottom w:w="70" w:type="dxa"/>
              <w:right w:w="90" w:type="dxa"/>
            </w:tcMar>
            <w:vAlign w:val="center"/>
          </w:tcPr>
          <w:p w14:paraId="4270ABA0" w14:textId="77777777" w:rsidR="00B94E35" w:rsidRPr="00886BA6" w:rsidRDefault="00000000">
            <w:pPr>
              <w:spacing w:after="0" w:line="240" w:lineRule="auto"/>
              <w:jc w:val="center"/>
              <w:rPr>
                <w:sz w:val="16"/>
                <w:szCs w:val="16"/>
              </w:rPr>
            </w:pPr>
            <w:r w:rsidRPr="00886BA6">
              <w:rPr>
                <w:color w:val="000000"/>
                <w:sz w:val="16"/>
                <w:szCs w:val="16"/>
              </w:rPr>
              <w:t>33</w:t>
            </w:r>
          </w:p>
        </w:tc>
        <w:tc>
          <w:tcPr>
            <w:tcW w:w="3242" w:type="dxa"/>
            <w:tcBorders>
              <w:top w:val="nil"/>
              <w:left w:val="nil"/>
              <w:bottom w:val="nil"/>
              <w:right w:val="nil"/>
            </w:tcBorders>
            <w:shd w:val="clear" w:color="auto" w:fill="FFFFFF"/>
            <w:tcMar>
              <w:top w:w="70" w:type="dxa"/>
              <w:left w:w="90" w:type="dxa"/>
              <w:bottom w:w="70" w:type="dxa"/>
              <w:right w:w="90" w:type="dxa"/>
            </w:tcMar>
            <w:vAlign w:val="center"/>
          </w:tcPr>
          <w:p w14:paraId="7774E1F4" w14:textId="77777777" w:rsidR="00B94E35" w:rsidRPr="00886BA6" w:rsidRDefault="00000000">
            <w:pPr>
              <w:spacing w:after="0" w:line="240" w:lineRule="auto"/>
              <w:jc w:val="center"/>
              <w:rPr>
                <w:sz w:val="16"/>
                <w:szCs w:val="16"/>
              </w:rPr>
            </w:pPr>
            <w:r w:rsidRPr="00886BA6">
              <w:rPr>
                <w:color w:val="000000"/>
                <w:sz w:val="16"/>
                <w:szCs w:val="16"/>
              </w:rPr>
              <w:t>Platform cohort</w:t>
            </w:r>
          </w:p>
        </w:tc>
        <w:tc>
          <w:tcPr>
            <w:tcW w:w="3433" w:type="dxa"/>
            <w:tcBorders>
              <w:top w:val="nil"/>
              <w:left w:val="nil"/>
              <w:bottom w:val="nil"/>
              <w:right w:val="nil"/>
            </w:tcBorders>
            <w:shd w:val="clear" w:color="auto" w:fill="FFFFFF"/>
            <w:tcMar>
              <w:top w:w="70" w:type="dxa"/>
              <w:left w:w="90" w:type="dxa"/>
              <w:bottom w:w="70" w:type="dxa"/>
              <w:right w:w="90" w:type="dxa"/>
            </w:tcMar>
            <w:vAlign w:val="center"/>
          </w:tcPr>
          <w:p w14:paraId="5A0D3CC2" w14:textId="77777777" w:rsidR="00B94E35" w:rsidRPr="00886BA6" w:rsidRDefault="00000000">
            <w:pPr>
              <w:spacing w:after="0" w:line="240" w:lineRule="auto"/>
              <w:jc w:val="center"/>
              <w:rPr>
                <w:sz w:val="16"/>
                <w:szCs w:val="16"/>
              </w:rPr>
            </w:pPr>
            <w:r w:rsidRPr="00886BA6">
              <w:rPr>
                <w:color w:val="000000"/>
                <w:sz w:val="16"/>
                <w:szCs w:val="16"/>
              </w:rPr>
              <w:t>Observed operational count</w:t>
            </w:r>
          </w:p>
        </w:tc>
      </w:tr>
      <w:tr w:rsidR="00B94E35" w14:paraId="00785D05" w14:textId="77777777">
        <w:trPr>
          <w:cantSplit/>
          <w:jc w:val="center"/>
        </w:trPr>
        <w:tc>
          <w:tcPr>
            <w:tcW w:w="4387" w:type="dxa"/>
            <w:tcBorders>
              <w:top w:val="nil"/>
              <w:left w:val="nil"/>
              <w:bottom w:val="nil"/>
              <w:right w:val="nil"/>
            </w:tcBorders>
            <w:shd w:val="clear" w:color="auto" w:fill="FFFFFF"/>
            <w:tcMar>
              <w:top w:w="70" w:type="dxa"/>
              <w:left w:w="90" w:type="dxa"/>
              <w:bottom w:w="70" w:type="dxa"/>
              <w:right w:w="90" w:type="dxa"/>
            </w:tcMar>
            <w:vAlign w:val="center"/>
          </w:tcPr>
          <w:p w14:paraId="7233B444" w14:textId="77777777" w:rsidR="00B94E35" w:rsidRPr="00886BA6" w:rsidRDefault="00000000">
            <w:pPr>
              <w:spacing w:after="0" w:line="240" w:lineRule="auto"/>
              <w:rPr>
                <w:sz w:val="16"/>
                <w:szCs w:val="16"/>
              </w:rPr>
            </w:pPr>
            <w:r w:rsidRPr="00886BA6">
              <w:rPr>
                <w:color w:val="000000"/>
                <w:sz w:val="16"/>
                <w:szCs w:val="16"/>
              </w:rPr>
              <w:t>ALK fusion or rearrangement</w:t>
            </w:r>
          </w:p>
        </w:tc>
        <w:tc>
          <w:tcPr>
            <w:tcW w:w="1907" w:type="dxa"/>
            <w:tcBorders>
              <w:top w:val="nil"/>
              <w:left w:val="nil"/>
              <w:bottom w:val="nil"/>
              <w:right w:val="nil"/>
            </w:tcBorders>
            <w:shd w:val="clear" w:color="auto" w:fill="FFFFFF"/>
            <w:tcMar>
              <w:top w:w="70" w:type="dxa"/>
              <w:left w:w="90" w:type="dxa"/>
              <w:bottom w:w="70" w:type="dxa"/>
              <w:right w:w="90" w:type="dxa"/>
            </w:tcMar>
            <w:vAlign w:val="center"/>
          </w:tcPr>
          <w:p w14:paraId="44977C7B" w14:textId="77777777" w:rsidR="00B94E35" w:rsidRPr="00886BA6" w:rsidRDefault="00000000">
            <w:pPr>
              <w:spacing w:after="0" w:line="240" w:lineRule="auto"/>
              <w:jc w:val="center"/>
              <w:rPr>
                <w:sz w:val="16"/>
                <w:szCs w:val="16"/>
              </w:rPr>
            </w:pPr>
            <w:r w:rsidRPr="00886BA6">
              <w:rPr>
                <w:color w:val="000000"/>
                <w:sz w:val="16"/>
                <w:szCs w:val="16"/>
              </w:rPr>
              <w:t>89</w:t>
            </w:r>
          </w:p>
        </w:tc>
        <w:tc>
          <w:tcPr>
            <w:tcW w:w="2861" w:type="dxa"/>
            <w:tcBorders>
              <w:top w:val="nil"/>
              <w:left w:val="nil"/>
              <w:bottom w:val="nil"/>
              <w:right w:val="nil"/>
            </w:tcBorders>
            <w:shd w:val="clear" w:color="auto" w:fill="FFFFFF"/>
            <w:tcMar>
              <w:top w:w="70" w:type="dxa"/>
              <w:left w:w="90" w:type="dxa"/>
              <w:bottom w:w="70" w:type="dxa"/>
              <w:right w:w="90" w:type="dxa"/>
            </w:tcMar>
            <w:vAlign w:val="center"/>
          </w:tcPr>
          <w:p w14:paraId="028F4431" w14:textId="77777777" w:rsidR="00B94E35" w:rsidRPr="00886BA6" w:rsidRDefault="00000000">
            <w:pPr>
              <w:spacing w:after="0" w:line="240" w:lineRule="auto"/>
              <w:jc w:val="center"/>
              <w:rPr>
                <w:sz w:val="16"/>
                <w:szCs w:val="16"/>
              </w:rPr>
            </w:pPr>
            <w:r w:rsidRPr="00886BA6">
              <w:rPr>
                <w:color w:val="000000"/>
                <w:sz w:val="16"/>
                <w:szCs w:val="16"/>
              </w:rPr>
              <w:t>6</w:t>
            </w:r>
          </w:p>
        </w:tc>
        <w:tc>
          <w:tcPr>
            <w:tcW w:w="3242" w:type="dxa"/>
            <w:tcBorders>
              <w:top w:val="nil"/>
              <w:left w:val="nil"/>
              <w:bottom w:val="nil"/>
              <w:right w:val="nil"/>
            </w:tcBorders>
            <w:shd w:val="clear" w:color="auto" w:fill="FFFFFF"/>
            <w:tcMar>
              <w:top w:w="70" w:type="dxa"/>
              <w:left w:w="90" w:type="dxa"/>
              <w:bottom w:w="70" w:type="dxa"/>
              <w:right w:w="90" w:type="dxa"/>
            </w:tcMar>
            <w:vAlign w:val="center"/>
          </w:tcPr>
          <w:p w14:paraId="4D37C68B" w14:textId="77777777" w:rsidR="00B94E35" w:rsidRPr="00886BA6" w:rsidRDefault="00000000">
            <w:pPr>
              <w:spacing w:after="0" w:line="240" w:lineRule="auto"/>
              <w:jc w:val="center"/>
              <w:rPr>
                <w:sz w:val="16"/>
                <w:szCs w:val="16"/>
              </w:rPr>
            </w:pPr>
            <w:r w:rsidRPr="00886BA6">
              <w:rPr>
                <w:color w:val="000000"/>
                <w:sz w:val="16"/>
                <w:szCs w:val="16"/>
              </w:rPr>
              <w:t>Platform cohort</w:t>
            </w:r>
          </w:p>
        </w:tc>
        <w:tc>
          <w:tcPr>
            <w:tcW w:w="3433" w:type="dxa"/>
            <w:tcBorders>
              <w:top w:val="nil"/>
              <w:left w:val="nil"/>
              <w:bottom w:val="nil"/>
              <w:right w:val="nil"/>
            </w:tcBorders>
            <w:shd w:val="clear" w:color="auto" w:fill="FFFFFF"/>
            <w:tcMar>
              <w:top w:w="70" w:type="dxa"/>
              <w:left w:w="90" w:type="dxa"/>
              <w:bottom w:w="70" w:type="dxa"/>
              <w:right w:w="90" w:type="dxa"/>
            </w:tcMar>
            <w:vAlign w:val="center"/>
          </w:tcPr>
          <w:p w14:paraId="6FC8ABEC" w14:textId="77777777" w:rsidR="00B94E35" w:rsidRPr="00886BA6" w:rsidRDefault="00000000">
            <w:pPr>
              <w:spacing w:after="0" w:line="240" w:lineRule="auto"/>
              <w:jc w:val="center"/>
              <w:rPr>
                <w:sz w:val="16"/>
                <w:szCs w:val="16"/>
              </w:rPr>
            </w:pPr>
            <w:r w:rsidRPr="00886BA6">
              <w:rPr>
                <w:color w:val="000000"/>
                <w:sz w:val="16"/>
                <w:szCs w:val="16"/>
              </w:rPr>
              <w:t>Observed operational count</w:t>
            </w:r>
          </w:p>
        </w:tc>
      </w:tr>
      <w:tr w:rsidR="00B94E35" w14:paraId="77EAD3EA" w14:textId="77777777">
        <w:trPr>
          <w:cantSplit/>
          <w:jc w:val="center"/>
        </w:trPr>
        <w:tc>
          <w:tcPr>
            <w:tcW w:w="4387" w:type="dxa"/>
            <w:tcBorders>
              <w:top w:val="nil"/>
              <w:left w:val="nil"/>
              <w:bottom w:val="nil"/>
              <w:right w:val="nil"/>
            </w:tcBorders>
            <w:shd w:val="clear" w:color="auto" w:fill="FFFFFF"/>
            <w:tcMar>
              <w:top w:w="70" w:type="dxa"/>
              <w:left w:w="90" w:type="dxa"/>
              <w:bottom w:w="70" w:type="dxa"/>
              <w:right w:w="90" w:type="dxa"/>
            </w:tcMar>
            <w:vAlign w:val="center"/>
          </w:tcPr>
          <w:p w14:paraId="24954C07" w14:textId="77777777" w:rsidR="00B94E35" w:rsidRPr="00886BA6" w:rsidRDefault="00000000">
            <w:pPr>
              <w:spacing w:after="0" w:line="240" w:lineRule="auto"/>
              <w:rPr>
                <w:sz w:val="16"/>
                <w:szCs w:val="16"/>
              </w:rPr>
            </w:pPr>
            <w:r w:rsidRPr="00886BA6">
              <w:rPr>
                <w:color w:val="000000"/>
                <w:sz w:val="16"/>
                <w:szCs w:val="16"/>
              </w:rPr>
              <w:t>Exact BRAF V600E</w:t>
            </w:r>
          </w:p>
        </w:tc>
        <w:tc>
          <w:tcPr>
            <w:tcW w:w="1907" w:type="dxa"/>
            <w:tcBorders>
              <w:top w:val="nil"/>
              <w:left w:val="nil"/>
              <w:bottom w:val="nil"/>
              <w:right w:val="nil"/>
            </w:tcBorders>
            <w:shd w:val="clear" w:color="auto" w:fill="FFFFFF"/>
            <w:tcMar>
              <w:top w:w="70" w:type="dxa"/>
              <w:left w:w="90" w:type="dxa"/>
              <w:bottom w:w="70" w:type="dxa"/>
              <w:right w:w="90" w:type="dxa"/>
            </w:tcMar>
            <w:vAlign w:val="center"/>
          </w:tcPr>
          <w:p w14:paraId="0E927FC4" w14:textId="77777777" w:rsidR="00B94E35" w:rsidRPr="00886BA6" w:rsidRDefault="00000000">
            <w:pPr>
              <w:spacing w:after="0" w:line="240" w:lineRule="auto"/>
              <w:jc w:val="center"/>
              <w:rPr>
                <w:sz w:val="16"/>
                <w:szCs w:val="16"/>
              </w:rPr>
            </w:pPr>
            <w:r w:rsidRPr="00886BA6">
              <w:rPr>
                <w:color w:val="000000"/>
                <w:sz w:val="16"/>
                <w:szCs w:val="16"/>
              </w:rPr>
              <w:t>172</w:t>
            </w:r>
          </w:p>
        </w:tc>
        <w:tc>
          <w:tcPr>
            <w:tcW w:w="2861" w:type="dxa"/>
            <w:tcBorders>
              <w:top w:val="nil"/>
              <w:left w:val="nil"/>
              <w:bottom w:val="nil"/>
              <w:right w:val="nil"/>
            </w:tcBorders>
            <w:shd w:val="clear" w:color="auto" w:fill="FFFFFF"/>
            <w:tcMar>
              <w:top w:w="70" w:type="dxa"/>
              <w:left w:w="90" w:type="dxa"/>
              <w:bottom w:w="70" w:type="dxa"/>
              <w:right w:w="90" w:type="dxa"/>
            </w:tcMar>
            <w:vAlign w:val="center"/>
          </w:tcPr>
          <w:p w14:paraId="253C2B4E" w14:textId="77777777" w:rsidR="00B94E35" w:rsidRPr="00886BA6" w:rsidRDefault="00000000">
            <w:pPr>
              <w:spacing w:after="0" w:line="240" w:lineRule="auto"/>
              <w:jc w:val="center"/>
              <w:rPr>
                <w:sz w:val="16"/>
                <w:szCs w:val="16"/>
              </w:rPr>
            </w:pPr>
            <w:r w:rsidRPr="00886BA6">
              <w:rPr>
                <w:color w:val="000000"/>
                <w:sz w:val="16"/>
                <w:szCs w:val="16"/>
              </w:rPr>
              <w:t>37</w:t>
            </w:r>
          </w:p>
        </w:tc>
        <w:tc>
          <w:tcPr>
            <w:tcW w:w="3242" w:type="dxa"/>
            <w:tcBorders>
              <w:top w:val="nil"/>
              <w:left w:val="nil"/>
              <w:bottom w:val="nil"/>
              <w:right w:val="nil"/>
            </w:tcBorders>
            <w:shd w:val="clear" w:color="auto" w:fill="FFFFFF"/>
            <w:tcMar>
              <w:top w:w="70" w:type="dxa"/>
              <w:left w:w="90" w:type="dxa"/>
              <w:bottom w:w="70" w:type="dxa"/>
              <w:right w:w="90" w:type="dxa"/>
            </w:tcMar>
            <w:vAlign w:val="center"/>
          </w:tcPr>
          <w:p w14:paraId="105607CC" w14:textId="77777777" w:rsidR="00B94E35" w:rsidRPr="00886BA6" w:rsidRDefault="00000000">
            <w:pPr>
              <w:spacing w:after="0" w:line="240" w:lineRule="auto"/>
              <w:jc w:val="center"/>
              <w:rPr>
                <w:sz w:val="16"/>
                <w:szCs w:val="16"/>
              </w:rPr>
            </w:pPr>
            <w:r w:rsidRPr="00886BA6">
              <w:rPr>
                <w:color w:val="000000"/>
                <w:sz w:val="16"/>
                <w:szCs w:val="16"/>
              </w:rPr>
              <w:t>Platform cohort</w:t>
            </w:r>
          </w:p>
        </w:tc>
        <w:tc>
          <w:tcPr>
            <w:tcW w:w="3433" w:type="dxa"/>
            <w:tcBorders>
              <w:top w:val="nil"/>
              <w:left w:val="nil"/>
              <w:bottom w:val="nil"/>
              <w:right w:val="nil"/>
            </w:tcBorders>
            <w:shd w:val="clear" w:color="auto" w:fill="FFFFFF"/>
            <w:tcMar>
              <w:top w:w="70" w:type="dxa"/>
              <w:left w:w="90" w:type="dxa"/>
              <w:bottom w:w="70" w:type="dxa"/>
              <w:right w:w="90" w:type="dxa"/>
            </w:tcMar>
            <w:vAlign w:val="center"/>
          </w:tcPr>
          <w:p w14:paraId="4F75DEA2" w14:textId="77777777" w:rsidR="00B94E35" w:rsidRPr="00886BA6" w:rsidRDefault="00000000">
            <w:pPr>
              <w:spacing w:after="0" w:line="240" w:lineRule="auto"/>
              <w:jc w:val="center"/>
              <w:rPr>
                <w:sz w:val="16"/>
                <w:szCs w:val="16"/>
              </w:rPr>
            </w:pPr>
            <w:r w:rsidRPr="00886BA6">
              <w:rPr>
                <w:color w:val="000000"/>
                <w:sz w:val="16"/>
                <w:szCs w:val="16"/>
              </w:rPr>
              <w:t>Observed operational count</w:t>
            </w:r>
          </w:p>
        </w:tc>
      </w:tr>
      <w:tr w:rsidR="00B94E35" w14:paraId="1DC4BB89" w14:textId="77777777">
        <w:trPr>
          <w:cantSplit/>
          <w:jc w:val="center"/>
        </w:trPr>
        <w:tc>
          <w:tcPr>
            <w:tcW w:w="4387"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0A8C2128" w14:textId="77777777" w:rsidR="00B94E35" w:rsidRPr="00886BA6" w:rsidRDefault="00000000">
            <w:pPr>
              <w:spacing w:after="0" w:line="240" w:lineRule="auto"/>
              <w:rPr>
                <w:sz w:val="16"/>
                <w:szCs w:val="16"/>
              </w:rPr>
            </w:pPr>
            <w:r w:rsidRPr="00886BA6">
              <w:rPr>
                <w:color w:val="000000"/>
                <w:sz w:val="16"/>
                <w:szCs w:val="16"/>
              </w:rPr>
              <w:t>Six-candidate positive excluding TMB-H</w:t>
            </w:r>
          </w:p>
        </w:tc>
        <w:tc>
          <w:tcPr>
            <w:tcW w:w="1907"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3CE0A006" w14:textId="77777777" w:rsidR="00B94E35" w:rsidRPr="00886BA6" w:rsidRDefault="00000000">
            <w:pPr>
              <w:spacing w:after="0" w:line="240" w:lineRule="auto"/>
              <w:jc w:val="center"/>
              <w:rPr>
                <w:sz w:val="16"/>
                <w:szCs w:val="16"/>
              </w:rPr>
            </w:pPr>
            <w:r w:rsidRPr="00886BA6">
              <w:rPr>
                <w:color w:val="000000"/>
                <w:sz w:val="16"/>
                <w:szCs w:val="16"/>
              </w:rPr>
              <w:t>733</w:t>
            </w:r>
          </w:p>
        </w:tc>
        <w:tc>
          <w:tcPr>
            <w:tcW w:w="2861"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1067CB44" w14:textId="77777777" w:rsidR="00B94E35" w:rsidRPr="00886BA6" w:rsidRDefault="00000000">
            <w:pPr>
              <w:spacing w:after="0" w:line="240" w:lineRule="auto"/>
              <w:jc w:val="center"/>
              <w:rPr>
                <w:sz w:val="16"/>
                <w:szCs w:val="16"/>
              </w:rPr>
            </w:pPr>
            <w:r w:rsidRPr="00886BA6">
              <w:rPr>
                <w:color w:val="000000"/>
                <w:sz w:val="16"/>
                <w:szCs w:val="16"/>
              </w:rPr>
              <w:t>95</w:t>
            </w:r>
          </w:p>
        </w:tc>
        <w:tc>
          <w:tcPr>
            <w:tcW w:w="3242"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78EDB54F" w14:textId="77777777" w:rsidR="00B94E35" w:rsidRPr="00886BA6" w:rsidRDefault="00000000">
            <w:pPr>
              <w:spacing w:after="0" w:line="240" w:lineRule="auto"/>
              <w:jc w:val="center"/>
              <w:rPr>
                <w:sz w:val="16"/>
                <w:szCs w:val="16"/>
              </w:rPr>
            </w:pPr>
            <w:r w:rsidRPr="00886BA6">
              <w:rPr>
                <w:color w:val="000000"/>
                <w:sz w:val="16"/>
                <w:szCs w:val="16"/>
              </w:rPr>
              <w:t>14,878 F1L; 2,042 G360</w:t>
            </w:r>
          </w:p>
        </w:tc>
        <w:tc>
          <w:tcPr>
            <w:tcW w:w="3433" w:type="dxa"/>
            <w:tcBorders>
              <w:top w:val="nil"/>
              <w:left w:val="nil"/>
              <w:bottom w:val="single" w:sz="8" w:space="0" w:color="000000"/>
              <w:right w:val="nil"/>
            </w:tcBorders>
            <w:shd w:val="clear" w:color="auto" w:fill="FFFFFF"/>
            <w:tcMar>
              <w:top w:w="70" w:type="dxa"/>
              <w:left w:w="90" w:type="dxa"/>
              <w:bottom w:w="70" w:type="dxa"/>
              <w:right w:w="90" w:type="dxa"/>
            </w:tcMar>
            <w:vAlign w:val="center"/>
          </w:tcPr>
          <w:p w14:paraId="52518E16" w14:textId="77777777" w:rsidR="00B94E35" w:rsidRPr="00886BA6" w:rsidRDefault="00000000">
            <w:pPr>
              <w:spacing w:after="0" w:line="240" w:lineRule="auto"/>
              <w:jc w:val="center"/>
              <w:rPr>
                <w:sz w:val="16"/>
                <w:szCs w:val="16"/>
              </w:rPr>
            </w:pPr>
            <w:r w:rsidRPr="00886BA6">
              <w:rPr>
                <w:color w:val="000000"/>
                <w:sz w:val="16"/>
                <w:szCs w:val="16"/>
              </w:rPr>
              <w:t>Supportive; denominator unchanged</w:t>
            </w:r>
          </w:p>
        </w:tc>
      </w:tr>
    </w:tbl>
    <w:p w14:paraId="1F5B2C92" w14:textId="77777777" w:rsidR="00B94E35" w:rsidRPr="00886BA6" w:rsidRDefault="00000000">
      <w:pPr>
        <w:spacing w:before="40" w:after="40"/>
        <w:rPr>
          <w:sz w:val="24"/>
          <w:szCs w:val="24"/>
        </w:rPr>
      </w:pPr>
      <w:r w:rsidRPr="00886BA6">
        <w:rPr>
          <w:sz w:val="24"/>
          <w:szCs w:val="24"/>
        </w:rPr>
        <w:t>Candidate-level counts overlap and must not be summed to obtain the patient-level union. The primary seven-candidate union and the TMB-H-only/overlap decomposition are reported in Main Table 3. G360 TMB was data-layer unavailable during the study period; underlying G360 TMB-H status is unknown. The supportive six-candidate count uses the unchanged platform-specific denominators. F1L, FoundationOne Liquid CDx; G360, Guardant360 CDx.</w:t>
      </w:r>
    </w:p>
    <w:sectPr w:rsidR="00B94E35" w:rsidRPr="00886BA6" w:rsidSect="00034616">
      <w:headerReference w:type="default" r:id="rId10"/>
      <w:footerReference w:type="default" r:id="rId11"/>
      <w:pgSz w:w="16838" w:h="11906" w:orient="landscape"/>
      <w:pgMar w:top="648" w:right="504" w:bottom="648" w:left="504"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4415B8" w14:textId="77777777" w:rsidR="00965BA3" w:rsidRDefault="00965BA3">
      <w:pPr>
        <w:spacing w:after="0" w:line="240" w:lineRule="auto"/>
      </w:pPr>
      <w:r>
        <w:separator/>
      </w:r>
    </w:p>
  </w:endnote>
  <w:endnote w:type="continuationSeparator" w:id="0">
    <w:p w14:paraId="6DC18009" w14:textId="77777777" w:rsidR="00965BA3" w:rsidRDefault="00965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B1312" w14:textId="77777777" w:rsidR="00B94E35" w:rsidRDefault="00000000">
    <w:pPr>
      <w:pStyle w:val="a7"/>
      <w:jc w:val="center"/>
    </w:pPr>
    <w:r>
      <w:rPr>
        <w:color w:val="667085"/>
        <w:sz w:val="18"/>
      </w:rPr>
      <w:t xml:space="preserve">Page </w:t>
    </w:r>
    <w:r>
      <w:rPr>
        <w:color w:val="667085"/>
        <w:sz w:val="18"/>
      </w:rPr>
      <w:fldChar w:fldCharType="begin"/>
    </w:r>
    <w:r>
      <w:rPr>
        <w:color w:val="667085"/>
        <w:sz w:val="18"/>
      </w:rPr>
      <w:instrText xml:space="preserve"> PAGE </w:instrText>
    </w:r>
    <w:r>
      <w:rPr>
        <w:color w:val="667085"/>
        <w:sz w:val="18"/>
      </w:rPr>
      <w:fldChar w:fldCharType="separate"/>
    </w:r>
    <w:r>
      <w:rPr>
        <w:color w:val="667085"/>
        <w:sz w:val="18"/>
      </w:rPr>
      <w:t>1</w:t>
    </w:r>
    <w:r>
      <w:rPr>
        <w:color w:val="667085"/>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661F26" w14:textId="77777777" w:rsidR="00B94E35" w:rsidRDefault="00000000">
    <w:pPr>
      <w:pStyle w:val="a7"/>
      <w:jc w:val="center"/>
    </w:pPr>
    <w:r>
      <w:rPr>
        <w:color w:val="667085"/>
        <w:sz w:val="18"/>
      </w:rPr>
      <w:t xml:space="preserve">Page </w:t>
    </w:r>
    <w:r>
      <w:rPr>
        <w:color w:val="667085"/>
        <w:sz w:val="18"/>
      </w:rPr>
      <w:fldChar w:fldCharType="begin"/>
    </w:r>
    <w:r>
      <w:rPr>
        <w:color w:val="667085"/>
        <w:sz w:val="18"/>
      </w:rPr>
      <w:instrText xml:space="preserve"> PAGE </w:instrText>
    </w:r>
    <w:r>
      <w:rPr>
        <w:color w:val="667085"/>
        <w:sz w:val="18"/>
      </w:rPr>
      <w:fldChar w:fldCharType="separate"/>
    </w:r>
    <w:r>
      <w:rPr>
        <w:color w:val="667085"/>
        <w:sz w:val="18"/>
      </w:rPr>
      <w:t>1</w:t>
    </w:r>
    <w:r>
      <w:rPr>
        <w:color w:val="667085"/>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D5CB85" w14:textId="77777777" w:rsidR="00965BA3" w:rsidRDefault="00965BA3">
      <w:pPr>
        <w:spacing w:after="0" w:line="240" w:lineRule="auto"/>
      </w:pPr>
      <w:r>
        <w:separator/>
      </w:r>
    </w:p>
  </w:footnote>
  <w:footnote w:type="continuationSeparator" w:id="0">
    <w:p w14:paraId="1B69388C" w14:textId="77777777" w:rsidR="00965BA3" w:rsidRDefault="00965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83A2CE" w14:textId="77777777" w:rsidR="00B94E35" w:rsidRDefault="00000000">
    <w:pPr>
      <w:pStyle w:val="a5"/>
    </w:pPr>
    <w:r>
      <w:rPr>
        <w:sz w:val="18"/>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7B0E23" w14:textId="77777777" w:rsidR="00B94E35" w:rsidRDefault="00000000">
    <w:pPr>
      <w:pStyle w:val="a5"/>
    </w:pPr>
    <w:r>
      <w:rPr>
        <w:sz w:val="18"/>
      </w:rPr>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95636718">
    <w:abstractNumId w:val="8"/>
  </w:num>
  <w:num w:numId="2" w16cid:durableId="2084716002">
    <w:abstractNumId w:val="6"/>
  </w:num>
  <w:num w:numId="3" w16cid:durableId="554004585">
    <w:abstractNumId w:val="5"/>
  </w:num>
  <w:num w:numId="4" w16cid:durableId="858085383">
    <w:abstractNumId w:val="4"/>
  </w:num>
  <w:num w:numId="5" w16cid:durableId="541675906">
    <w:abstractNumId w:val="7"/>
  </w:num>
  <w:num w:numId="6" w16cid:durableId="979960177">
    <w:abstractNumId w:val="3"/>
  </w:num>
  <w:num w:numId="7" w16cid:durableId="1669791957">
    <w:abstractNumId w:val="2"/>
  </w:num>
  <w:num w:numId="8" w16cid:durableId="795290667">
    <w:abstractNumId w:val="1"/>
  </w:num>
  <w:num w:numId="9" w16cid:durableId="20598928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doNotDisplayPageBoundarie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307E"/>
    <w:rsid w:val="0015074B"/>
    <w:rsid w:val="0029639D"/>
    <w:rsid w:val="00326F90"/>
    <w:rsid w:val="00352290"/>
    <w:rsid w:val="003E72E8"/>
    <w:rsid w:val="00886BA6"/>
    <w:rsid w:val="008E14AC"/>
    <w:rsid w:val="009123C4"/>
    <w:rsid w:val="00946D64"/>
    <w:rsid w:val="00965BA3"/>
    <w:rsid w:val="009B67DC"/>
    <w:rsid w:val="00A83631"/>
    <w:rsid w:val="00A87199"/>
    <w:rsid w:val="00AA1D8D"/>
    <w:rsid w:val="00AD6CE9"/>
    <w:rsid w:val="00B47730"/>
    <w:rsid w:val="00B94E35"/>
    <w:rsid w:val="00BE175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0CA68FAA"/>
  <w14:defaultImageDpi w14:val="300"/>
  <w15:docId w15:val="{DE6F868E-D3BF-E44D-A927-180ADAC0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300" w:lineRule="auto"/>
    </w:pPr>
    <w:rPr>
      <w:rFonts w:eastAsia="Times New Roman"/>
    </w:rPr>
  </w:style>
  <w:style w:type="paragraph" w:styleId="1">
    <w:name w:val="heading 1"/>
    <w:basedOn w:val="a1"/>
    <w:next w:val="a1"/>
    <w:link w:val="10"/>
    <w:uiPriority w:val="9"/>
    <w:qFormat/>
    <w:rsid w:val="00FC693F"/>
    <w:pPr>
      <w:keepNext/>
      <w:keepLines/>
      <w:spacing w:before="360" w:after="200"/>
      <w:outlineLvl w:val="0"/>
    </w:pPr>
    <w:rPr>
      <w:b/>
      <w:bCs/>
      <w:color w:val="000000"/>
      <w:sz w:val="32"/>
      <w:szCs w:val="28"/>
    </w:rPr>
  </w:style>
  <w:style w:type="paragraph" w:styleId="21">
    <w:name w:val="heading 2"/>
    <w:basedOn w:val="a1"/>
    <w:next w:val="a1"/>
    <w:link w:val="22"/>
    <w:uiPriority w:val="9"/>
    <w:unhideWhenUsed/>
    <w:qFormat/>
    <w:rsid w:val="00FC693F"/>
    <w:pPr>
      <w:keepNext/>
      <w:keepLines/>
      <w:spacing w:before="140" w:after="60"/>
      <w:outlineLvl w:val="1"/>
    </w:pPr>
    <w:rPr>
      <w:b/>
      <w:bCs/>
      <w:color w:val="000000"/>
      <w:sz w:val="23"/>
      <w:szCs w:val="26"/>
    </w:rPr>
  </w:style>
  <w:style w:type="paragraph" w:styleId="31">
    <w:name w:val="heading 3"/>
    <w:basedOn w:val="a1"/>
    <w:next w:val="a1"/>
    <w:link w:val="32"/>
    <w:uiPriority w:val="9"/>
    <w:unhideWhenUsed/>
    <w:qFormat/>
    <w:rsid w:val="00FC693F"/>
    <w:pPr>
      <w:keepNext/>
      <w:keepLines/>
      <w:spacing w:before="200" w:after="100"/>
      <w:outlineLvl w:val="2"/>
    </w:pPr>
    <w:rPr>
      <w:b/>
      <w:bCs/>
      <w:color w:val="000000"/>
      <w:sz w:val="24"/>
    </w:rPr>
  </w:style>
  <w:style w:type="paragraph" w:styleId="4">
    <w:name w:val="heading 4"/>
    <w:basedOn w:val="a1"/>
    <w:next w:val="a1"/>
    <w:link w:val="40"/>
    <w:uiPriority w:val="9"/>
    <w:semiHidden/>
    <w:unhideWhenUsed/>
    <w:qFormat/>
    <w:rsid w:val="00FC693F"/>
    <w:pPr>
      <w:keepNext/>
      <w:keepLines/>
      <w:spacing w:before="200" w:after="0"/>
      <w:outlineLvl w:val="3"/>
    </w:pPr>
    <w:rPr>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imes New Roman" w:eastAsia="Times New Roman" w:hAnsi="Times New Roman" w:cs="Times New Roman"/>
      <w:b/>
      <w:bCs/>
      <w:color w:val="365F91" w:themeColor="accent1" w:themeShade="BF"/>
      <w:sz w:val="28"/>
      <w:szCs w:val="28"/>
    </w:rPr>
  </w:style>
  <w:style w:type="character" w:customStyle="1" w:styleId="22">
    <w:name w:val="見出し 2 (文字)"/>
    <w:basedOn w:val="a2"/>
    <w:link w:val="21"/>
    <w:uiPriority w:val="9"/>
    <w:rsid w:val="00FC693F"/>
    <w:rPr>
      <w:rFonts w:ascii="Times New Roman" w:eastAsia="Times New Roman" w:hAnsi="Times New Roman" w:cs="Times New Roman"/>
      <w:b/>
      <w:bCs/>
      <w:color w:val="4F81BD" w:themeColor="accent1"/>
      <w:sz w:val="26"/>
      <w:szCs w:val="26"/>
    </w:rPr>
  </w:style>
  <w:style w:type="character" w:customStyle="1" w:styleId="32">
    <w:name w:val="見出し 3 (文字)"/>
    <w:basedOn w:val="a2"/>
    <w:link w:val="31"/>
    <w:uiPriority w:val="9"/>
    <w:rsid w:val="00FC693F"/>
    <w:rPr>
      <w:rFonts w:ascii="Times New Roman" w:eastAsia="Times New Roman" w:hAnsi="Times New Roman" w:cs="Times New Roman"/>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color w:val="17365D" w:themeColor="text2" w:themeShade="BF"/>
      <w:spacing w:val="5"/>
      <w:kern w:val="28"/>
      <w:sz w:val="52"/>
      <w:szCs w:val="52"/>
    </w:rPr>
  </w:style>
  <w:style w:type="character" w:customStyle="1" w:styleId="ab">
    <w:name w:val="表題 (文字)"/>
    <w:basedOn w:val="a2"/>
    <w:link w:val="aa"/>
    <w:uiPriority w:val="10"/>
    <w:rsid w:val="00FC693F"/>
    <w:rPr>
      <w:rFonts w:ascii="Times New Roman" w:eastAsia="Times New Roman" w:hAnsi="Times New Roman" w:cs="Times New Roman"/>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i/>
      <w:iCs/>
      <w:color w:val="4F81BD" w:themeColor="accent1"/>
      <w:spacing w:val="15"/>
      <w:sz w:val="24"/>
      <w:szCs w:val="24"/>
    </w:rPr>
  </w:style>
  <w:style w:type="character" w:customStyle="1" w:styleId="ad">
    <w:name w:val="副題 (文字)"/>
    <w:basedOn w:val="a2"/>
    <w:link w:val="ac"/>
    <w:uiPriority w:val="11"/>
    <w:rsid w:val="00FC693F"/>
    <w:rPr>
      <w:rFonts w:ascii="Times New Roman" w:eastAsia="Times New Roman" w:hAnsi="Times New Roman" w:cs="Times New Roman"/>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本文 3 (文字)"/>
    <w:basedOn w:val="a2"/>
    <w:link w:val="33"/>
    <w:uiPriority w:val="99"/>
    <w:rsid w:val="00AA1D8D"/>
    <w:rPr>
      <w:rFonts w:ascii="Times New Roman" w:eastAsia="Times New Roman" w:hAnsi="Times New Roman" w:cs="Times New Roman"/>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eastAsia="Times New Roman"/>
      <w:sz w:val="20"/>
      <w:szCs w:val="20"/>
    </w:rPr>
  </w:style>
  <w:style w:type="character" w:customStyle="1" w:styleId="af4">
    <w:name w:val="マクロ文字列 (文字)"/>
    <w:basedOn w:val="a2"/>
    <w:link w:val="af3"/>
    <w:uiPriority w:val="99"/>
    <w:rsid w:val="0029639D"/>
    <w:rPr>
      <w:rFonts w:ascii="Times New Roman" w:eastAsia="Times New Roman" w:hAnsi="Times New Roman" w:cs="Times New Roman"/>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rFonts w:ascii="Times New Roman" w:eastAsia="Times New Roman" w:hAnsi="Times New Roman" w:cs="Times New Roman"/>
      <w:i/>
      <w:iCs/>
      <w:color w:val="000000" w:themeColor="text1"/>
    </w:rPr>
  </w:style>
  <w:style w:type="character" w:customStyle="1" w:styleId="40">
    <w:name w:val="見出し 4 (文字)"/>
    <w:basedOn w:val="a2"/>
    <w:link w:val="4"/>
    <w:uiPriority w:val="9"/>
    <w:semiHidden/>
    <w:rsid w:val="00FC693F"/>
    <w:rPr>
      <w:rFonts w:ascii="Times New Roman" w:eastAsia="Times New Roman" w:hAnsi="Times New Roman" w:cs="Times New Roman"/>
      <w:b/>
      <w:bCs/>
      <w:i/>
      <w:iCs/>
      <w:color w:val="4F81BD" w:themeColor="accent1"/>
    </w:rPr>
  </w:style>
  <w:style w:type="character" w:customStyle="1" w:styleId="50">
    <w:name w:val="見出し 5 (文字)"/>
    <w:basedOn w:val="a2"/>
    <w:link w:val="5"/>
    <w:uiPriority w:val="9"/>
    <w:semiHidden/>
    <w:rsid w:val="00FC693F"/>
    <w:rPr>
      <w:rFonts w:ascii="Times New Roman" w:eastAsia="Times New Roman" w:hAnsi="Times New Roman" w:cs="Times New Roman"/>
      <w:color w:val="243F60" w:themeColor="accent1" w:themeShade="7F"/>
    </w:rPr>
  </w:style>
  <w:style w:type="character" w:customStyle="1" w:styleId="60">
    <w:name w:val="見出し 6 (文字)"/>
    <w:basedOn w:val="a2"/>
    <w:link w:val="6"/>
    <w:uiPriority w:val="9"/>
    <w:semiHidden/>
    <w:rsid w:val="00FC693F"/>
    <w:rPr>
      <w:rFonts w:ascii="Times New Roman" w:eastAsia="Times New Roman" w:hAnsi="Times New Roman" w:cs="Times New Roman"/>
      <w:i/>
      <w:iCs/>
      <w:color w:val="243F60" w:themeColor="accent1" w:themeShade="7F"/>
    </w:rPr>
  </w:style>
  <w:style w:type="character" w:customStyle="1" w:styleId="70">
    <w:name w:val="見出し 7 (文字)"/>
    <w:basedOn w:val="a2"/>
    <w:link w:val="7"/>
    <w:uiPriority w:val="9"/>
    <w:semiHidden/>
    <w:rsid w:val="00FC693F"/>
    <w:rPr>
      <w:rFonts w:ascii="Times New Roman" w:eastAsia="Times New Roman" w:hAnsi="Times New Roman" w:cs="Times New Roman"/>
      <w:i/>
      <w:iCs/>
      <w:color w:val="404040" w:themeColor="text1" w:themeTint="BF"/>
    </w:rPr>
  </w:style>
  <w:style w:type="character" w:customStyle="1" w:styleId="80">
    <w:name w:val="見出し 8 (文字)"/>
    <w:basedOn w:val="a2"/>
    <w:link w:val="8"/>
    <w:uiPriority w:val="9"/>
    <w:semiHidden/>
    <w:rsid w:val="00FC693F"/>
    <w:rPr>
      <w:rFonts w:ascii="Times New Roman" w:eastAsia="Times New Roman" w:hAnsi="Times New Roman" w:cs="Times New Roman"/>
      <w:color w:val="4F81BD" w:themeColor="accent1"/>
      <w:sz w:val="20"/>
      <w:szCs w:val="20"/>
    </w:rPr>
  </w:style>
  <w:style w:type="character" w:customStyle="1" w:styleId="90">
    <w:name w:val="見出し 9 (文字)"/>
    <w:basedOn w:val="a2"/>
    <w:link w:val="9"/>
    <w:uiPriority w:val="9"/>
    <w:semiHidden/>
    <w:rsid w:val="00FC693F"/>
    <w:rPr>
      <w:rFonts w:ascii="Times New Roman" w:eastAsia="Times New Roman" w:hAnsi="Times New Roman" w:cs="Times New Roman"/>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rFonts w:ascii="Times New Roman" w:eastAsia="Times New Roman" w:hAnsi="Times New Roman" w:cs="Times New Roman"/>
      <w:b/>
      <w:bCs/>
    </w:rPr>
  </w:style>
  <w:style w:type="character" w:styleId="af9">
    <w:name w:val="Emphasis"/>
    <w:basedOn w:val="a2"/>
    <w:uiPriority w:val="20"/>
    <w:qFormat/>
    <w:rsid w:val="00FC693F"/>
    <w:rPr>
      <w:rFonts w:ascii="Times New Roman" w:eastAsia="Times New Roman" w:hAnsi="Times New Roman" w:cs="Times New Roman"/>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rFonts w:ascii="Times New Roman" w:eastAsia="Times New Roman" w:hAnsi="Times New Roman" w:cs="Times New Roman"/>
      <w:b/>
      <w:bCs/>
      <w:i/>
      <w:iCs/>
      <w:color w:val="4F81BD" w:themeColor="accent1"/>
    </w:rPr>
  </w:style>
  <w:style w:type="character" w:styleId="afa">
    <w:name w:val="Subtle Emphasis"/>
    <w:basedOn w:val="a2"/>
    <w:uiPriority w:val="19"/>
    <w:qFormat/>
    <w:rsid w:val="00FC693F"/>
    <w:rPr>
      <w:rFonts w:ascii="Times New Roman" w:eastAsia="Times New Roman" w:hAnsi="Times New Roman" w:cs="Times New Roman"/>
      <w:i/>
      <w:iCs/>
      <w:color w:val="808080" w:themeColor="text1" w:themeTint="7F"/>
    </w:rPr>
  </w:style>
  <w:style w:type="character" w:styleId="29">
    <w:name w:val="Intense Emphasis"/>
    <w:basedOn w:val="a2"/>
    <w:uiPriority w:val="21"/>
    <w:qFormat/>
    <w:rsid w:val="00FC693F"/>
    <w:rPr>
      <w:rFonts w:ascii="Times New Roman" w:eastAsia="Times New Roman" w:hAnsi="Times New Roman" w:cs="Times New Roman"/>
      <w:b/>
      <w:bCs/>
      <w:i/>
      <w:iCs/>
      <w:color w:val="4F81BD" w:themeColor="accent1"/>
    </w:rPr>
  </w:style>
  <w:style w:type="character" w:styleId="afb">
    <w:name w:val="Subtle Reference"/>
    <w:basedOn w:val="a2"/>
    <w:uiPriority w:val="31"/>
    <w:qFormat/>
    <w:rsid w:val="00FC693F"/>
    <w:rPr>
      <w:rFonts w:ascii="Times New Roman" w:eastAsia="Times New Roman" w:hAnsi="Times New Roman" w:cs="Times New Roman"/>
      <w:smallCaps/>
      <w:color w:val="C0504D" w:themeColor="accent2"/>
      <w:u w:val="single"/>
    </w:rPr>
  </w:style>
  <w:style w:type="character" w:styleId="2a">
    <w:name w:val="Intense Reference"/>
    <w:basedOn w:val="a2"/>
    <w:uiPriority w:val="32"/>
    <w:qFormat/>
    <w:rsid w:val="00FC693F"/>
    <w:rPr>
      <w:rFonts w:ascii="Times New Roman" w:eastAsia="Times New Roman" w:hAnsi="Times New Roman" w:cs="Times New Roman"/>
      <w:b/>
      <w:bCs/>
      <w:smallCaps/>
      <w:color w:val="C0504D" w:themeColor="accent2"/>
      <w:spacing w:val="5"/>
      <w:u w:val="single"/>
    </w:rPr>
  </w:style>
  <w:style w:type="character" w:styleId="afc">
    <w:name w:val="Book Title"/>
    <w:basedOn w:val="a2"/>
    <w:uiPriority w:val="33"/>
    <w:qFormat/>
    <w:rsid w:val="00FC693F"/>
    <w:rPr>
      <w:rFonts w:ascii="Times New Roman" w:eastAsia="Times New Roman" w:hAnsi="Times New Roman" w:cs="Times New Roman"/>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rFonts w:ascii="Times New Roman" w:eastAsia="Times New Roman" w:hAnsi="Times New Roman"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rFonts w:ascii="Times New Roman" w:eastAsia="Times New Roman" w:hAnsi="Times New Roman"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rFonts w:ascii="Times New Roman" w:eastAsia="Times New Roman" w:hAnsi="Times New Roman"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rFonts w:ascii="Times New Roman" w:eastAsia="Times New Roman" w:hAnsi="Times New Roman"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rFonts w:ascii="Times New Roman" w:eastAsia="Times New Roman" w:hAnsi="Times New Roman"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rFonts w:ascii="Times New Roman" w:eastAsia="Times New Roman" w:hAnsi="Times New Roman"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rFonts w:ascii="Times New Roman" w:eastAsia="Times New Roman" w:hAnsi="Times New Roman"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rFonts w:ascii="Times New Roman" w:eastAsia="Times New Roman" w:hAnsi="Times New Roman" w:cs="Times New Roman"/>
        <w:b/>
        <w:bCs/>
        <w:color w:val="FFFFFF" w:themeColor="background1"/>
      </w:rPr>
      <w:tblPr/>
      <w:tcPr>
        <w:shd w:val="clear" w:color="auto" w:fill="000000" w:themeFill="text1"/>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rFonts w:ascii="Times New Roman" w:eastAsia="Times New Roman" w:hAnsi="Times New Roman" w:cs="Times New Roman"/>
        <w:b/>
        <w:bCs/>
        <w:color w:val="FFFFFF" w:themeColor="background1"/>
      </w:rPr>
      <w:tblPr/>
      <w:tcPr>
        <w:shd w:val="clear" w:color="auto" w:fill="4F81BD" w:themeFill="accent1"/>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rFonts w:ascii="Times New Roman" w:eastAsia="Times New Roman" w:hAnsi="Times New Roman" w:cs="Times New Roman"/>
        <w:b/>
        <w:bCs/>
        <w:color w:val="FFFFFF" w:themeColor="background1"/>
      </w:rPr>
      <w:tblPr/>
      <w:tcPr>
        <w:shd w:val="clear" w:color="auto" w:fill="C0504D" w:themeFill="accent2"/>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rFonts w:ascii="Times New Roman" w:eastAsia="Times New Roman" w:hAnsi="Times New Roman" w:cs="Times New Roman"/>
        <w:b/>
        <w:bCs/>
        <w:color w:val="FFFFFF" w:themeColor="background1"/>
      </w:rPr>
      <w:tblPr/>
      <w:tcPr>
        <w:shd w:val="clear" w:color="auto" w:fill="9BBB59" w:themeFill="accent3"/>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rFonts w:ascii="Times New Roman" w:eastAsia="Times New Roman" w:hAnsi="Times New Roman" w:cs="Times New Roman"/>
        <w:b/>
        <w:bCs/>
        <w:color w:val="FFFFFF" w:themeColor="background1"/>
      </w:rPr>
      <w:tblPr/>
      <w:tcPr>
        <w:shd w:val="clear" w:color="auto" w:fill="8064A2" w:themeFill="accent4"/>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rFonts w:ascii="Times New Roman" w:eastAsia="Times New Roman" w:hAnsi="Times New Roman" w:cs="Times New Roman"/>
        <w:b/>
        <w:bCs/>
        <w:color w:val="FFFFFF" w:themeColor="background1"/>
      </w:rPr>
      <w:tblPr/>
      <w:tcPr>
        <w:shd w:val="clear" w:color="auto" w:fill="4BACC6" w:themeFill="accent5"/>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rFonts w:ascii="Times New Roman" w:eastAsia="Times New Roman" w:hAnsi="Times New Roman" w:cs="Times New Roman"/>
        <w:b/>
        <w:bCs/>
        <w:color w:val="FFFFFF" w:themeColor="background1"/>
      </w:rPr>
      <w:tblPr/>
      <w:tcPr>
        <w:shd w:val="clear" w:color="auto" w:fill="F79646" w:themeFill="accent6"/>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rFonts w:ascii="Times New Roman" w:eastAsia="Times New Roman" w:hAnsi="Times New Roman"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rFonts w:ascii="Times New Roman" w:eastAsia="Times New Roman" w:hAnsi="Times New Roman"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rFonts w:ascii="Times New Roman" w:eastAsia="Times New Roman" w:hAnsi="Times New Roman"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rFonts w:ascii="Times New Roman" w:eastAsia="Times New Roman" w:hAnsi="Times New Roman"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rFonts w:ascii="Times New Roman" w:eastAsia="Times New Roman" w:hAnsi="Times New Roman"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rFonts w:ascii="Times New Roman" w:eastAsia="Times New Roman" w:hAnsi="Times New Roman"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rFonts w:ascii="Times New Roman" w:eastAsia="Times New Roman" w:hAnsi="Times New Roman"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rFonts w:ascii="Times New Roman" w:eastAsia="Times New Roman" w:hAnsi="Times New Roman"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ascii="Times New Roman" w:eastAsia="Times New Roman" w:hAnsi="Times New Roman" w:cs="Times New Roman"/>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rFonts w:ascii="Times New Roman" w:eastAsia="Times New Roman" w:hAnsi="Times New Roman"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ascii="Times New Roman" w:eastAsia="Times New Roman" w:hAnsi="Times New Roman" w:cs="Times New Roman"/>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rFonts w:ascii="Times New Roman" w:eastAsia="Times New Roman" w:hAnsi="Times New Roman"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ascii="Times New Roman" w:eastAsia="Times New Roman" w:hAnsi="Times New Roman" w:cs="Times New Roman"/>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rFonts w:ascii="Times New Roman" w:eastAsia="Times New Roman" w:hAnsi="Times New Roman"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ascii="Times New Roman" w:eastAsia="Times New Roman" w:hAnsi="Times New Roman" w:cs="Times New Roman"/>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rFonts w:ascii="Times New Roman" w:eastAsia="Times New Roman" w:hAnsi="Times New Roman"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ascii="Times New Roman" w:eastAsia="Times New Roman" w:hAnsi="Times New Roman" w:cs="Times New Roman"/>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rFonts w:ascii="Times New Roman" w:eastAsia="Times New Roman" w:hAnsi="Times New Roman"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ascii="Times New Roman" w:eastAsia="Times New Roman" w:hAnsi="Times New Roman" w:cs="Times New Roman"/>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rFonts w:ascii="Times New Roman" w:eastAsia="Times New Roman" w:hAnsi="Times New Roman"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ascii="Times New Roman" w:eastAsia="Times New Roman" w:hAnsi="Times New Roman" w:cs="Times New Roman"/>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imes New Roman" w:eastAsia="Times New Roman" w:hAnsi="Times New Roman" w:cs="Times New Roman"/>
      </w:rPr>
      <w:tblPr/>
      <w:tcPr>
        <w:tcBorders>
          <w:top w:val="nil"/>
          <w:bottom w:val="single" w:sz="8" w:space="0" w:color="000000" w:themeColor="text1"/>
        </w:tcBorders>
      </w:tcPr>
    </w:tblStylePr>
    <w:tblStylePr w:type="lastRow">
      <w:rPr>
        <w:rFonts w:ascii="Times New Roman" w:eastAsia="Times New Roman" w:hAnsi="Times New Roman"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imes New Roman" w:eastAsia="Times New Roman" w:hAnsi="Times New Roman" w:cs="Times New Roman"/>
      </w:rPr>
      <w:tblPr/>
      <w:tcPr>
        <w:tcBorders>
          <w:top w:val="nil"/>
          <w:bottom w:val="single" w:sz="8" w:space="0" w:color="4F81BD" w:themeColor="accent1"/>
        </w:tcBorders>
      </w:tcPr>
    </w:tblStylePr>
    <w:tblStylePr w:type="lastRow">
      <w:rPr>
        <w:rFonts w:ascii="Times New Roman" w:eastAsia="Times New Roman" w:hAnsi="Times New Roman"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imes New Roman" w:eastAsia="Times New Roman" w:hAnsi="Times New Roman" w:cs="Times New Roman"/>
      </w:rPr>
      <w:tblPr/>
      <w:tcPr>
        <w:tcBorders>
          <w:top w:val="nil"/>
          <w:bottom w:val="single" w:sz="8" w:space="0" w:color="C0504D" w:themeColor="accent2"/>
        </w:tcBorders>
      </w:tcPr>
    </w:tblStylePr>
    <w:tblStylePr w:type="lastRow">
      <w:rPr>
        <w:rFonts w:ascii="Times New Roman" w:eastAsia="Times New Roman" w:hAnsi="Times New Roman"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imes New Roman" w:eastAsia="Times New Roman" w:hAnsi="Times New Roman" w:cs="Times New Roman"/>
      </w:rPr>
      <w:tblPr/>
      <w:tcPr>
        <w:tcBorders>
          <w:top w:val="nil"/>
          <w:bottom w:val="single" w:sz="8" w:space="0" w:color="9BBB59" w:themeColor="accent3"/>
        </w:tcBorders>
      </w:tcPr>
    </w:tblStylePr>
    <w:tblStylePr w:type="lastRow">
      <w:rPr>
        <w:rFonts w:ascii="Times New Roman" w:eastAsia="Times New Roman" w:hAnsi="Times New Roman"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imes New Roman" w:eastAsia="Times New Roman" w:hAnsi="Times New Roman" w:cs="Times New Roman"/>
      </w:rPr>
      <w:tblPr/>
      <w:tcPr>
        <w:tcBorders>
          <w:top w:val="nil"/>
          <w:bottom w:val="single" w:sz="8" w:space="0" w:color="8064A2" w:themeColor="accent4"/>
        </w:tcBorders>
      </w:tcPr>
    </w:tblStylePr>
    <w:tblStylePr w:type="lastRow">
      <w:rPr>
        <w:rFonts w:ascii="Times New Roman" w:eastAsia="Times New Roman" w:hAnsi="Times New Roman"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imes New Roman" w:eastAsia="Times New Roman" w:hAnsi="Times New Roman" w:cs="Times New Roman"/>
      </w:rPr>
      <w:tblPr/>
      <w:tcPr>
        <w:tcBorders>
          <w:top w:val="nil"/>
          <w:bottom w:val="single" w:sz="8" w:space="0" w:color="4BACC6" w:themeColor="accent5"/>
        </w:tcBorders>
      </w:tcPr>
    </w:tblStylePr>
    <w:tblStylePr w:type="lastRow">
      <w:rPr>
        <w:rFonts w:ascii="Times New Roman" w:eastAsia="Times New Roman" w:hAnsi="Times New Roman"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imes New Roman" w:eastAsia="Times New Roman" w:hAnsi="Times New Roman" w:cs="Times New Roman"/>
      </w:rPr>
      <w:tblPr/>
      <w:tcPr>
        <w:tcBorders>
          <w:top w:val="nil"/>
          <w:bottom w:val="single" w:sz="8" w:space="0" w:color="F79646" w:themeColor="accent6"/>
        </w:tcBorders>
      </w:tcPr>
    </w:tblStylePr>
    <w:tblStylePr w:type="lastRow">
      <w:rPr>
        <w:rFonts w:ascii="Times New Roman" w:eastAsia="Times New Roman" w:hAnsi="Times New Roman"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ascii="Times New Roman" w:eastAsia="Times New Roman" w:hAnsi="Times New Roman"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ascii="Times New Roman" w:eastAsia="Times New Roman" w:hAnsi="Times New Roman"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ascii="Times New Roman" w:eastAsia="Times New Roman" w:hAnsi="Times New Roman"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ascii="Times New Roman" w:eastAsia="Times New Roman" w:hAnsi="Times New Roman"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ascii="Times New Roman" w:eastAsia="Times New Roman" w:hAnsi="Times New Roman"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ascii="Times New Roman" w:eastAsia="Times New Roman" w:hAnsi="Times New Roman"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ascii="Times New Roman" w:eastAsia="Times New Roman" w:hAnsi="Times New Roman"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ascii="Times New Roman" w:eastAsia="Times New Roman" w:hAnsi="Times New Roman" w:cs="Times New Roman"/>
        <w:b/>
        <w:bCs/>
      </w:rPr>
    </w:tblStylePr>
    <w:tblStylePr w:type="lastRow">
      <w:rPr>
        <w:rFonts w:ascii="Times New Roman" w:eastAsia="Times New Roman" w:hAnsi="Times New Roman" w:cs="Times New Roman"/>
        <w:b/>
        <w:bCs/>
      </w:rPr>
      <w:tblPr/>
      <w:tcPr>
        <w:tcBorders>
          <w:top w:val="single" w:sz="18" w:space="0" w:color="404040" w:themeColor="text1" w:themeTint="B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ascii="Times New Roman" w:eastAsia="Times New Roman" w:hAnsi="Times New Roman" w:cs="Times New Roman"/>
        <w:b/>
        <w:bCs/>
      </w:rPr>
    </w:tblStylePr>
    <w:tblStylePr w:type="lastRow">
      <w:rPr>
        <w:rFonts w:ascii="Times New Roman" w:eastAsia="Times New Roman" w:hAnsi="Times New Roman" w:cs="Times New Roman"/>
        <w:b/>
        <w:bCs/>
      </w:rPr>
      <w:tblPr/>
      <w:tcPr>
        <w:tcBorders>
          <w:top w:val="single" w:sz="18" w:space="0" w:color="7BA0CD" w:themeColor="accent1" w:themeTint="B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ascii="Times New Roman" w:eastAsia="Times New Roman" w:hAnsi="Times New Roman" w:cs="Times New Roman"/>
        <w:b/>
        <w:bCs/>
      </w:rPr>
    </w:tblStylePr>
    <w:tblStylePr w:type="lastRow">
      <w:rPr>
        <w:rFonts w:ascii="Times New Roman" w:eastAsia="Times New Roman" w:hAnsi="Times New Roman" w:cs="Times New Roman"/>
        <w:b/>
        <w:bCs/>
      </w:rPr>
      <w:tblPr/>
      <w:tcPr>
        <w:tcBorders>
          <w:top w:val="single" w:sz="18" w:space="0" w:color="CF7B79" w:themeColor="accent2" w:themeTint="B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ascii="Times New Roman" w:eastAsia="Times New Roman" w:hAnsi="Times New Roman" w:cs="Times New Roman"/>
        <w:b/>
        <w:bCs/>
      </w:rPr>
    </w:tblStylePr>
    <w:tblStylePr w:type="lastRow">
      <w:rPr>
        <w:rFonts w:ascii="Times New Roman" w:eastAsia="Times New Roman" w:hAnsi="Times New Roman" w:cs="Times New Roman"/>
        <w:b/>
        <w:bCs/>
      </w:rPr>
      <w:tblPr/>
      <w:tcPr>
        <w:tcBorders>
          <w:top w:val="single" w:sz="18" w:space="0" w:color="B3CC82" w:themeColor="accent3" w:themeTint="B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ascii="Times New Roman" w:eastAsia="Times New Roman" w:hAnsi="Times New Roman" w:cs="Times New Roman"/>
        <w:b/>
        <w:bCs/>
      </w:rPr>
    </w:tblStylePr>
    <w:tblStylePr w:type="lastRow">
      <w:rPr>
        <w:rFonts w:ascii="Times New Roman" w:eastAsia="Times New Roman" w:hAnsi="Times New Roman" w:cs="Times New Roman"/>
        <w:b/>
        <w:bCs/>
      </w:rPr>
      <w:tblPr/>
      <w:tcPr>
        <w:tcBorders>
          <w:top w:val="single" w:sz="18" w:space="0" w:color="9F8AB9" w:themeColor="accent4" w:themeTint="B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ascii="Times New Roman" w:eastAsia="Times New Roman" w:hAnsi="Times New Roman" w:cs="Times New Roman"/>
        <w:b/>
        <w:bCs/>
      </w:rPr>
    </w:tblStylePr>
    <w:tblStylePr w:type="lastRow">
      <w:rPr>
        <w:rFonts w:ascii="Times New Roman" w:eastAsia="Times New Roman" w:hAnsi="Times New Roman" w:cs="Times New Roman"/>
        <w:b/>
        <w:bCs/>
      </w:rPr>
      <w:tblPr/>
      <w:tcPr>
        <w:tcBorders>
          <w:top w:val="single" w:sz="18" w:space="0" w:color="78C0D4" w:themeColor="accent5" w:themeTint="B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ascii="Times New Roman" w:eastAsia="Times New Roman" w:hAnsi="Times New Roman" w:cs="Times New Roman"/>
        <w:b/>
        <w:bCs/>
      </w:rPr>
    </w:tblStylePr>
    <w:tblStylePr w:type="lastRow">
      <w:rPr>
        <w:rFonts w:ascii="Times New Roman" w:eastAsia="Times New Roman" w:hAnsi="Times New Roman" w:cs="Times New Roman"/>
        <w:b/>
        <w:bCs/>
      </w:rPr>
      <w:tblPr/>
      <w:tcPr>
        <w:tcBorders>
          <w:top w:val="single" w:sz="18" w:space="0" w:color="F9B074" w:themeColor="accent6" w:themeTint="B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ascii="Times New Roman" w:eastAsia="Times New Roman" w:hAnsi="Times New Roman" w:cs="Times New Roman"/>
        <w:b/>
        <w:bCs/>
        <w:color w:val="000000" w:themeColor="text1"/>
      </w:rPr>
      <w:tblPr/>
      <w:tcPr>
        <w:shd w:val="clear" w:color="auto" w:fill="E6E6E6" w:themeFill="text1" w:themeFillTint="19"/>
      </w:tcPr>
    </w:tblStylePr>
    <w:tblStylePr w:type="lastRow">
      <w:rPr>
        <w:rFonts w:ascii="Times New Roman" w:eastAsia="Times New Roman" w:hAnsi="Times New Roman"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ascii="Times New Roman" w:eastAsia="Times New Roman" w:hAnsi="Times New Roman" w:cs="Times New Roman"/>
        <w:b/>
        <w:bCs/>
        <w:color w:val="000000" w:themeColor="text1"/>
      </w:rPr>
      <w:tblPr/>
      <w:tcPr>
        <w:shd w:val="clear" w:color="auto" w:fill="EDF2F8" w:themeFill="accent1" w:themeFillTint="19"/>
      </w:tcPr>
    </w:tblStylePr>
    <w:tblStylePr w:type="lastRow">
      <w:rPr>
        <w:rFonts w:ascii="Times New Roman" w:eastAsia="Times New Roman" w:hAnsi="Times New Roman"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ascii="Times New Roman" w:eastAsia="Times New Roman" w:hAnsi="Times New Roman" w:cs="Times New Roman"/>
        <w:b/>
        <w:bCs/>
        <w:color w:val="000000" w:themeColor="text1"/>
      </w:rPr>
      <w:tblPr/>
      <w:tcPr>
        <w:shd w:val="clear" w:color="auto" w:fill="F8EDED" w:themeFill="accent2" w:themeFillTint="19"/>
      </w:tcPr>
    </w:tblStylePr>
    <w:tblStylePr w:type="lastRow">
      <w:rPr>
        <w:rFonts w:ascii="Times New Roman" w:eastAsia="Times New Roman" w:hAnsi="Times New Roman"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ascii="Times New Roman" w:eastAsia="Times New Roman" w:hAnsi="Times New Roman" w:cs="Times New Roman"/>
        <w:b/>
        <w:bCs/>
        <w:color w:val="000000" w:themeColor="text1"/>
      </w:rPr>
      <w:tblPr/>
      <w:tcPr>
        <w:shd w:val="clear" w:color="auto" w:fill="F5F8EE" w:themeFill="accent3" w:themeFillTint="19"/>
      </w:tcPr>
    </w:tblStylePr>
    <w:tblStylePr w:type="lastRow">
      <w:rPr>
        <w:rFonts w:ascii="Times New Roman" w:eastAsia="Times New Roman" w:hAnsi="Times New Roman"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ascii="Times New Roman" w:eastAsia="Times New Roman" w:hAnsi="Times New Roman" w:cs="Times New Roman"/>
        <w:b/>
        <w:bCs/>
        <w:color w:val="000000" w:themeColor="text1"/>
      </w:rPr>
      <w:tblPr/>
      <w:tcPr>
        <w:shd w:val="clear" w:color="auto" w:fill="F2EFF6" w:themeFill="accent4" w:themeFillTint="19"/>
      </w:tcPr>
    </w:tblStylePr>
    <w:tblStylePr w:type="lastRow">
      <w:rPr>
        <w:rFonts w:ascii="Times New Roman" w:eastAsia="Times New Roman" w:hAnsi="Times New Roman"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ascii="Times New Roman" w:eastAsia="Times New Roman" w:hAnsi="Times New Roman" w:cs="Times New Roman"/>
        <w:b/>
        <w:bCs/>
        <w:color w:val="000000" w:themeColor="text1"/>
      </w:rPr>
      <w:tblPr/>
      <w:tcPr>
        <w:shd w:val="clear" w:color="auto" w:fill="EDF6F9" w:themeFill="accent5" w:themeFillTint="19"/>
      </w:tcPr>
    </w:tblStylePr>
    <w:tblStylePr w:type="lastRow">
      <w:rPr>
        <w:rFonts w:ascii="Times New Roman" w:eastAsia="Times New Roman" w:hAnsi="Times New Roman"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ascii="Times New Roman" w:eastAsia="Times New Roman" w:hAnsi="Times New Roman" w:cs="Times New Roman"/>
        <w:b/>
        <w:bCs/>
        <w:color w:val="000000" w:themeColor="text1"/>
      </w:rPr>
      <w:tblPr/>
      <w:tcPr>
        <w:shd w:val="clear" w:color="auto" w:fill="FEF4EC" w:themeFill="accent6" w:themeFillTint="19"/>
      </w:tcPr>
    </w:tblStylePr>
    <w:tblStylePr w:type="lastRow">
      <w:rPr>
        <w:rFonts w:ascii="Times New Roman" w:eastAsia="Times New Roman" w:hAnsi="Times New Roman"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ascii="Times New Roman" w:eastAsia="Times New Roman" w:hAnsi="Times New Roman"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ascii="Times New Roman" w:eastAsia="Times New Roman" w:hAnsi="Times New Roman"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ascii="Times New Roman" w:eastAsia="Times New Roman" w:hAnsi="Times New Roman"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ascii="Times New Roman" w:eastAsia="Times New Roman" w:hAnsi="Times New Roman"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ascii="Times New Roman" w:eastAsia="Times New Roman" w:hAnsi="Times New Roman"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ascii="Times New Roman" w:eastAsia="Times New Roman" w:hAnsi="Times New Roman"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ascii="Times New Roman" w:eastAsia="Times New Roman" w:hAnsi="Times New Roman"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ascii="Times New Roman" w:eastAsia="Times New Roman" w:hAnsi="Times New Roman"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ascii="Times New Roman" w:eastAsia="Times New Roman" w:hAnsi="Times New Roman"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ascii="Times New Roman" w:eastAsia="Times New Roman" w:hAnsi="Times New Roman"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ascii="Times New Roman" w:eastAsia="Times New Roman" w:hAnsi="Times New Roman"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ascii="Times New Roman" w:eastAsia="Times New Roman" w:hAnsi="Times New Roman"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ascii="Times New Roman" w:eastAsia="Times New Roman" w:hAnsi="Times New Roman"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ascii="Times New Roman" w:eastAsia="Times New Roman" w:hAnsi="Times New Roman"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ascii="Times New Roman" w:eastAsia="Times New Roman" w:hAnsi="Times New Roman"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ascii="Times New Roman" w:eastAsia="Times New Roman" w:hAnsi="Times New Roman"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ascii="Times New Roman" w:eastAsia="Times New Roman" w:hAnsi="Times New Roman"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ascii="Times New Roman" w:eastAsia="Times New Roman" w:hAnsi="Times New Roman"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ascii="Times New Roman" w:eastAsia="Times New Roman" w:hAnsi="Times New Roman"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ascii="Times New Roman" w:eastAsia="Times New Roman" w:hAnsi="Times New Roman"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ascii="Times New Roman" w:eastAsia="Times New Roman" w:hAnsi="Times New Roman"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ascii="Times New Roman" w:eastAsia="Times New Roman" w:hAnsi="Times New Roman"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ascii="Times New Roman" w:eastAsia="Times New Roman" w:hAnsi="Times New Roman"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ascii="Times New Roman" w:eastAsia="Times New Roman" w:hAnsi="Times New Roman"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ascii="Times New Roman" w:eastAsia="Times New Roman" w:hAnsi="Times New Roman"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ascii="Times New Roman" w:eastAsia="Times New Roman" w:hAnsi="Times New Roman"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ascii="Times New Roman" w:eastAsia="Times New Roman" w:hAnsi="Times New Roman"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ascii="Times New Roman" w:eastAsia="Times New Roman" w:hAnsi="Times New Roman"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rFonts w:ascii="Times New Roman" w:eastAsia="Times New Roman" w:hAnsi="Times New Roman"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rFonts w:ascii="Times New Roman" w:eastAsia="Times New Roman" w:hAnsi="Times New Roman"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rFonts w:ascii="Times New Roman" w:eastAsia="Times New Roman" w:hAnsi="Times New Roman"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rFonts w:ascii="Times New Roman" w:eastAsia="Times New Roman" w:hAnsi="Times New Roman"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rFonts w:ascii="Times New Roman" w:eastAsia="Times New Roman" w:hAnsi="Times New Roman"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rFonts w:ascii="Times New Roman" w:eastAsia="Times New Roman" w:hAnsi="Times New Roman"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rFonts w:ascii="Times New Roman" w:eastAsia="Times New Roman" w:hAnsi="Times New Roman"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ascii="Times New Roman" w:eastAsia="Times New Roman" w:hAnsi="Times New Roman"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ascii="Times New Roman" w:eastAsia="Times New Roman" w:hAnsi="Times New Roman"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ascii="Times New Roman" w:eastAsia="Times New Roman" w:hAnsi="Times New Roman"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rFonts w:ascii="Times New Roman" w:eastAsia="Times New Roman" w:hAnsi="Times New Roman" w:cs="Times New Roman"/>
        <w:color w:val="000000" w:themeColor="text1"/>
      </w:rPr>
    </w:tblStylePr>
    <w:tblStylePr w:type="nwCell">
      <w:rPr>
        <w:rFonts w:ascii="Times New Roman" w:eastAsia="Times New Roman" w:hAnsi="Times New Roman" w:cs="Times New Roman"/>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ascii="Times New Roman" w:eastAsia="Times New Roman" w:hAnsi="Times New Roman"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ascii="Times New Roman" w:eastAsia="Times New Roman" w:hAnsi="Times New Roman"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ascii="Times New Roman" w:eastAsia="Times New Roman" w:hAnsi="Times New Roman"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rFonts w:ascii="Times New Roman" w:eastAsia="Times New Roman" w:hAnsi="Times New Roman" w:cs="Times New Roman"/>
        <w:color w:val="000000" w:themeColor="text1"/>
      </w:rPr>
    </w:tblStylePr>
    <w:tblStylePr w:type="nwCell">
      <w:rPr>
        <w:rFonts w:ascii="Times New Roman" w:eastAsia="Times New Roman" w:hAnsi="Times New Roman" w:cs="Times New Roman"/>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ascii="Times New Roman" w:eastAsia="Times New Roman" w:hAnsi="Times New Roman"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ascii="Times New Roman" w:eastAsia="Times New Roman" w:hAnsi="Times New Roman"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ascii="Times New Roman" w:eastAsia="Times New Roman" w:hAnsi="Times New Roman"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rFonts w:ascii="Times New Roman" w:eastAsia="Times New Roman" w:hAnsi="Times New Roman" w:cs="Times New Roman"/>
        <w:color w:val="000000" w:themeColor="text1"/>
      </w:rPr>
    </w:tblStylePr>
    <w:tblStylePr w:type="nwCell">
      <w:rPr>
        <w:rFonts w:ascii="Times New Roman" w:eastAsia="Times New Roman" w:hAnsi="Times New Roman" w:cs="Times New Roman"/>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ascii="Times New Roman" w:eastAsia="Times New Roman" w:hAnsi="Times New Roman"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ascii="Times New Roman" w:eastAsia="Times New Roman" w:hAnsi="Times New Roman"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ascii="Times New Roman" w:eastAsia="Times New Roman" w:hAnsi="Times New Roman"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ascii="Times New Roman" w:eastAsia="Times New Roman" w:hAnsi="Times New Roman"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ascii="Times New Roman" w:eastAsia="Times New Roman" w:hAnsi="Times New Roman"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ascii="Times New Roman" w:eastAsia="Times New Roman" w:hAnsi="Times New Roman"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rFonts w:ascii="Times New Roman" w:eastAsia="Times New Roman" w:hAnsi="Times New Roman" w:cs="Times New Roman"/>
        <w:color w:val="000000" w:themeColor="text1"/>
      </w:rPr>
    </w:tblStylePr>
    <w:tblStylePr w:type="nwCell">
      <w:rPr>
        <w:rFonts w:ascii="Times New Roman" w:eastAsia="Times New Roman" w:hAnsi="Times New Roman" w:cs="Times New Roman"/>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ascii="Times New Roman" w:eastAsia="Times New Roman" w:hAnsi="Times New Roman"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ascii="Times New Roman" w:eastAsia="Times New Roman" w:hAnsi="Times New Roman"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ascii="Times New Roman" w:eastAsia="Times New Roman" w:hAnsi="Times New Roman"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rFonts w:ascii="Times New Roman" w:eastAsia="Times New Roman" w:hAnsi="Times New Roman" w:cs="Times New Roman"/>
        <w:color w:val="000000" w:themeColor="text1"/>
      </w:rPr>
    </w:tblStylePr>
    <w:tblStylePr w:type="nwCell">
      <w:rPr>
        <w:rFonts w:ascii="Times New Roman" w:eastAsia="Times New Roman" w:hAnsi="Times New Roman" w:cs="Times New Roman"/>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ascii="Times New Roman" w:eastAsia="Times New Roman" w:hAnsi="Times New Roman"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ascii="Times New Roman" w:eastAsia="Times New Roman" w:hAnsi="Times New Roman"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ascii="Times New Roman" w:eastAsia="Times New Roman" w:hAnsi="Times New Roman"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rFonts w:ascii="Times New Roman" w:eastAsia="Times New Roman" w:hAnsi="Times New Roman" w:cs="Times New Roman"/>
        <w:color w:val="000000" w:themeColor="text1"/>
      </w:rPr>
    </w:tblStylePr>
    <w:tblStylePr w:type="nwCell">
      <w:rPr>
        <w:rFonts w:ascii="Times New Roman" w:eastAsia="Times New Roman" w:hAnsi="Times New Roman" w:cs="Times New Roman"/>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rFonts w:ascii="Times New Roman" w:eastAsia="Times New Roman" w:hAnsi="Times New Roman"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ascii="Times New Roman" w:eastAsia="Times New Roman" w:hAnsi="Times New Roman"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rFonts w:ascii="Times New Roman" w:eastAsia="Times New Roman" w:hAnsi="Times New Roman"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ascii="Times New Roman" w:eastAsia="Times New Roman" w:hAnsi="Times New Roman"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rFonts w:ascii="Times New Roman" w:eastAsia="Times New Roman" w:hAnsi="Times New Roman"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ascii="Times New Roman" w:eastAsia="Times New Roman" w:hAnsi="Times New Roman"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rFonts w:ascii="Times New Roman" w:eastAsia="Times New Roman" w:hAnsi="Times New Roman"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ascii="Times New Roman" w:eastAsia="Times New Roman" w:hAnsi="Times New Roman"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rFonts w:ascii="Times New Roman" w:eastAsia="Times New Roman" w:hAnsi="Times New Roman"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ascii="Times New Roman" w:eastAsia="Times New Roman" w:hAnsi="Times New Roman"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rFonts w:ascii="Times New Roman" w:eastAsia="Times New Roman" w:hAnsi="Times New Roman"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ascii="Times New Roman" w:eastAsia="Times New Roman" w:hAnsi="Times New Roman"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rFonts w:ascii="Times New Roman" w:eastAsia="Times New Roman" w:hAnsi="Times New Roman"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ascii="Times New Roman" w:eastAsia="Times New Roman" w:hAnsi="Times New Roman"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ascii="Times New Roman" w:eastAsia="Times New Roman" w:hAnsi="Times New Roman" w:cs="Times New Roman"/>
        <w:b/>
        <w:bCs/>
      </w:rPr>
      <w:tblPr/>
      <w:tcPr>
        <w:shd w:val="clear" w:color="auto" w:fill="999999" w:themeFill="text1" w:themeFillTint="66"/>
      </w:tcPr>
    </w:tblStylePr>
    <w:tblStylePr w:type="lastRow">
      <w:rPr>
        <w:rFonts w:ascii="Times New Roman" w:eastAsia="Times New Roman" w:hAnsi="Times New Roman" w:cs="Times New Roman"/>
        <w:b/>
        <w:bCs/>
        <w:color w:val="000000" w:themeColor="text1"/>
      </w:rPr>
      <w:tblPr/>
      <w:tcPr>
        <w:shd w:val="clear" w:color="auto" w:fill="999999" w:themeFill="text1" w:themeFillTint="66"/>
      </w:tcPr>
    </w:tblStylePr>
    <w:tblStylePr w:type="firstCol">
      <w:rPr>
        <w:rFonts w:ascii="Times New Roman" w:eastAsia="Times New Roman" w:hAnsi="Times New Roman" w:cs="Times New Roman"/>
        <w:color w:val="FFFFFF" w:themeColor="background1"/>
      </w:rPr>
      <w:tblPr/>
      <w:tcPr>
        <w:shd w:val="clear" w:color="auto" w:fill="000000" w:themeFill="text1" w:themeFillShade="BF"/>
      </w:tcPr>
    </w:tblStylePr>
    <w:tblStylePr w:type="lastCol">
      <w:rPr>
        <w:rFonts w:ascii="Times New Roman" w:eastAsia="Times New Roman" w:hAnsi="Times New Roman" w:cs="Times New Roman"/>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ascii="Times New Roman" w:eastAsia="Times New Roman" w:hAnsi="Times New Roman" w:cs="Times New Roman"/>
        <w:b/>
        <w:bCs/>
      </w:rPr>
      <w:tblPr/>
      <w:tcPr>
        <w:shd w:val="clear" w:color="auto" w:fill="B8CCE4" w:themeFill="accent1" w:themeFillTint="66"/>
      </w:tcPr>
    </w:tblStylePr>
    <w:tblStylePr w:type="lastRow">
      <w:rPr>
        <w:rFonts w:ascii="Times New Roman" w:eastAsia="Times New Roman" w:hAnsi="Times New Roman" w:cs="Times New Roman"/>
        <w:b/>
        <w:bCs/>
        <w:color w:val="000000" w:themeColor="text1"/>
      </w:rPr>
      <w:tblPr/>
      <w:tcPr>
        <w:shd w:val="clear" w:color="auto" w:fill="B8CCE4" w:themeFill="accent1" w:themeFillTint="66"/>
      </w:tcPr>
    </w:tblStylePr>
    <w:tblStylePr w:type="firstCol">
      <w:rPr>
        <w:rFonts w:ascii="Times New Roman" w:eastAsia="Times New Roman" w:hAnsi="Times New Roman" w:cs="Times New Roman"/>
        <w:color w:val="FFFFFF" w:themeColor="background1"/>
      </w:rPr>
      <w:tblPr/>
      <w:tcPr>
        <w:shd w:val="clear" w:color="auto" w:fill="365F91" w:themeFill="accent1" w:themeFillShade="BF"/>
      </w:tcPr>
    </w:tblStylePr>
    <w:tblStylePr w:type="lastCol">
      <w:rPr>
        <w:rFonts w:ascii="Times New Roman" w:eastAsia="Times New Roman" w:hAnsi="Times New Roman" w:cs="Times New Roman"/>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ascii="Times New Roman" w:eastAsia="Times New Roman" w:hAnsi="Times New Roman" w:cs="Times New Roman"/>
        <w:b/>
        <w:bCs/>
      </w:rPr>
      <w:tblPr/>
      <w:tcPr>
        <w:shd w:val="clear" w:color="auto" w:fill="E5B8B7" w:themeFill="accent2" w:themeFillTint="66"/>
      </w:tcPr>
    </w:tblStylePr>
    <w:tblStylePr w:type="lastRow">
      <w:rPr>
        <w:rFonts w:ascii="Times New Roman" w:eastAsia="Times New Roman" w:hAnsi="Times New Roman" w:cs="Times New Roman"/>
        <w:b/>
        <w:bCs/>
        <w:color w:val="000000" w:themeColor="text1"/>
      </w:rPr>
      <w:tblPr/>
      <w:tcPr>
        <w:shd w:val="clear" w:color="auto" w:fill="E5B8B7" w:themeFill="accent2" w:themeFillTint="66"/>
      </w:tcPr>
    </w:tblStylePr>
    <w:tblStylePr w:type="firstCol">
      <w:rPr>
        <w:rFonts w:ascii="Times New Roman" w:eastAsia="Times New Roman" w:hAnsi="Times New Roman" w:cs="Times New Roman"/>
        <w:color w:val="FFFFFF" w:themeColor="background1"/>
      </w:rPr>
      <w:tblPr/>
      <w:tcPr>
        <w:shd w:val="clear" w:color="auto" w:fill="943634" w:themeFill="accent2" w:themeFillShade="BF"/>
      </w:tcPr>
    </w:tblStylePr>
    <w:tblStylePr w:type="lastCol">
      <w:rPr>
        <w:rFonts w:ascii="Times New Roman" w:eastAsia="Times New Roman" w:hAnsi="Times New Roman" w:cs="Times New Roman"/>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ascii="Times New Roman" w:eastAsia="Times New Roman" w:hAnsi="Times New Roman" w:cs="Times New Roman"/>
        <w:b/>
        <w:bCs/>
      </w:rPr>
      <w:tblPr/>
      <w:tcPr>
        <w:shd w:val="clear" w:color="auto" w:fill="D6E3BC" w:themeFill="accent3" w:themeFillTint="66"/>
      </w:tcPr>
    </w:tblStylePr>
    <w:tblStylePr w:type="lastRow">
      <w:rPr>
        <w:rFonts w:ascii="Times New Roman" w:eastAsia="Times New Roman" w:hAnsi="Times New Roman" w:cs="Times New Roman"/>
        <w:b/>
        <w:bCs/>
        <w:color w:val="000000" w:themeColor="text1"/>
      </w:rPr>
      <w:tblPr/>
      <w:tcPr>
        <w:shd w:val="clear" w:color="auto" w:fill="D6E3BC" w:themeFill="accent3" w:themeFillTint="66"/>
      </w:tcPr>
    </w:tblStylePr>
    <w:tblStylePr w:type="firstCol">
      <w:rPr>
        <w:rFonts w:ascii="Times New Roman" w:eastAsia="Times New Roman" w:hAnsi="Times New Roman" w:cs="Times New Roman"/>
        <w:color w:val="FFFFFF" w:themeColor="background1"/>
      </w:rPr>
      <w:tblPr/>
      <w:tcPr>
        <w:shd w:val="clear" w:color="auto" w:fill="76923C" w:themeFill="accent3" w:themeFillShade="BF"/>
      </w:tcPr>
    </w:tblStylePr>
    <w:tblStylePr w:type="lastCol">
      <w:rPr>
        <w:rFonts w:ascii="Times New Roman" w:eastAsia="Times New Roman" w:hAnsi="Times New Roman" w:cs="Times New Roman"/>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ascii="Times New Roman" w:eastAsia="Times New Roman" w:hAnsi="Times New Roman" w:cs="Times New Roman"/>
        <w:b/>
        <w:bCs/>
      </w:rPr>
      <w:tblPr/>
      <w:tcPr>
        <w:shd w:val="clear" w:color="auto" w:fill="CCC0D9" w:themeFill="accent4" w:themeFillTint="66"/>
      </w:tcPr>
    </w:tblStylePr>
    <w:tblStylePr w:type="lastRow">
      <w:rPr>
        <w:rFonts w:ascii="Times New Roman" w:eastAsia="Times New Roman" w:hAnsi="Times New Roman" w:cs="Times New Roman"/>
        <w:b/>
        <w:bCs/>
        <w:color w:val="000000" w:themeColor="text1"/>
      </w:rPr>
      <w:tblPr/>
      <w:tcPr>
        <w:shd w:val="clear" w:color="auto" w:fill="CCC0D9" w:themeFill="accent4" w:themeFillTint="66"/>
      </w:tcPr>
    </w:tblStylePr>
    <w:tblStylePr w:type="firstCol">
      <w:rPr>
        <w:rFonts w:ascii="Times New Roman" w:eastAsia="Times New Roman" w:hAnsi="Times New Roman" w:cs="Times New Roman"/>
        <w:color w:val="FFFFFF" w:themeColor="background1"/>
      </w:rPr>
      <w:tblPr/>
      <w:tcPr>
        <w:shd w:val="clear" w:color="auto" w:fill="5F497A" w:themeFill="accent4" w:themeFillShade="BF"/>
      </w:tcPr>
    </w:tblStylePr>
    <w:tblStylePr w:type="lastCol">
      <w:rPr>
        <w:rFonts w:ascii="Times New Roman" w:eastAsia="Times New Roman" w:hAnsi="Times New Roman" w:cs="Times New Roman"/>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ascii="Times New Roman" w:eastAsia="Times New Roman" w:hAnsi="Times New Roman" w:cs="Times New Roman"/>
        <w:b/>
        <w:bCs/>
      </w:rPr>
      <w:tblPr/>
      <w:tcPr>
        <w:shd w:val="clear" w:color="auto" w:fill="B6DDE8" w:themeFill="accent5" w:themeFillTint="66"/>
      </w:tcPr>
    </w:tblStylePr>
    <w:tblStylePr w:type="lastRow">
      <w:rPr>
        <w:rFonts w:ascii="Times New Roman" w:eastAsia="Times New Roman" w:hAnsi="Times New Roman" w:cs="Times New Roman"/>
        <w:b/>
        <w:bCs/>
        <w:color w:val="000000" w:themeColor="text1"/>
      </w:rPr>
      <w:tblPr/>
      <w:tcPr>
        <w:shd w:val="clear" w:color="auto" w:fill="B6DDE8" w:themeFill="accent5" w:themeFillTint="66"/>
      </w:tcPr>
    </w:tblStylePr>
    <w:tblStylePr w:type="firstCol">
      <w:rPr>
        <w:rFonts w:ascii="Times New Roman" w:eastAsia="Times New Roman" w:hAnsi="Times New Roman" w:cs="Times New Roman"/>
        <w:color w:val="FFFFFF" w:themeColor="background1"/>
      </w:rPr>
      <w:tblPr/>
      <w:tcPr>
        <w:shd w:val="clear" w:color="auto" w:fill="31849B" w:themeFill="accent5" w:themeFillShade="BF"/>
      </w:tcPr>
    </w:tblStylePr>
    <w:tblStylePr w:type="lastCol">
      <w:rPr>
        <w:rFonts w:ascii="Times New Roman" w:eastAsia="Times New Roman" w:hAnsi="Times New Roman" w:cs="Times New Roman"/>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ascii="Times New Roman" w:eastAsia="Times New Roman" w:hAnsi="Times New Roman" w:cs="Times New Roman"/>
        <w:b/>
        <w:bCs/>
      </w:rPr>
      <w:tblPr/>
      <w:tcPr>
        <w:shd w:val="clear" w:color="auto" w:fill="FBD4B4" w:themeFill="accent6" w:themeFillTint="66"/>
      </w:tcPr>
    </w:tblStylePr>
    <w:tblStylePr w:type="lastRow">
      <w:rPr>
        <w:rFonts w:ascii="Times New Roman" w:eastAsia="Times New Roman" w:hAnsi="Times New Roman" w:cs="Times New Roman"/>
        <w:b/>
        <w:bCs/>
        <w:color w:val="000000" w:themeColor="text1"/>
      </w:rPr>
      <w:tblPr/>
      <w:tcPr>
        <w:shd w:val="clear" w:color="auto" w:fill="FBD4B4" w:themeFill="accent6" w:themeFillTint="66"/>
      </w:tcPr>
    </w:tblStylePr>
    <w:tblStylePr w:type="firstCol">
      <w:rPr>
        <w:rFonts w:ascii="Times New Roman" w:eastAsia="Times New Roman" w:hAnsi="Times New Roman" w:cs="Times New Roman"/>
        <w:color w:val="FFFFFF" w:themeColor="background1"/>
      </w:rPr>
      <w:tblPr/>
      <w:tcPr>
        <w:shd w:val="clear" w:color="auto" w:fill="E36C0A" w:themeFill="accent6" w:themeFillShade="BF"/>
      </w:tcPr>
    </w:tblStylePr>
    <w:tblStylePr w:type="lastCol">
      <w:rPr>
        <w:rFonts w:ascii="Times New Roman" w:eastAsia="Times New Roman" w:hAnsi="Times New Roman" w:cs="Times New Roman"/>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1026</Words>
  <Characters>6789</Characters>
  <Application>Microsoft Office Word</Application>
  <DocSecurity>0</DocSecurity>
  <Lines>234</Lines>
  <Paragraphs>162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新也 梶浦</cp:lastModifiedBy>
  <cp:revision>4</cp:revision>
  <dcterms:created xsi:type="dcterms:W3CDTF">2026-08-02T23:00:00Z</dcterms:created>
  <dcterms:modified xsi:type="dcterms:W3CDTF">2026-08-03T06:48:00Z</dcterms:modified>
  <cp:category/>
</cp:coreProperties>
</file>