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3D162" w14:textId="77777777" w:rsidR="008F6E17" w:rsidRPr="00D86DE6" w:rsidRDefault="00000000" w:rsidP="00A77442">
      <w:pPr>
        <w:pStyle w:val="Heading1"/>
        <w:jc w:val="center"/>
      </w:pPr>
      <w:r>
        <w:t>Supplementary Information</w:t>
      </w:r>
    </w:p>
    <w:p w14:paraId="4C039C7A" w14:textId="31DD83DC" w:rsidR="00F92F59" w:rsidRDefault="00B75C9D" w:rsidP="00A77442">
      <w:pPr>
        <w:jc w:val="center"/>
        <w:rPr>
          <w:b/>
        </w:rPr>
      </w:pPr>
      <w:r>
        <w:rPr>
          <w:b/>
          <w:bCs/>
        </w:rPr>
        <w:t>Opportunities for Australia in space medicine: a realistic pathway to international participation</w:t>
      </w:r>
    </w:p>
    <w:p w14:paraId="40AA0686" w14:textId="77777777" w:rsidR="00F92F59" w:rsidRPr="00F92F59" w:rsidRDefault="00F92F59" w:rsidP="00F92F59">
      <w:pPr>
        <w:spacing w:after="0" w:line="240" w:lineRule="auto"/>
        <w:jc w:val="center"/>
        <w:rPr>
          <w:bCs/>
        </w:rPr>
      </w:pPr>
      <w:r>
        <w:rPr>
          <w:bCs/>
        </w:rPr>
        <w:t>Graeme Geoffrey Wren</w:t>
      </w:r>
    </w:p>
    <w:p w14:paraId="55C911CE" w14:textId="77777777" w:rsidR="00F92F59" w:rsidRPr="00F92F59" w:rsidRDefault="00F92F59" w:rsidP="00F92F59">
      <w:pPr>
        <w:spacing w:after="0" w:line="240" w:lineRule="auto"/>
        <w:jc w:val="center"/>
        <w:rPr>
          <w:bCs/>
        </w:rPr>
      </w:pPr>
      <w:r>
        <w:rPr>
          <w:bCs/>
        </w:rPr>
        <w:t>PhD (Aerospace), MSc (Aerospace), MSc (</w:t>
      </w:r>
      <w:proofErr w:type="spellStart"/>
      <w:r>
        <w:rPr>
          <w:bCs/>
        </w:rPr>
        <w:t>SigProc</w:t>
      </w:r>
      <w:proofErr w:type="spellEnd"/>
      <w:r>
        <w:rPr>
          <w:bCs/>
        </w:rPr>
        <w:t>), MSc (</w:t>
      </w:r>
      <w:proofErr w:type="spellStart"/>
      <w:r>
        <w:rPr>
          <w:bCs/>
        </w:rPr>
        <w:t>DefStud</w:t>
      </w:r>
      <w:proofErr w:type="spellEnd"/>
      <w:r>
        <w:rPr>
          <w:bCs/>
        </w:rPr>
        <w:t>), BEng (Mech)</w:t>
      </w:r>
    </w:p>
    <w:p w14:paraId="1DBCDE7C" w14:textId="77777777" w:rsidR="00F92F59" w:rsidRPr="00F92F59" w:rsidRDefault="00F92F59" w:rsidP="00F92F59">
      <w:pPr>
        <w:spacing w:after="0" w:line="240" w:lineRule="auto"/>
        <w:jc w:val="center"/>
        <w:rPr>
          <w:bCs/>
        </w:rPr>
      </w:pPr>
      <w:r>
        <w:rPr>
          <w:bCs/>
        </w:rPr>
        <w:t>Associate Senior Research Fellow, International Space Centre,</w:t>
      </w:r>
    </w:p>
    <w:p w14:paraId="2DD48547" w14:textId="71AFFBEF" w:rsidR="008F6E17" w:rsidRDefault="00F92F59" w:rsidP="00F92F59">
      <w:pPr>
        <w:spacing w:after="0" w:line="240" w:lineRule="auto"/>
        <w:jc w:val="center"/>
        <w:rPr>
          <w:bCs/>
        </w:rPr>
      </w:pPr>
      <w:r>
        <w:rPr>
          <w:bCs/>
        </w:rPr>
        <w:t>The University of Western Australia; Wing Commander (Retd)</w:t>
      </w:r>
    </w:p>
    <w:p w14:paraId="76AD009C" w14:textId="77777777" w:rsidR="00F92F59" w:rsidRPr="00F92F59" w:rsidRDefault="00F92F59" w:rsidP="00F92F59">
      <w:pPr>
        <w:spacing w:after="0" w:line="240" w:lineRule="auto"/>
        <w:jc w:val="center"/>
        <w:rPr>
          <w:bCs/>
        </w:rPr>
      </w:pPr>
    </w:p>
    <w:p w14:paraId="4D09C51E" w14:textId="2EC82422" w:rsidR="008F6E17" w:rsidRPr="00A77442" w:rsidRDefault="00000000" w:rsidP="00A77442">
      <w:pPr>
        <w:pStyle w:val="Title"/>
      </w:pPr>
      <w:r>
        <w:t>Appendix A—Principal Threats to Human Health and Countermeasures</w:t>
      </w:r>
    </w:p>
    <w:p w14:paraId="45770B03" w14:textId="77777777" w:rsidR="00EA6F2F" w:rsidRPr="00CF7B0D" w:rsidRDefault="00000000" w:rsidP="00CF7B0D">
      <w:pPr>
        <w:pStyle w:val="Heading1"/>
      </w:pPr>
      <w:r>
        <w:t>Microgravity and Partial Gravity</w:t>
      </w:r>
    </w:p>
    <w:p w14:paraId="0C9007DE" w14:textId="77777777" w:rsidR="00EA6F2F" w:rsidRPr="00CF7B0D" w:rsidRDefault="00000000" w:rsidP="00CF7B0D">
      <w:r>
        <w:t xml:space="preserve">Weightlessness removes the gravitational loading that drives bone mineralization and postural muscle maintenance. On the International Space Station (ISS), astronauts lose approximately 1–2% of trabecular bone mineral density per month despite two hours of daily resistive and aerobic exercise, with lumbar vertebrae and proximal femur most affected.1,2 On returning to Earth following a six-month ISS mission, recovery may require a period of over two years. </w:t>
      </w:r>
      <w:proofErr w:type="gramStart"/>
      <w:r>
        <w:t>Moreover</w:t>
      </w:r>
      <w:proofErr w:type="gramEnd"/>
      <w:r>
        <w:t xml:space="preserve"> a Mars expedition where gravity is 38% of Earth’s, presents a tangible fracture risk at the commencement of surface operations. The underlying cell biology involves a dissociation of osteoclast-mediated bone resorption and osteoblast-mediated formation, a process extensively characterised by the Bone Cell Biology and Disease Unit at St Vincent’s Institute of Medical Research.3,4,5</w:t>
      </w:r>
    </w:p>
    <w:p w14:paraId="38BB6C75" w14:textId="77777777" w:rsidR="00EA6F2F" w:rsidRPr="00CF7B0D" w:rsidRDefault="0092011F" w:rsidP="00CF7B0D">
      <w:r>
        <w:t>In addition, muscle mass loss, affecting predominantly muscles of the back, thigh, and calf, leads to reduced maximal force output and endurance. Cardiovascular deconditioning manifests as reduced plasma volume, altered cardiac morphology, reduced maximal oxygen uptake (VO₂ max), and orthostatic intolerance upon re-exposure to gravity. Specifically, cephalad fluid shift in microgravity induces hypovolaemia representing a 10–15% reduction in blood volume, with orthostatic intolerance observed in approximately 80% of astronauts following long-duration missions—a scenario of particular hazard at lunar or planetary landing when cardiovascular reserve is most critically demanded.6 Together these changes impose significant functional impairment precisely when mission success depends on physical performance, particularly during lunar or planetary surface extravehicular activities (EVAs).</w:t>
      </w:r>
    </w:p>
    <w:p w14:paraId="71AC289B" w14:textId="77777777" w:rsidR="00EA6F2F" w:rsidRPr="00CF7B0D" w:rsidRDefault="00000000" w:rsidP="00CF7B0D">
      <w:pPr>
        <w:pStyle w:val="Heading1"/>
      </w:pPr>
      <w:r>
        <w:t>Space Radiation</w:t>
      </w:r>
    </w:p>
    <w:p w14:paraId="05E17813" w14:textId="77777777" w:rsidR="00EA6F2F" w:rsidRPr="00CF7B0D" w:rsidRDefault="00000000" w:rsidP="00CF7B0D">
      <w:r>
        <w:t xml:space="preserve">Beyond the magnetospheric protection afforded to ISS crews, deep space astronauts are exposed to two primary radiation sources: galactic cosmic rays (GCRs)—high-energy, fully ionized nuclei originating outside the solar system—and solar particle events (SPEs), comprising predominantly protons ejected during solar flares and coronal mass ejections. Galactic cosmic radiation (GCR) comprises a spectrum of particles including </w:t>
      </w:r>
      <w:r>
        <w:lastRenderedPageBreak/>
        <w:t>high-charge and high-energy (HZE) ions that produce densely ionizing, biologically destructive radiation tracks. Exposure is continuous and largely unavoidable with current shielding technology.</w:t>
      </w:r>
    </w:p>
    <w:p w14:paraId="578D8CEA" w14:textId="77777777" w:rsidR="00EA6F2F" w:rsidRPr="00CF7B0D" w:rsidRDefault="00000000" w:rsidP="00CF7B0D">
      <w:r>
        <w:t>NASA’s radiation exposure limit for astronauts has historically been set at a 3% Risk of Exposure-Induced Death (REID) from cancer, a threshold that limits Mars mission eligibility to older crew members under current shielding assumptions. Projections indicate that astronauts travelling to Mars during heightened solar activity cycles may face up to a 20% reduction in allowable safe days in space under current limits.7 Beyond carcinogenesis, HZE radiation is associated with cardiovascular disease acceleration, cataract formation, central nervous system damage including cognitive impairment, neuroinflammation and reduced synaptic integrity leading to neurodegeneration, and acute radiation syndrome in the event of a major solar particle event (SPE) encountered outside a solar storm shelter.8,9 Non-targeted radiation effects—cellular damage responses propagated beyond directly irradiated cells—are increasingly recognised as a contributor to cumulative risk on multi-mission profiles.10</w:t>
      </w:r>
    </w:p>
    <w:p w14:paraId="4A4C0A74" w14:textId="77777777" w:rsidR="00EA6F2F" w:rsidRPr="00CF7B0D" w:rsidRDefault="00000000" w:rsidP="00CF7B0D">
      <w:pPr>
        <w:pStyle w:val="Heading1"/>
      </w:pPr>
      <w:r>
        <w:t>Spaceflight-Associated Neuro-Ocular Syndrome (SANS)</w:t>
      </w:r>
    </w:p>
    <w:p w14:paraId="609E3C82" w14:textId="77777777" w:rsidR="00EA6F2F" w:rsidRPr="00CF7B0D" w:rsidRDefault="00000000" w:rsidP="00CF7B0D">
      <w:r>
        <w:t xml:space="preserve">Spaceflight-Associated Neuro-Ocular Syndrome (SANS), formerly described as visual impairment intracranial pressure (VIIP) syndrome, has emerged as one of the most significant and incompletely understood threats to astronaut health identified in the past two decades. SANS is defined by the presence during or immediately following spaceflight of at least one of: optic disc oedema (≥20 microns increase in peripapillary total retinal thickness), </w:t>
      </w:r>
      <w:proofErr w:type="spellStart"/>
      <w:r>
        <w:t>chorioretinal</w:t>
      </w:r>
      <w:proofErr w:type="spellEnd"/>
      <w:r>
        <w:t xml:space="preserve"> folds, globe flattening, or a hyperopic refractive error shift of ≥0.75D.11 Approximately 70% of long-duration ISS crew members have demonstrated such ophthalmological changes, including optic disc oedema, globe flattening, choroidal folds, cotton wool spots, and hyperopic shifts.12,13 These changes are attributed to cephalad fluid shifts in microgravity elevating intracranial pressure and compressing the optic nerve sheath, though the precise mechanism remains debated.13 Brain anatomical changes occurring during long-duration spaceflight—including perivascular space enlargement and ventricular volume changes—are also being monitored in the astronaut population and may be linked to SANS pathophysiology.14 A more recent hypothesis implicates impairment of the brain’s glymphatic clearance system: microgravity-associated perivascular space enlargement may reduce glymphatic outflow, offering a candidate microscopic mechanism linking cephalad fluid shift to the optic nerve changes of SANS.15 The potential for permanent visual impairment on a multi-year Mars mission is a cardinal concern.16 The mechanistic underpinning of SANS has been substantially advanced by foundational research from the Lions Eye Institute (LEI) at The University of Western Australia (UWA). Professor William Morgan and colleagues established that cerebrospinal fluid pressure (CSFP) exerts an influence on the translaminar pressure gradient equivalent in magnitude to </w:t>
      </w:r>
      <w:r>
        <w:lastRenderedPageBreak/>
        <w:t>intraocular pressure (IOP). Their work demonstrated that retrolaminar tissue pressure is strongly determined by CSFP, and that optic disc surface position shifts anteriorly with increasing CSFP and posteriorly with increasing IOP.17,18 This work directly underpins the leading biomechanical hypothesis for SANS: that microgravity-induced cephalad fluid redistribution elevates CSFP relative to IOP, reducing or inverting the translaminar pressure gradient and imposing abnormal mechanical strain on the lamina cribrosa. Berdahl, Yu and Morgan further modelled the consequences of sustained zero gravity on this gradient, predicting that the chronically equalized hydrostatic column in microgravity would produce a translaminar pressure profile analogous to that seen in idiopathic intracranial hypertension, with consequent risk of axonal transport disruption at the optic nerve head.19</w:t>
      </w:r>
    </w:p>
    <w:p w14:paraId="39E06234" w14:textId="77777777" w:rsidR="00EA6F2F" w:rsidRPr="00CF7B0D" w:rsidRDefault="00000000" w:rsidP="00CF7B0D">
      <w:pPr>
        <w:pStyle w:val="Heading1"/>
      </w:pPr>
      <w:r>
        <w:t>Circadian Disruption and Sleep Impairment</w:t>
      </w:r>
    </w:p>
    <w:p w14:paraId="392B61BF" w14:textId="77777777" w:rsidR="00EA6F2F" w:rsidRPr="00CF7B0D" w:rsidRDefault="00000000" w:rsidP="00CF7B0D">
      <w:r>
        <w:t xml:space="preserve">Sleep disruption is endemic in spaceflight. Astronauts on the ISS average approximately six hours of sleep per night compared to a recommended seven to nine hours, attributable to altered light-dark cycles (sixteen sunrises per 24 h in low Earth orbit, LEO), noise, psychological stress, and workload. Circadian misalignment is compounded by the absence of natural light cues beyond Earth’s atmosphere. Chronic sleep restriction impairs cognitive performance, alertness, emotional regulation, and immune function. On a Mars mission, circadian entrainment is further complicated by the Martian </w:t>
      </w:r>
      <w:proofErr w:type="spellStart"/>
      <w:r>
        <w:t>sol</w:t>
      </w:r>
      <w:proofErr w:type="spellEnd"/>
      <w:r>
        <w:t xml:space="preserve"> of 24 h 39 min, requiring sustained adaptation of the human circadian clock beyond its physiological range.</w:t>
      </w:r>
    </w:p>
    <w:p w14:paraId="66814681" w14:textId="77777777" w:rsidR="00EA6F2F" w:rsidRPr="00CF7B0D" w:rsidRDefault="00000000" w:rsidP="00CF7B0D">
      <w:pPr>
        <w:rPr>
          <w:b/>
          <w:bCs/>
        </w:rPr>
      </w:pPr>
      <w:r>
        <w:rPr>
          <w:b/>
          <w:bCs/>
        </w:rPr>
        <w:t>Cognitive Performance and Behavioural Health</w:t>
      </w:r>
    </w:p>
    <w:p w14:paraId="64E59F86" w14:textId="77777777" w:rsidR="005761D3" w:rsidRPr="00CF7B0D" w:rsidRDefault="00000000" w:rsidP="00CF7B0D">
      <w:r>
        <w:t xml:space="preserve">The psychological demands of prolonged isolation, confinement, crew autonomy, and communication delay constitute a major risk category. Behavioural and psychiatric issues including interpersonal conflict, anxiety, depression, cognitive decline, and reduced motivation have been documented in both spaceflight and terrestrial analogue environments such as Antarctic winter-over expeditions and submersible deployments. </w:t>
      </w:r>
      <w:proofErr w:type="spellStart"/>
      <w:r>
        <w:t>Neurovestibular</w:t>
      </w:r>
      <w:proofErr w:type="spellEnd"/>
      <w:r>
        <w:t xml:space="preserve"> disturbance following entry into microgravity temporarily impairs spatial orientation, hand-eye coordination, and locomotion. The 520-day Mars-500 simulation study demonstrated significant inter-individual differences in behavioural and psychological responses to prolonged isolation and confinement, underscoring the importance of identifying predictive biomarkers and psychological traits for crew performance.20 More recent work using three 8–12 month NASA Human Exploration Research Analog (HERA) missions has characterised biobehavioural and psychosocial stress trajectories, identifying cortisol, dopamine, and serotonin metabolites as measurable biomarkers of stress under Mars-analogue isolation conditions.21 The NASA Twins Study further demonstrated persistent cognitive changes following year-long spaceflight, including alterations in processing speed and accuracy on cognitive tests that were partially reversed upon return to Earth.22</w:t>
      </w:r>
    </w:p>
    <w:p w14:paraId="5825C24D" w14:textId="79F5F7DE" w:rsidR="005761D3" w:rsidRPr="00CF7B0D" w:rsidRDefault="00CF7B0D" w:rsidP="00CF7B0D">
      <w:r>
        <w:rPr>
          <w:b/>
          <w:bCs/>
        </w:rPr>
        <w:lastRenderedPageBreak/>
        <w:t>The outcome.</w:t>
      </w:r>
      <w:r>
        <w:t xml:space="preserve"> Combined exposure to deep-space galactic cosmic radiation together with chronic sleep deprivation significantly compounds the risk of cognitive and behavioural deficits during an extended deep space mission. Radiation physically damages the brain's central nervous system, while sleep loss impairs prefrontal cortex functions, creating an environment where astronauts can struggle with critical decision-making and emergency response.</w:t>
      </w:r>
    </w:p>
    <w:p w14:paraId="6853C6CE" w14:textId="77777777" w:rsidR="00EA6F2F" w:rsidRPr="00CF7B0D" w:rsidRDefault="00000000" w:rsidP="00CF7B0D">
      <w:pPr>
        <w:pStyle w:val="Heading1"/>
      </w:pPr>
      <w:r>
        <w:t>Immunological Dysregulation</w:t>
      </w:r>
    </w:p>
    <w:p w14:paraId="796331EF" w14:textId="77777777" w:rsidR="00EA6F2F" w:rsidRPr="00CF7B0D" w:rsidRDefault="00000000" w:rsidP="00CF7B0D">
      <w:r>
        <w:t>Spaceflight induces multifaceted immune dysfunction including redistribution of lymphocyte subsets, reduced natural killer cell cytotoxicity, altered cytokine profiles, and reactivation of latent herpesviruses including Epstein-Barr virus, varicella zoster, herpes simplex, and cytomegalovirus.23,24,25 Clinical symptoms associated with immune dysregulation are reported at approximately 3.4 events per flight year, affecting around 46% of crew members.26 Single-cell transcriptomic analyses have demonstrated that as little as 25 h of simulated microgravity perturbs interferon signalling, cytoskeletal organisation, and innate inflammatory pathways in circulating immune cells, with documented upregulation of FOXP3 and suppression of major histocompatibility complex (MHC) class I gene expression in T-cells.23,27 Longitudinal multi-omics analysis of the Inspiration4 civilian spaceflight crew demonstrated time-dependent, multi-kingdom microbiome changes across ten body sites, with pan-phyletic viral activation and persistent oral microbiome shifts correlating with immune cell gene expression—highlighting the critical importance of maintaining microbiome homeostasis for astronaut health.28 The degree of immunosuppression correlates with mission duration. On a Mars mission, with no possibility of rapid medical evacuation and constrained pharmaceutical resources, immune compromise capable of permitting opportunistic infection or uncontrolled viral reactivation represents a life-threatening contingency.</w:t>
      </w:r>
    </w:p>
    <w:p w14:paraId="500170C7" w14:textId="77777777" w:rsidR="00EA6F2F" w:rsidRPr="00CF7B0D" w:rsidRDefault="00000000" w:rsidP="00CF7B0D">
      <w:pPr>
        <w:pStyle w:val="Heading1"/>
      </w:pPr>
      <w:r>
        <w:t>Nutrition and the Gut Microbiome</w:t>
      </w:r>
    </w:p>
    <w:p w14:paraId="40A34DBF" w14:textId="77777777" w:rsidR="00EA6F2F" w:rsidRPr="00CF7B0D" w:rsidRDefault="00000000" w:rsidP="00CF7B0D">
      <w:r>
        <w:t xml:space="preserve">Nutritional adequacy in space is constrained by limited food variety, degradation of nutrient content in long-duration stored rations, altered taste perception, reduced appetite secondary to psychological and physiological stressors, and altered gastrointestinal motility. Specific micronutrients critical to bone health (calcium, vitamin D), antioxidant protection (vitamins C and E, selenium), and neurological function (B vitamins, omega-3 fatty acids) may become deficient. The gut microbiome, increasingly recognised as integral to immune, metabolic, and neurological health, is substantially perturbed during spaceflight, with implications for </w:t>
      </w:r>
      <w:proofErr w:type="gramStart"/>
      <w:r>
        <w:t>all of</w:t>
      </w:r>
      <w:proofErr w:type="gramEnd"/>
      <w:r>
        <w:t xml:space="preserve"> the above domains.</w:t>
      </w:r>
    </w:p>
    <w:p w14:paraId="4B61B173" w14:textId="77777777" w:rsidR="00EA6F2F" w:rsidRPr="00CF7B0D" w:rsidRDefault="00000000" w:rsidP="00CF7B0D">
      <w:pPr>
        <w:pStyle w:val="Heading1"/>
      </w:pPr>
      <w:r>
        <w:t>Exercise Countermeasures</w:t>
      </w:r>
    </w:p>
    <w:p w14:paraId="4D5CD8DE" w14:textId="77777777" w:rsidR="00EA6F2F" w:rsidRPr="00CF7B0D" w:rsidRDefault="00000000" w:rsidP="00CF7B0D">
      <w:r>
        <w:t xml:space="preserve">Current exercise countermeasures on the ISS involve the Advanced Resistive Exercise Device (ARED), a cycle ergometer, and a treadmill with a subject loading device. Despite </w:t>
      </w:r>
      <w:r>
        <w:lastRenderedPageBreak/>
        <w:t>two hours of daily exercise, bone and muscle losses remain incompletely prevented and individual responses vary considerably.29 The mass, volume, and power constraints of deep space vehicles preclude direct replication of ISS exercise equipment. Novel approaches including lower body negative pressure (LBNP), electrical muscle stimulation, and pharmacological anabolic adjuncts are under investigation but none has achieved operational readiness for Mars.30,31 Blood flow restriction training (BFRT)—which combines low-load exercise with vascular occlusion to produce high-intensity training adaptations with reduced mechanical loading—has emerged as a promising space-efficient countermeasure strategy for maintaining musculoskeletal and cardiovascular health within the equipment constraints of a deep space vehicle.32 Musculoskeletal unloading also disrupts the irisin-FNDC5 axis that links muscle and bone homeostasis, a pathway increasingly relevant to pharmacological countermeasure design.33</w:t>
      </w:r>
    </w:p>
    <w:p w14:paraId="46167B0C" w14:textId="77777777" w:rsidR="00EA6F2F" w:rsidRPr="00CF7B0D" w:rsidRDefault="00000000" w:rsidP="00CF7B0D">
      <w:pPr>
        <w:pStyle w:val="Heading1"/>
      </w:pPr>
      <w:r>
        <w:t>Radiation Countermeasures</w:t>
      </w:r>
    </w:p>
    <w:p w14:paraId="7F9D6CEC" w14:textId="77777777" w:rsidR="00EA6F2F" w:rsidRPr="00CF7B0D" w:rsidRDefault="00000000" w:rsidP="00CF7B0D">
      <w:r>
        <w:t xml:space="preserve">Current radiation countermeasures are limited. Passive polyethylene shielding reduces secondary neutron production but is insufficient to attenuate high-energy GCR. Active electromagnetic shielding concepts remain technologically immature. Pharmacological radioprotectants such as </w:t>
      </w:r>
      <w:proofErr w:type="spellStart"/>
      <w:r>
        <w:t>amifostine</w:t>
      </w:r>
      <w:proofErr w:type="spellEnd"/>
      <w:r>
        <w:t xml:space="preserve"> are effective pre-exposure agents for SPE scenarios but systemic toxicity limits their suitability for chronic GCR prophylaxis. Antioxidant supplements, melatonin, and dietary interventions have been investigated but evidence of efficacy in the space radiation environment is limited. More recently, attention has turned to repurposed pharmaceuticals with favourable safety profiles—notably metformin, which has demonstrated radioprotective and mitochondrial-protective activity in irradiated cellular and rodent models—as candidate radiomitigators for chronic low-dose-rate space exposure, alongside high-throughput screening of approved drug libraries against simulated GCR.34 Identification of reliable biomarkers for radiation-induced health changes, enabling personalised risk monitoring, is an active research priority.</w:t>
      </w:r>
    </w:p>
    <w:p w14:paraId="291A1B9C" w14:textId="77777777" w:rsidR="00EA6F2F" w:rsidRPr="00CF7B0D" w:rsidRDefault="00000000" w:rsidP="00CF7B0D">
      <w:pPr>
        <w:pStyle w:val="Heading1"/>
      </w:pPr>
      <w:r>
        <w:t>Behavioural Health and Cognitive Countermeasures</w:t>
      </w:r>
    </w:p>
    <w:p w14:paraId="03EFCAD5" w14:textId="77777777" w:rsidR="00EA6F2F" w:rsidRPr="00CF7B0D" w:rsidRDefault="00000000" w:rsidP="00CF7B0D">
      <w:r>
        <w:t>Psychological support infrastructure for ISS crews includes regular contact with psychologists, family communication, recreational provisioning, and periodic crew monitoring. Autonomous medical capability for behavioural health is less developed: validated screening instruments, artificial intelligence-assisted mental health monitoring, and crew-administered cognitive behavioural therapy modules are in development but not yet operationalized for deep space. Neurocognitive monitoring tools capable of distinguishing radiation-induced change from sleep deprivation from psychiatric symptomatology remain a major gap.</w:t>
      </w:r>
    </w:p>
    <w:p w14:paraId="6F3043E0" w14:textId="77777777" w:rsidR="00EA6F2F" w:rsidRPr="00CF7B0D" w:rsidRDefault="00000000" w:rsidP="00CF7B0D">
      <w:pPr>
        <w:pStyle w:val="Heading1"/>
      </w:pPr>
      <w:r>
        <w:t>SANS Countermeasures</w:t>
      </w:r>
    </w:p>
    <w:p w14:paraId="4D34C6DD" w14:textId="77777777" w:rsidR="00EA6F2F" w:rsidRPr="00CF7B0D" w:rsidRDefault="00000000" w:rsidP="00CF7B0D">
      <w:r>
        <w:lastRenderedPageBreak/>
        <w:t xml:space="preserve">No proven countermeasure for SANS exists. Strategies under evaluation include lower body negative pressure garments to oppose cephalad fluid shifts, dietary sodium restriction, pharmacological approaches targeting intracranial pressure, and novel exercise protocols. Artificial gravity generated by centrifugation has also been proposed as a broad-spectrum countermeasure that may simultaneously address SANS and other microgravity-related deconditioning by restoring gravitational loading to the cardiovascular and </w:t>
      </w:r>
      <w:proofErr w:type="spellStart"/>
      <w:r>
        <w:t>neurovestibular</w:t>
      </w:r>
      <w:proofErr w:type="spellEnd"/>
      <w:r>
        <w:t xml:space="preserve"> systems.35 Dedicated mechanical countermeasure trials—including lower body negative pressure and </w:t>
      </w:r>
      <w:proofErr w:type="spellStart"/>
      <w:r>
        <w:t>venoconstrictive</w:t>
      </w:r>
      <w:proofErr w:type="spellEnd"/>
      <w:r>
        <w:t xml:space="preserve"> thigh cuffs evaluated during 30-day head-down-tilt bed rest as a ground analogue for the cephalad fluid shift of spaceflight—are now being conducted to test whether opposing the fluid shift can prevent ocular structural change.36 The development of non-invasive intracranial pressure monitoring is a high-priority research need, as is determination of the relative contributions of fluid dynamics, optic nerve sheath anatomy, and individual genetic susceptibility. Professor William Morgan’s group at the LEI has conducted sustained research into non-invasive estimation of intracranial pressure through retinal venous pulsation analysis, techniques with direct applicability to in-mission intracranial pressure (ICP) monitoring for SANS surveillance without requiring lumbar puncture.17,18 Most recently, Morgan et al. published a retinal </w:t>
      </w:r>
      <w:proofErr w:type="spellStart"/>
      <w:r>
        <w:t>photoplethysmographic</w:t>
      </w:r>
      <w:proofErr w:type="spellEnd"/>
      <w:r>
        <w:t xml:space="preserve"> technique that measures retinal vein pulsation amplitudes and demonstrated a significant correlation between pulsation amplitude change and estimated cerebrospinal fluid (CSF) pressure change across postures designed to mimic the hydrostatic range encountered in spaceflight analogue conditions (p &lt; 0.0001).37 This non-invasive CSF pressure measurement apparatus represents a potentially deployable tool for continuous ICP monitoring aboard the ISS, Gateway, or a </w:t>
      </w:r>
      <w:proofErr w:type="spellStart"/>
      <w:r>
        <w:t>Mars</w:t>
      </w:r>
      <w:proofErr w:type="spellEnd"/>
      <w:r>
        <w:t xml:space="preserve"> transit vehicle.</w:t>
      </w:r>
    </w:p>
    <w:p w14:paraId="0AA14CF0" w14:textId="77777777" w:rsidR="00EA6F2F" w:rsidRPr="00CF7B0D" w:rsidRDefault="00000000" w:rsidP="00CF7B0D">
      <w:r>
        <w:t>Table I. Key Unresolved Challenges for Mars-Duration Spaceflight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A6F2F" w:rsidRPr="00CF7B0D" w14:paraId="21B23A20" w14:textId="77777777">
        <w:tc>
          <w:tcPr>
            <w:tcW w:w="9360" w:type="dxa"/>
            <w:tcBorders>
              <w:top w:val="single" w:sz="4" w:space="0" w:color="000000"/>
              <w:left w:val="single" w:sz="4" w:space="0" w:color="000000"/>
              <w:bottom w:val="single" w:sz="4" w:space="0" w:color="000000"/>
              <w:right w:val="single" w:sz="4" w:space="0" w:color="000000"/>
            </w:tcBorders>
            <w:tcMar>
              <w:top w:w="120" w:type="dxa"/>
              <w:left w:w="180" w:type="dxa"/>
              <w:bottom w:w="120" w:type="dxa"/>
              <w:right w:w="180" w:type="dxa"/>
            </w:tcMar>
          </w:tcPr>
          <w:p w14:paraId="58C2030E" w14:textId="77777777" w:rsidR="00EA6F2F" w:rsidRPr="00CF7B0D" w:rsidRDefault="00000000" w:rsidP="00CF7B0D">
            <w:r>
              <w:t>Radiation: No operational countermeasure for chronic GCR exposure; individual risk modelling limited by incomplete radiobiology data</w:t>
            </w:r>
          </w:p>
          <w:p w14:paraId="25FC1970" w14:textId="77777777" w:rsidR="00EA6F2F" w:rsidRPr="00CF7B0D" w:rsidRDefault="00000000" w:rsidP="00CF7B0D">
            <w:r>
              <w:t>SANS: Mechanism incompletely characterised; no validated treatment or prevention strategy</w:t>
            </w:r>
          </w:p>
          <w:p w14:paraId="5368A000" w14:textId="77777777" w:rsidR="00EA6F2F" w:rsidRPr="00CF7B0D" w:rsidRDefault="00000000" w:rsidP="00CF7B0D">
            <w:r>
              <w:t xml:space="preserve">Cognitive decline: Multifactorial </w:t>
            </w:r>
            <w:proofErr w:type="spellStart"/>
            <w:r>
              <w:t>etiology</w:t>
            </w:r>
            <w:proofErr w:type="spellEnd"/>
            <w:r>
              <w:t>; limited tools for in-mission monitoring and intervention in communication-delayed environments</w:t>
            </w:r>
          </w:p>
          <w:p w14:paraId="6FCEF052" w14:textId="77777777" w:rsidR="00EA6F2F" w:rsidRPr="00CF7B0D" w:rsidRDefault="00000000" w:rsidP="00CF7B0D">
            <w:r>
              <w:t>Exercise: Equipment mass/volume constraints preclude ISS-equivalent countermeasures; alternative approaches require clinical validation</w:t>
            </w:r>
          </w:p>
          <w:p w14:paraId="70E66F33" w14:textId="77777777" w:rsidR="00EA6F2F" w:rsidRPr="00CF7B0D" w:rsidRDefault="00000000" w:rsidP="00CF7B0D">
            <w:r>
              <w:t>Immune competence: No approved immunomodulatory strategy for spaceflight; latent virus reactivation risk incompletely quantified</w:t>
            </w:r>
          </w:p>
          <w:p w14:paraId="5344E9A4" w14:textId="77777777" w:rsidR="00EA6F2F" w:rsidRPr="00CF7B0D" w:rsidRDefault="00000000" w:rsidP="00CF7B0D">
            <w:r>
              <w:lastRenderedPageBreak/>
              <w:t>Nutrition: Long-duration food degradation; gut microbiome disruption; optimal supplementation protocols undefined</w:t>
            </w:r>
          </w:p>
          <w:p w14:paraId="15C42AFF" w14:textId="77777777" w:rsidR="00EA6F2F" w:rsidRPr="00CF7B0D" w:rsidRDefault="00000000" w:rsidP="00CF7B0D">
            <w:r>
              <w:t>Psychological autonomy: Validated, crew-administered psychiatric and cognitive support tools not yet operationally available</w:t>
            </w:r>
          </w:p>
        </w:tc>
      </w:tr>
    </w:tbl>
    <w:p w14:paraId="5D5CF232" w14:textId="7771F9F9" w:rsidR="00F03858" w:rsidRDefault="00F03858" w:rsidP="00CF7B0D"/>
    <w:p w14:paraId="6A8FB686" w14:textId="77777777" w:rsidR="00F03858" w:rsidRDefault="00F03858">
      <w:pPr>
        <w:spacing w:after="0" w:line="240" w:lineRule="auto"/>
        <w:jc w:val="left"/>
      </w:pPr>
      <w:r>
        <w:br w:type="page"/>
      </w:r>
    </w:p>
    <w:p w14:paraId="51C45615" w14:textId="523C9713" w:rsidR="008F6E17" w:rsidRPr="00CF7B0D" w:rsidRDefault="00000000" w:rsidP="00A77442">
      <w:pPr>
        <w:pStyle w:val="Title"/>
      </w:pPr>
      <w:r>
        <w:lastRenderedPageBreak/>
        <w:t>Appendix B—Australian Research Capability</w:t>
      </w:r>
    </w:p>
    <w:p w14:paraId="74274F5F" w14:textId="6653060F" w:rsidR="00EA6F2F" w:rsidRPr="00CF7B0D" w:rsidRDefault="00000000" w:rsidP="00A77442">
      <w:pPr>
        <w:pStyle w:val="Heading1"/>
      </w:pPr>
      <w:r>
        <w:t>An Early Initiative</w:t>
      </w:r>
    </w:p>
    <w:p w14:paraId="294A440A" w14:textId="1AFFCF6F" w:rsidR="00EA6F2F" w:rsidRPr="00CF7B0D" w:rsidRDefault="00000000" w:rsidP="00CF7B0D">
      <w:r>
        <w:t xml:space="preserve">During 1997 the author worked with the then NASA Representative to Australia to initiate a meeting in Canberra between medical researchers from the Johnson Space </w:t>
      </w:r>
      <w:proofErr w:type="spellStart"/>
      <w:r>
        <w:t>Center</w:t>
      </w:r>
      <w:proofErr w:type="spellEnd"/>
      <w:r>
        <w:t xml:space="preserve"> (JSC) and staff from the National Health and Medical Research Council (NHMRC). While no formal commitment ensued, interest continued from eminent researchers such as Professor John Eisman of the Garvan Institute for Medical Research; Professor Robert Porter, Dean of the Faculty of Medicine at Monash University; Jan Edmonds, Austin and Repatriation Medical Centre; Dr John McDougall, Howard Florey Institute of Experimental Physiology and Medicine; Dr Carolyn Mountford, Executive Director of the Institute for Magnetic Resonance Research; Dr Desmond Lugg, Head of Polar Medicine at the Australian Antarctic Division; Dr Eric Donaldson, Director of Medical Services at Qantas; and Professors Brian Thomas and Bruce Cornish from Queensland University of Technology’s Centre for Medical and Health Physics.</w:t>
      </w:r>
    </w:p>
    <w:p w14:paraId="078840C0" w14:textId="77777777" w:rsidR="00EA6F2F" w:rsidRPr="00CF7B0D" w:rsidRDefault="00000000" w:rsidP="00A77442">
      <w:pPr>
        <w:pStyle w:val="Heading1"/>
      </w:pPr>
      <w:r>
        <w:t>Radiation Biology</w:t>
      </w:r>
    </w:p>
    <w:p w14:paraId="63F1C53F" w14:textId="77777777" w:rsidR="00EA6F2F" w:rsidRPr="00CF7B0D" w:rsidRDefault="00000000" w:rsidP="00CF7B0D">
      <w:r>
        <w:t xml:space="preserve">Australian institutions hold substantial capability in radiation biology and oncology. The Australian Radiation Protection and Nuclear Safety Agency (ARPANSA) </w:t>
      </w:r>
      <w:proofErr w:type="gramStart"/>
      <w:r>
        <w:t>maintains</w:t>
      </w:r>
      <w:proofErr w:type="gramEnd"/>
      <w:r>
        <w:t xml:space="preserve"> national radiation dosimetry and biological effects expertise. The Peter MacCallum Cancer Centre, University of New South Wales (UNSW) Sydney, and the University of Adelaide host research programmes in DNA damage response, radiation-induced carcinogenesis, and radioprotection that are directly applicable to space radiation risk modelling. The Centenary Institute (Sydney) contributes expertise in radiation biology and genomic instability relevant to GCR-induced health effects. The Australian Nuclear Science and Technology Organisation (ANSTO) operates the Open Pool Australian </w:t>
      </w:r>
      <w:proofErr w:type="spellStart"/>
      <w:r>
        <w:t>Lightwater</w:t>
      </w:r>
      <w:proofErr w:type="spellEnd"/>
      <w:r>
        <w:t xml:space="preserve"> (OPAL) research reactor and provides access to neutron and ion beam platforms relevant to simulating space radiation particle tracks.</w:t>
      </w:r>
    </w:p>
    <w:p w14:paraId="371CF6BB" w14:textId="77777777" w:rsidR="00EA6F2F" w:rsidRPr="00CF7B0D" w:rsidRDefault="00000000" w:rsidP="00CF7B0D">
      <w:r>
        <w:t>A specific opportunity exists for Australian researchers to contribute to NASA’s Space Radiation Laboratory (NSRL) collaboration network, developing novel HZE ion radioprotectants and contributing to the NASA Space Radiation Health Project’s biological dosimetry and biomarker discovery programmes. Australia’s established clinical trials infrastructure and regulatory framework facilitate translation of promising radioprotectant candidates through pre-clinical and Phase I studies in a timely manner.</w:t>
      </w:r>
    </w:p>
    <w:p w14:paraId="38A16752" w14:textId="77777777" w:rsidR="00EA6F2F" w:rsidRPr="00CF7B0D" w:rsidRDefault="00000000" w:rsidP="00A77442">
      <w:pPr>
        <w:pStyle w:val="Heading1"/>
      </w:pPr>
      <w:r>
        <w:t>Exercise Physiology and Musculoskeletal Medicine</w:t>
      </w:r>
    </w:p>
    <w:p w14:paraId="2834BD0A" w14:textId="77777777" w:rsidR="00EA6F2F" w:rsidRPr="00CF7B0D" w:rsidRDefault="00000000" w:rsidP="00CF7B0D">
      <w:r>
        <w:t xml:space="preserve">Australia has a globally recognised research tradition in exercise physiology, sports medicine, and musculoskeletal science. Institutions including the Australian Institute of Sport (AIS), the University of Queensland, Monash University, and Deakin University have published extensively on skeletal adaptation to loading and unloading, muscle satellite </w:t>
      </w:r>
      <w:r>
        <w:lastRenderedPageBreak/>
        <w:t xml:space="preserve">cell biology, and targeted exercise intervention. The AIS holds </w:t>
      </w:r>
      <w:proofErr w:type="gramStart"/>
      <w:r>
        <w:t>particular expertise</w:t>
      </w:r>
      <w:proofErr w:type="gramEnd"/>
      <w:r>
        <w:t xml:space="preserve"> in applied resistance training methodology and wearable sensor integration for performance monitoring, both of which are directly translatable to the challenge of designing mass- and power-efficient exercise countermeasures for deep space vehicles.</w:t>
      </w:r>
    </w:p>
    <w:p w14:paraId="130CBE30" w14:textId="77777777" w:rsidR="00EA6F2F" w:rsidRPr="00CF7B0D" w:rsidRDefault="00000000" w:rsidP="00CF7B0D">
      <w:r>
        <w:t>Pharmaceutical approaches to anabolic augmentation, including selective androgen receptor modulators (SARMs) and myostatin inhibitors, are active research interests at several Australian institutions, with potential application as adjuncts to reduced-volume exercise countermeasures in space.30,31 GSK3 inhibitors have additionally emerged as candidate pharmacological countermeasures that may simultaneously address both bone and muscle atrophy, representing a particularly promising dual-target research direction.38 The Garvan Institute of Medical Research has made internationally recognised contributions to bone anabolic pharmacology, particularly through the development and evaluation of anti-sclerostin antibody (</w:t>
      </w:r>
      <w:proofErr w:type="spellStart"/>
      <w:r>
        <w:t>romosozumab</w:t>
      </w:r>
      <w:proofErr w:type="spellEnd"/>
      <w:r>
        <w:t xml:space="preserve">), which targets the </w:t>
      </w:r>
      <w:proofErr w:type="spellStart"/>
      <w:r>
        <w:t>Wnt</w:t>
      </w:r>
      <w:proofErr w:type="spellEnd"/>
      <w:r>
        <w:t>/β-catenin pathway to simultaneously stimulate bone formation and reduce resorption.39,40 Research into electrical muscle stimulation protocols, LBNP, blood flow restriction training, and vibration platforms as bone-loading adjuncts offers further contribution potential.</w:t>
      </w:r>
    </w:p>
    <w:p w14:paraId="0307B603" w14:textId="77777777" w:rsidR="00EA6F2F" w:rsidRPr="00CF7B0D" w:rsidRDefault="00000000" w:rsidP="00A77442">
      <w:pPr>
        <w:pStyle w:val="Heading1"/>
      </w:pPr>
      <w:r>
        <w:t>Sleep Science and Circadian Biology</w:t>
      </w:r>
    </w:p>
    <w:p w14:paraId="412CA701" w14:textId="47EDA726" w:rsidR="00EA6F2F" w:rsidRPr="00CF7B0D" w:rsidRDefault="00000000" w:rsidP="00CF7B0D">
      <w:r>
        <w:t>Australian sleep research is internationally prominent. The University of Adelaide’s Robinson Research Institute, the Monash Institute of Cognitive and Clinical Neurosciences, and the Cooperative Research Centre (CRC) for Alertness, Safety and Productivity have produced internationally cited work on circadian rhythm disruption, sleep deprivation effects on cognition and safety, and light-based circadian countermeasures. The Woolcock Institute of Medical Research at the University of Sydney and the Turner Institute for Brain and Mental Health at Monash University further extend this national capability with world-class expertise in sleep disorders and neurocognitive consequences of sleep disruption. Notably the Woolcock Institute’s Sleep and Circadian Research Group studies circadian rhythm sleep–wake disorders and melatonin-based countermeasures 41 and operates a chronobiology laboratory capable of time-isolation protocols under controlled light spectra, a close domestic analogue to the altered light–dark cycle of spaceflight. The Adelaide Institute for Sleep Health, associated with Flinders University, hosts expertise in chronobiology and performance modelling under sleep restriction that maps directly onto operational space mission challenges.</w:t>
      </w:r>
    </w:p>
    <w:p w14:paraId="1678BA79" w14:textId="77777777" w:rsidR="00EA6F2F" w:rsidRPr="00CF7B0D" w:rsidRDefault="00000000" w:rsidP="00CF7B0D">
      <w:r>
        <w:t xml:space="preserve">The South Australian Health and Medical Research Institute (SAHMRI) Circadian Physiology team and colleagues at the University of Sydney have expertise in circadian re-entrainment protocols and pharmacological (melatonin, wake-promoting agents) and non-pharmacological (light therapy, scheduling) countermeasures, with emerging research also exploring gut microbiota modulation as a novel circadian regulatory </w:t>
      </w:r>
      <w:r>
        <w:lastRenderedPageBreak/>
        <w:t>strategy. The Florey Institute of Neuroscience and Mental Health contributes foundational neuroscience on the orexin/hypocretin system, which is critical for maintaining consolidated wakefulness and cognitive performance during sleep restriction.42,43 Orexin receptor antagonists represent a precision pharmacological approach to managing spaceflight sleep disruption without compromising next-day cognitive function.42,43 Australia’s expertise in 24-h operations in remote mining and offshore industries provides an applied context for developing and validating countermeasures for circadian disruption in environments with limited personnel and significant safety consequences—a model directly applicable to a Mars crew of four to six.</w:t>
      </w:r>
    </w:p>
    <w:p w14:paraId="18D95328" w14:textId="77777777" w:rsidR="00EA6F2F" w:rsidRPr="00CF7B0D" w:rsidRDefault="00000000" w:rsidP="00A77442">
      <w:pPr>
        <w:pStyle w:val="Heading1"/>
      </w:pPr>
      <w:r>
        <w:t>Cognitive Performance and Neuroscience</w:t>
      </w:r>
    </w:p>
    <w:p w14:paraId="1C772D82" w14:textId="77777777" w:rsidR="00EA6F2F" w:rsidRPr="00CF7B0D" w:rsidRDefault="00000000" w:rsidP="00CF7B0D">
      <w:r>
        <w:t>Cognitive performance research in Australia is strong and diverse. The University of Melbourne’s Melbourne School of Psychological Sciences, Queensland Brain Institute, and the Brain Research Institute at the University of Sydney conduct internationally competitive work in attention, executive function, emotional regulation, and neural plasticity. Research at the Human Factors and Applied Cognitive Psychology Group at UNSW Canberra is particularly relevant to complex operational environments. Australia’s broader neurodegeneration capability includes the Florey Institute of Neuroscience and Mental Health, the nation’s largest brain-research institute, whose programmes in neurodegeneration and neuroinflammation, supported by established neuroimaging facilities, constitute terrestrial expertise relevant to the radiation-induced central nervous system effects—neuroinflammation and neurodegeneration—identified earlier as a long-duration spaceflight risk.</w:t>
      </w:r>
    </w:p>
    <w:p w14:paraId="286BD40D" w14:textId="77777777" w:rsidR="00EA6F2F" w:rsidRPr="00CF7B0D" w:rsidRDefault="00000000" w:rsidP="00CF7B0D">
      <w:r>
        <w:t xml:space="preserve">Of </w:t>
      </w:r>
      <w:proofErr w:type="gramStart"/>
      <w:r>
        <w:t>particular value</w:t>
      </w:r>
      <w:proofErr w:type="gramEnd"/>
      <w:r>
        <w:t xml:space="preserve"> is Australian expertise in neurocognitive performance monitoring in operational settings, including aviation, road transport, and military applications. Collaboration between the Defence Science and Technology Group (DSTG) and university partners has produced wearable neurophysiological monitoring tools and machine learning-based alertness prediction models applicable to the development of autonomous crew health monitoring systems for deep space.</w:t>
      </w:r>
    </w:p>
    <w:p w14:paraId="2473E772" w14:textId="77777777" w:rsidR="00EA6F2F" w:rsidRPr="00CF7B0D" w:rsidRDefault="00000000" w:rsidP="00A77442">
      <w:pPr>
        <w:pStyle w:val="Heading1"/>
      </w:pPr>
      <w:r>
        <w:t>Isolated, Confined and Extreme Environment Medicine</w:t>
      </w:r>
    </w:p>
    <w:p w14:paraId="6D0D8309" w14:textId="77777777" w:rsidR="00EA6F2F" w:rsidRPr="00CF7B0D" w:rsidRDefault="00000000" w:rsidP="00CF7B0D">
      <w:r>
        <w:t>Australia’s long-standing commitment to Antarctic research through the Australian Antarctic Division (AAD) has generated a unique cohort of scientific expertise in human adaptation to isolated, confined, and extreme (ICE) environments. The AAD’s winter-over programme, in which small crews spend up to fourteen months at Davis, Mawson, or Casey stations, represents one of the world’s premier natural analogues for Mars mission crew dynamics, autonomy, group isolation, and the physiological effects of light deprivation and cold stress.</w:t>
      </w:r>
    </w:p>
    <w:p w14:paraId="670381F2" w14:textId="77777777" w:rsidR="00EA6F2F" w:rsidRPr="00CF7B0D" w:rsidRDefault="00000000" w:rsidP="00CF7B0D">
      <w:r>
        <w:lastRenderedPageBreak/>
        <w:t>Research conducted in collaboration with the AAD, including projects at the University of Tasmania and the University of Melbourne, has examined: mood, team cohesion and conflict under prolonged isolation; cognitive decline over winter-over expeditions; autonomic nervous system and immune biomarkers of ICE environment stress; and the physiological consequences of chronobiological disruption at high latitudes. This body of work has direct translational relevance to Mars crew selection, team composition, psychological countermeasure design, and autonomous medical capability.</w:t>
      </w:r>
    </w:p>
    <w:p w14:paraId="670381F3" w14:textId="77777777" w:rsidR="00EA6F2F" w:rsidRPr="00CF7B0D" w:rsidRDefault="00000000" w:rsidP="00CF7B0D">
      <w:r>
        <w:t xml:space="preserve">This tradition is now being directed at spaceflight itself. Since 2023 the AAD has partnered with NASA’s Translational Research Institute for Space Health to study expeditioner and astronaut health jointly.44 In the partnership’s first project, led by an AAD medical practitioner (Dr John Cherry), expeditioners with no sonography training follow structured, step-by-step protocols to acquire diagnostic-quality ultrasound images with a handheld probe—scanning the eye, internal jugular vein, heart, kidneys, and bladder, some rehearsing first on a gel ‘phantom’—which are then reviewed off-site by specialists through store-and-forward telemedicine rather than interpreted on the spot. This is precisely the autonomous, expert-independent point-of-care imaging that deep-space crews will require when no sonographer is </w:t>
      </w:r>
      <w:proofErr w:type="gramStart"/>
      <w:r>
        <w:t>aboard</w:t>
      </w:r>
      <w:proofErr w:type="gramEnd"/>
      <w:r>
        <w:t xml:space="preserve"> and communication latency precludes real-time guidance.</w:t>
      </w:r>
    </w:p>
    <w:p w14:paraId="00B3889B" w14:textId="77777777" w:rsidR="00EA6F2F" w:rsidRPr="00CF7B0D" w:rsidRDefault="00000000" w:rsidP="00A77442">
      <w:pPr>
        <w:pStyle w:val="Heading1"/>
      </w:pPr>
      <w:r>
        <w:t>Immunology and Infectious Disease</w:t>
      </w:r>
    </w:p>
    <w:p w14:paraId="598AD6CF" w14:textId="77777777" w:rsidR="00EA6F2F" w:rsidRPr="00CF7B0D" w:rsidRDefault="00000000" w:rsidP="00CF7B0D">
      <w:r>
        <w:t>The COVID-19 pandemic accelerated Australian capability in clinical immunology, virology, and vaccine development, with major investments made in infrastructure at the Doherty Institute, Kirby Institute, QIMR Berghofer, and SA Health and Medical Research Institute. This capability base is directly relevant to the space-medicine challenge of immune dysregulation and latent viral reactivation.</w:t>
      </w:r>
    </w:p>
    <w:p w14:paraId="75C62B83" w14:textId="77777777" w:rsidR="00EA6F2F" w:rsidRPr="00CF7B0D" w:rsidRDefault="00000000" w:rsidP="00CF7B0D">
      <w:r>
        <w:t xml:space="preserve">Australian researchers could contribute to NASA’s Immunology Programme through studies of herpesvirus reactivation biology, novel immunomodulatory strategies including targeted cytokine regulation, and the development of rapid point-of-care diagnostic platforms for use in resource-constrained environments. The Walter and Eliza Hall Institute of Medical Research (WEHI), with its century-long history of immunological discovery and internationally recognised programmes in natural killer (NK) cell biology, T-cell function, and cytokine regulation, is particularly well positioned to contribute to spaceflight immunology.23,24 The Microbiome Research Centre at St George and Sutherland Medical School (UNSW Sydney) and the Frazer Institute at the University of Queensland hold significant expertise in microbiome biology and immune regulation that maps directly to the identified immune dysregulation and microbiome disruption challenges of long-duration spaceflight. Probiotic countermeasure development to maintain microbiome homeostasis during spaceflight represents a commercially viable and nationally beneficial research direction. Dermatological conditions—the most prevalent medical presentation in the microgravity environment, driven by altered skin </w:t>
      </w:r>
      <w:r>
        <w:lastRenderedPageBreak/>
        <w:t>pH, impaired immune function, and skin microbiome dysbiosis—represent an additional area where Australian dermatology and microbiome research strengths are applicable.45 The Commonwealth Scientific and Industrial Research Organisation (CSIRO)’s synthetic biology and rapid diagnostic platforms programme, accelerated under pandemic response mandates, offers direct translational value.</w:t>
      </w:r>
    </w:p>
    <w:p w14:paraId="283449A7" w14:textId="77777777" w:rsidR="00EA6F2F" w:rsidRPr="00CF7B0D" w:rsidRDefault="00000000" w:rsidP="00A77442">
      <w:pPr>
        <w:pStyle w:val="Heading1"/>
      </w:pPr>
      <w:r>
        <w:t>Nutrition, the Gut Microbiome, and Metabolism</w:t>
      </w:r>
    </w:p>
    <w:p w14:paraId="34DF0E66" w14:textId="77777777" w:rsidR="00EA6F2F" w:rsidRPr="00CF7B0D" w:rsidRDefault="00000000" w:rsidP="00CF7B0D">
      <w:r>
        <w:t>Australia’s research strength in nutritional science, including the work of the Baker Heart and Diabetes Institute, CSIRO Health and Biosecurity, and Deakin University’s Institute for Physical Activity and Nutrition, provides a foundation for contributions to space nutrition science. The emerging field of the gut microbiome has attracted significant Australian investment, including through the Australian Research Council (ARC) and NHMRC programmes. Research into diet-microbiome-host interactions under conditions of altered physiology, stress, and dietary monotony is of direct relevance to long-duration spaceflight.</w:t>
      </w:r>
    </w:p>
    <w:p w14:paraId="3FBE2AF9" w14:textId="77777777" w:rsidR="00EA6F2F" w:rsidRPr="00CF7B0D" w:rsidRDefault="00000000" w:rsidP="00CF7B0D">
      <w:r>
        <w:t>CSIRO’s Total Diet Study and nutritional biofortification research programmes, combined with expertise in novel food processing and preservation technologies, offer a distinctive contribution to the design and evaluation of shelf-stable, nutritionally adequate food systems for Mars missions.</w:t>
      </w:r>
    </w:p>
    <w:p w14:paraId="35997463" w14:textId="77777777" w:rsidR="00EA6F2F" w:rsidRPr="00CF7B0D" w:rsidRDefault="00000000" w:rsidP="00A77442">
      <w:pPr>
        <w:pStyle w:val="Heading1"/>
      </w:pPr>
      <w:r>
        <w:t>Telemedicine and Remote Healthcare</w:t>
      </w:r>
    </w:p>
    <w:p w14:paraId="79DBF3F5" w14:textId="77777777" w:rsidR="00EA6F2F" w:rsidRPr="00CF7B0D" w:rsidRDefault="00000000" w:rsidP="00CF7B0D">
      <w:r>
        <w:t>Australia’s unique geography has driven innovation in telemedicine, remote health service delivery, and rural clinical capability. The Royal Flying Doctor Service (RFDS)—which annually serves approximately 329,000 patient contacts across 7.69 million km² and represents a world-leading operational model for remote and autonomous medical care—together with telehealth programmes developed for remote Indigenous communities and digital health platforms deployed in mining and offshore environments, constitute an applied industrial base of direct relevance to the development of autonomous medical systems for deep space. On a Mars mission, communication delays of up to 24 min one-way render real-time physician support impossible; clinical decision support systems, automated diagnostic algorithms, and crew-operated surgical and medical equipment must substitute.</w:t>
      </w:r>
    </w:p>
    <w:p w14:paraId="38396217" w14:textId="77777777" w:rsidR="00EA6F2F" w:rsidRDefault="00000000" w:rsidP="00CF7B0D">
      <w:r>
        <w:t xml:space="preserve">The Telehealth Australia initiative and allied research at Flinders University, James Cook University (JCU), and the University of Queensland Rural Clinical School have produced validated frameworks for remote clinical assessment, decision support, and procedural training. Integration of these frameworks with space-medicine requirements—in partnership with ESA’s </w:t>
      </w:r>
      <w:proofErr w:type="spellStart"/>
      <w:r>
        <w:t>MELiSSA</w:t>
      </w:r>
      <w:proofErr w:type="spellEnd"/>
      <w:r>
        <w:t xml:space="preserve"> project and NASA’s Space Medicine Operations Division—represents a high-value collaboration opportunity for Australia.</w:t>
      </w:r>
    </w:p>
    <w:p w14:paraId="33E3864A" w14:textId="77777777" w:rsidR="008E31C0" w:rsidRPr="00CF7B0D" w:rsidRDefault="008E31C0" w:rsidP="00CF7B0D"/>
    <w:p w14:paraId="7BBE3D30" w14:textId="77777777" w:rsidR="00EA6F2F" w:rsidRPr="00CF7B0D" w:rsidRDefault="00000000" w:rsidP="00A77442">
      <w:pPr>
        <w:pStyle w:val="Heading1"/>
      </w:pPr>
      <w:r>
        <w:lastRenderedPageBreak/>
        <w:t>Commercial and Industry Partners</w:t>
      </w:r>
    </w:p>
    <w:p w14:paraId="0C005BBE" w14:textId="77777777" w:rsidR="00EA6F2F" w:rsidRPr="00CF7B0D" w:rsidRDefault="00000000" w:rsidP="00CF7B0D">
      <w:r>
        <w:t xml:space="preserve">Australia’s emerging space industry includes companies with directly relevant human performance capabilities. Saber Astronautics (Sydney and Denver) has developed the Responsive Space Operations Centre and conducts astronaut training and mission support activities. Electro Optic Systems has defence and space sensor expertise applicable to crew monitoring. </w:t>
      </w:r>
      <w:proofErr w:type="spellStart"/>
      <w:r>
        <w:t>CardieX</w:t>
      </w:r>
      <w:proofErr w:type="spellEnd"/>
      <w:r>
        <w:t xml:space="preserve"> Limited (Sydney), through its ATCOR technology for non-invasive central aortic blood pressure assessment, represents a particularly relevant Australian industry capability for real-time in-flight haemodynamic monitoring. Electro Optic Systems (EOS) Space Systems, </w:t>
      </w:r>
      <w:proofErr w:type="spellStart"/>
      <w:r>
        <w:t>Silentium</w:t>
      </w:r>
      <w:proofErr w:type="spellEnd"/>
      <w:r>
        <w:t xml:space="preserve"> Defence, and several emerging ventures in satellite technology and launch services create a commercial ecosystem that could anchor industry-linked research programmes in space medicine analogous to those supporting commercial aviation medicine in Australia.</w:t>
      </w:r>
    </w:p>
    <w:p w14:paraId="3C40844F" w14:textId="77777777" w:rsidR="00EA6F2F" w:rsidRPr="00CF7B0D" w:rsidRDefault="00000000" w:rsidP="00CF7B0D">
      <w:r>
        <w:t>Table II. Summary of Space Medicine Priority Domains, Key Challenges, and Recommended Australian Contributions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3"/>
        <w:gridCol w:w="3455"/>
        <w:gridCol w:w="3432"/>
      </w:tblGrid>
      <w:tr w:rsidR="00EA6F2F" w:rsidRPr="00A77442" w14:paraId="26E450C3" w14:textId="77777777" w:rsidTr="00F03858">
        <w:trPr>
          <w:tblHeader/>
        </w:trPr>
        <w:tc>
          <w:tcPr>
            <w:tcW w:w="2473" w:type="dxa"/>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80" w:type="dxa"/>
              <w:left w:w="120" w:type="dxa"/>
              <w:bottom w:w="80" w:type="dxa"/>
              <w:right w:w="120" w:type="dxa"/>
            </w:tcMar>
          </w:tcPr>
          <w:p w14:paraId="05C8BCAD" w14:textId="77777777" w:rsidR="00EA6F2F" w:rsidRPr="00A77442" w:rsidRDefault="00000000" w:rsidP="00A77442">
            <w:pPr>
              <w:jc w:val="center"/>
              <w:rPr>
                <w:b/>
                <w:bCs/>
              </w:rPr>
            </w:pPr>
            <w:r>
              <w:rPr>
                <w:b/>
                <w:bCs/>
              </w:rPr>
              <w:t>Domain</w:t>
            </w:r>
          </w:p>
        </w:tc>
        <w:tc>
          <w:tcPr>
            <w:tcW w:w="3455" w:type="dxa"/>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80" w:type="dxa"/>
              <w:left w:w="120" w:type="dxa"/>
              <w:bottom w:w="80" w:type="dxa"/>
              <w:right w:w="120" w:type="dxa"/>
            </w:tcMar>
          </w:tcPr>
          <w:p w14:paraId="00FAE9C8" w14:textId="77777777" w:rsidR="00EA6F2F" w:rsidRPr="00A77442" w:rsidRDefault="00000000" w:rsidP="00A77442">
            <w:pPr>
              <w:jc w:val="center"/>
              <w:rPr>
                <w:b/>
                <w:bCs/>
              </w:rPr>
            </w:pPr>
            <w:r>
              <w:rPr>
                <w:b/>
                <w:bCs/>
              </w:rPr>
              <w:t>Key Unresolved Challenge</w:t>
            </w:r>
          </w:p>
        </w:tc>
        <w:tc>
          <w:tcPr>
            <w:tcW w:w="3432" w:type="dxa"/>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80" w:type="dxa"/>
              <w:left w:w="120" w:type="dxa"/>
              <w:bottom w:w="80" w:type="dxa"/>
              <w:right w:w="120" w:type="dxa"/>
            </w:tcMar>
          </w:tcPr>
          <w:p w14:paraId="34E74239" w14:textId="77777777" w:rsidR="00EA6F2F" w:rsidRPr="00A77442" w:rsidRDefault="00000000" w:rsidP="00A77442">
            <w:pPr>
              <w:jc w:val="center"/>
              <w:rPr>
                <w:b/>
                <w:bCs/>
              </w:rPr>
            </w:pPr>
            <w:r>
              <w:rPr>
                <w:b/>
                <w:bCs/>
              </w:rPr>
              <w:t>Recommended Australian Contribution</w:t>
            </w:r>
          </w:p>
        </w:tc>
      </w:tr>
      <w:tr w:rsidR="00EA6F2F" w:rsidRPr="00CF7B0D" w14:paraId="70F71E42" w14:textId="77777777" w:rsidTr="00A77442">
        <w:tc>
          <w:tcPr>
            <w:tcW w:w="24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FB15D5" w14:textId="77777777" w:rsidR="00EA6F2F" w:rsidRPr="00CF7B0D" w:rsidRDefault="00000000" w:rsidP="00A77442">
            <w:pPr>
              <w:spacing w:after="0" w:line="240" w:lineRule="auto"/>
            </w:pPr>
            <w:r>
              <w:t>Space Radiation</w:t>
            </w:r>
          </w:p>
        </w:tc>
        <w:tc>
          <w:tcPr>
            <w:tcW w:w="345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E81450F" w14:textId="77777777" w:rsidR="00EA6F2F" w:rsidRPr="00CF7B0D" w:rsidRDefault="00000000" w:rsidP="00A77442">
            <w:pPr>
              <w:spacing w:after="0" w:line="240" w:lineRule="auto"/>
              <w:jc w:val="left"/>
            </w:pPr>
            <w:r>
              <w:t>No operational GCR countermeasure; individual risk modelling limited</w:t>
            </w:r>
          </w:p>
        </w:tc>
        <w:tc>
          <w:tcPr>
            <w:tcW w:w="343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0434D3E" w14:textId="77777777" w:rsidR="00EA6F2F" w:rsidRPr="00CF7B0D" w:rsidRDefault="00000000" w:rsidP="00A77442">
            <w:pPr>
              <w:spacing w:after="0" w:line="240" w:lineRule="auto"/>
              <w:jc w:val="left"/>
            </w:pPr>
            <w:r>
              <w:t>ANSTO ion-beam radiobiology; ARPANSA dosimetry; oncology institute radioprotectant trials</w:t>
            </w:r>
          </w:p>
        </w:tc>
      </w:tr>
      <w:tr w:rsidR="00EA6F2F" w:rsidRPr="00CF7B0D" w14:paraId="051A9ED6" w14:textId="77777777" w:rsidTr="00F03858">
        <w:tc>
          <w:tcPr>
            <w:tcW w:w="247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5350C8E7" w14:textId="77777777" w:rsidR="00EA6F2F" w:rsidRPr="00CF7B0D" w:rsidRDefault="00000000" w:rsidP="00A77442">
            <w:pPr>
              <w:spacing w:after="0" w:line="240" w:lineRule="auto"/>
            </w:pPr>
            <w:r>
              <w:t>Musculoskeletal Deconditioning</w:t>
            </w:r>
          </w:p>
        </w:tc>
        <w:tc>
          <w:tcPr>
            <w:tcW w:w="34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5D383ABB" w14:textId="77777777" w:rsidR="00EA6F2F" w:rsidRPr="00CF7B0D" w:rsidRDefault="00000000" w:rsidP="00A77442">
            <w:pPr>
              <w:spacing w:after="0" w:line="240" w:lineRule="auto"/>
              <w:jc w:val="left"/>
            </w:pPr>
            <w:r>
              <w:t>Reduced-volume exercise countermeasures not validated for Mars vehicle constraints</w:t>
            </w:r>
          </w:p>
        </w:tc>
        <w:tc>
          <w:tcPr>
            <w:tcW w:w="34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5131F897" w14:textId="77777777" w:rsidR="00EA6F2F" w:rsidRPr="00CF7B0D" w:rsidRDefault="00000000" w:rsidP="00A77442">
            <w:pPr>
              <w:spacing w:after="0" w:line="240" w:lineRule="auto"/>
              <w:jc w:val="left"/>
            </w:pPr>
            <w:r>
              <w:t>AIS and university exercise physiology; SARM and myostatin inhibitor trials; wearable loading devices</w:t>
            </w:r>
          </w:p>
        </w:tc>
      </w:tr>
      <w:tr w:rsidR="00EA6F2F" w:rsidRPr="00CF7B0D" w14:paraId="0D13F9CD" w14:textId="77777777" w:rsidTr="00A77442">
        <w:tc>
          <w:tcPr>
            <w:tcW w:w="24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4C3362" w14:textId="77777777" w:rsidR="00EA6F2F" w:rsidRPr="00CF7B0D" w:rsidRDefault="00000000" w:rsidP="00A77442">
            <w:pPr>
              <w:spacing w:after="0" w:line="240" w:lineRule="auto"/>
            </w:pPr>
            <w:r>
              <w:t>Circadian &amp; Sleep Disruption</w:t>
            </w:r>
          </w:p>
        </w:tc>
        <w:tc>
          <w:tcPr>
            <w:tcW w:w="345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5C26EC" w14:textId="77777777" w:rsidR="00EA6F2F" w:rsidRPr="00CF7B0D" w:rsidRDefault="00000000" w:rsidP="00A77442">
            <w:pPr>
              <w:spacing w:after="0" w:line="240" w:lineRule="auto"/>
              <w:jc w:val="left"/>
            </w:pPr>
            <w:r>
              <w:t>Non-24-h circadian entrainment protocols; chronic sleep restriction management</w:t>
            </w:r>
          </w:p>
        </w:tc>
        <w:tc>
          <w:tcPr>
            <w:tcW w:w="343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94DE9EE" w14:textId="77777777" w:rsidR="00EA6F2F" w:rsidRPr="00CF7B0D" w:rsidRDefault="00000000" w:rsidP="00A77442">
            <w:pPr>
              <w:spacing w:after="0" w:line="240" w:lineRule="auto"/>
              <w:jc w:val="left"/>
            </w:pPr>
            <w:r>
              <w:t>Flinders/Adelaide circadian biology; mining industry operational analogues; phototherapy optimisation</w:t>
            </w:r>
          </w:p>
        </w:tc>
      </w:tr>
      <w:tr w:rsidR="00EA6F2F" w:rsidRPr="00CF7B0D" w14:paraId="0832A19F" w14:textId="77777777" w:rsidTr="00F03858">
        <w:tc>
          <w:tcPr>
            <w:tcW w:w="247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5262D2A3" w14:textId="77777777" w:rsidR="00EA6F2F" w:rsidRPr="00CF7B0D" w:rsidRDefault="00000000" w:rsidP="00A77442">
            <w:pPr>
              <w:spacing w:after="0" w:line="240" w:lineRule="auto"/>
            </w:pPr>
            <w:r>
              <w:t>Cognitive Performance</w:t>
            </w:r>
          </w:p>
        </w:tc>
        <w:tc>
          <w:tcPr>
            <w:tcW w:w="34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343794A7" w14:textId="77777777" w:rsidR="00EA6F2F" w:rsidRPr="00CF7B0D" w:rsidRDefault="00000000" w:rsidP="00A77442">
            <w:pPr>
              <w:spacing w:after="0" w:line="240" w:lineRule="auto"/>
              <w:jc w:val="left"/>
            </w:pPr>
            <w:r>
              <w:t>Radiation- and sleep-related cognitive decline; autonomous in-mission monitoring</w:t>
            </w:r>
          </w:p>
        </w:tc>
        <w:tc>
          <w:tcPr>
            <w:tcW w:w="34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534E918D" w14:textId="77777777" w:rsidR="00EA6F2F" w:rsidRPr="00CF7B0D" w:rsidRDefault="00000000" w:rsidP="00A77442">
            <w:pPr>
              <w:spacing w:after="0" w:line="240" w:lineRule="auto"/>
              <w:jc w:val="left"/>
            </w:pPr>
            <w:r>
              <w:t>UNSW Canberra human factors; DSTG wearable neuromonitoring; machine learning (ML) alertness prediction</w:t>
            </w:r>
          </w:p>
        </w:tc>
      </w:tr>
      <w:tr w:rsidR="00EA6F2F" w:rsidRPr="00CF7B0D" w14:paraId="03459A08" w14:textId="77777777" w:rsidTr="00A77442">
        <w:tc>
          <w:tcPr>
            <w:tcW w:w="24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6F0A9C" w14:textId="77777777" w:rsidR="00EA6F2F" w:rsidRPr="00CF7B0D" w:rsidRDefault="00000000" w:rsidP="00A77442">
            <w:pPr>
              <w:spacing w:after="0" w:line="240" w:lineRule="auto"/>
            </w:pPr>
            <w:r>
              <w:t>SANS</w:t>
            </w:r>
          </w:p>
        </w:tc>
        <w:tc>
          <w:tcPr>
            <w:tcW w:w="345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F6BED7" w14:textId="77777777" w:rsidR="00EA6F2F" w:rsidRPr="00CF7B0D" w:rsidRDefault="00000000" w:rsidP="00A77442">
            <w:pPr>
              <w:spacing w:after="0" w:line="240" w:lineRule="auto"/>
              <w:jc w:val="left"/>
            </w:pPr>
            <w:r>
              <w:t xml:space="preserve">Mechanism </w:t>
            </w:r>
            <w:proofErr w:type="gramStart"/>
            <w:r>
              <w:t>unclear</w:t>
            </w:r>
            <w:proofErr w:type="gramEnd"/>
            <w:r>
              <w:t>; no validated countermeasure</w:t>
            </w:r>
          </w:p>
        </w:tc>
        <w:tc>
          <w:tcPr>
            <w:tcW w:w="343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04127A" w14:textId="77777777" w:rsidR="00EA6F2F" w:rsidRPr="00CF7B0D" w:rsidRDefault="00000000" w:rsidP="00A77442">
            <w:pPr>
              <w:spacing w:after="0" w:line="240" w:lineRule="auto"/>
              <w:jc w:val="left"/>
            </w:pPr>
            <w:r>
              <w:t>LEI/UWA translaminar pressure expertise (Morgan et al.); collaborative optic nerve biomechanics research; non-invasive ICP monitoring device development</w:t>
            </w:r>
          </w:p>
        </w:tc>
      </w:tr>
      <w:tr w:rsidR="00EA6F2F" w:rsidRPr="00CF7B0D" w14:paraId="05813C2D" w14:textId="77777777" w:rsidTr="00F03858">
        <w:tc>
          <w:tcPr>
            <w:tcW w:w="247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2032D1DE" w14:textId="77777777" w:rsidR="00EA6F2F" w:rsidRPr="00CF7B0D" w:rsidRDefault="00000000" w:rsidP="00A77442">
            <w:pPr>
              <w:spacing w:after="0" w:line="240" w:lineRule="auto"/>
            </w:pPr>
            <w:r>
              <w:lastRenderedPageBreak/>
              <w:t>Behavioural Health</w:t>
            </w:r>
          </w:p>
        </w:tc>
        <w:tc>
          <w:tcPr>
            <w:tcW w:w="34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58A9E487" w14:textId="77777777" w:rsidR="00EA6F2F" w:rsidRPr="00CF7B0D" w:rsidRDefault="00000000" w:rsidP="00A77442">
            <w:pPr>
              <w:spacing w:after="0" w:line="240" w:lineRule="auto"/>
              <w:jc w:val="left"/>
            </w:pPr>
            <w:r>
              <w:t>Autonomous psychiatric support; crew selection for Mars profile</w:t>
            </w:r>
          </w:p>
        </w:tc>
        <w:tc>
          <w:tcPr>
            <w:tcW w:w="34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08B0E657" w14:textId="77777777" w:rsidR="00EA6F2F" w:rsidRPr="00CF7B0D" w:rsidRDefault="00000000" w:rsidP="00A77442">
            <w:pPr>
              <w:spacing w:after="0" w:line="240" w:lineRule="auto"/>
              <w:jc w:val="left"/>
            </w:pPr>
            <w:r>
              <w:t>AAD Antarctic analogue; ICE environment psychology; telepsychiatry platform development</w:t>
            </w:r>
          </w:p>
        </w:tc>
      </w:tr>
      <w:tr w:rsidR="00EA6F2F" w:rsidRPr="00CF7B0D" w14:paraId="6230A369" w14:textId="77777777" w:rsidTr="00A77442">
        <w:tc>
          <w:tcPr>
            <w:tcW w:w="24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9EE3009" w14:textId="77777777" w:rsidR="00EA6F2F" w:rsidRPr="00CF7B0D" w:rsidRDefault="00000000" w:rsidP="00A77442">
            <w:pPr>
              <w:spacing w:after="0" w:line="240" w:lineRule="auto"/>
            </w:pPr>
            <w:r>
              <w:t>Immunology</w:t>
            </w:r>
          </w:p>
        </w:tc>
        <w:tc>
          <w:tcPr>
            <w:tcW w:w="345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1B5B11F" w14:textId="77777777" w:rsidR="00EA6F2F" w:rsidRPr="00CF7B0D" w:rsidRDefault="00000000" w:rsidP="00A77442">
            <w:pPr>
              <w:spacing w:after="0" w:line="240" w:lineRule="auto"/>
              <w:jc w:val="left"/>
            </w:pPr>
            <w:r>
              <w:t>Latent virus reactivation management; immunomodulatory strategy for chronic spaceflight</w:t>
            </w:r>
          </w:p>
        </w:tc>
        <w:tc>
          <w:tcPr>
            <w:tcW w:w="343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58C2A9" w14:textId="77777777" w:rsidR="00EA6F2F" w:rsidRPr="00CF7B0D" w:rsidRDefault="00000000" w:rsidP="00A77442">
            <w:pPr>
              <w:spacing w:after="0" w:line="240" w:lineRule="auto"/>
              <w:jc w:val="left"/>
            </w:pPr>
            <w:r>
              <w:t>Doherty/Kirby Institute herpesvirus research; CSIRO rapid diagnostics; vaccine adjuvant science</w:t>
            </w:r>
          </w:p>
        </w:tc>
      </w:tr>
      <w:tr w:rsidR="00EA6F2F" w:rsidRPr="00CF7B0D" w14:paraId="30D0D29B" w14:textId="77777777" w:rsidTr="00F03858">
        <w:tc>
          <w:tcPr>
            <w:tcW w:w="247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7EF9E110" w14:textId="77777777" w:rsidR="00EA6F2F" w:rsidRPr="00CF7B0D" w:rsidRDefault="00000000" w:rsidP="00A77442">
            <w:pPr>
              <w:spacing w:after="0" w:line="240" w:lineRule="auto"/>
            </w:pPr>
            <w:r>
              <w:t>Nutrition &amp; Microbiome</w:t>
            </w:r>
          </w:p>
        </w:tc>
        <w:tc>
          <w:tcPr>
            <w:tcW w:w="34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533C0E8F" w14:textId="77777777" w:rsidR="00EA6F2F" w:rsidRPr="00CF7B0D" w:rsidRDefault="00000000" w:rsidP="00A77442">
            <w:pPr>
              <w:spacing w:after="0" w:line="240" w:lineRule="auto"/>
              <w:jc w:val="left"/>
            </w:pPr>
            <w:r>
              <w:t>Long-duration food degradation; gut dysbiosis effects on health performance</w:t>
            </w:r>
          </w:p>
        </w:tc>
        <w:tc>
          <w:tcPr>
            <w:tcW w:w="343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80" w:type="dxa"/>
              <w:left w:w="120" w:type="dxa"/>
              <w:bottom w:w="80" w:type="dxa"/>
              <w:right w:w="120" w:type="dxa"/>
            </w:tcMar>
          </w:tcPr>
          <w:p w14:paraId="42076595" w14:textId="77777777" w:rsidR="00EA6F2F" w:rsidRPr="00CF7B0D" w:rsidRDefault="00000000" w:rsidP="00A77442">
            <w:pPr>
              <w:spacing w:after="0" w:line="240" w:lineRule="auto"/>
              <w:jc w:val="left"/>
            </w:pPr>
            <w:r>
              <w:t>CSIRO food technology; Baker Institute metabolomics; ARC gut microbiome programme</w:t>
            </w:r>
          </w:p>
        </w:tc>
      </w:tr>
      <w:tr w:rsidR="00EA6F2F" w:rsidRPr="00CF7B0D" w14:paraId="59E54F5B" w14:textId="77777777" w:rsidTr="00A77442">
        <w:tc>
          <w:tcPr>
            <w:tcW w:w="24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2C571A" w14:textId="77777777" w:rsidR="00EA6F2F" w:rsidRPr="00CF7B0D" w:rsidRDefault="00000000" w:rsidP="00A77442">
            <w:pPr>
              <w:spacing w:after="0" w:line="240" w:lineRule="auto"/>
            </w:pPr>
            <w:r>
              <w:t>Remote/Autonomous Medicine</w:t>
            </w:r>
          </w:p>
        </w:tc>
        <w:tc>
          <w:tcPr>
            <w:tcW w:w="345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E1675A1" w14:textId="77777777" w:rsidR="00EA6F2F" w:rsidRPr="00CF7B0D" w:rsidRDefault="00000000" w:rsidP="00A77442">
            <w:pPr>
              <w:spacing w:after="0" w:line="240" w:lineRule="auto"/>
              <w:jc w:val="left"/>
            </w:pPr>
            <w:r>
              <w:t>Real-time clinical support unavailable beyond ~20 light-minutes; crew-operated procedures required</w:t>
            </w:r>
          </w:p>
        </w:tc>
        <w:tc>
          <w:tcPr>
            <w:tcW w:w="343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ABA4FD" w14:textId="77777777" w:rsidR="00EA6F2F" w:rsidRPr="00CF7B0D" w:rsidRDefault="00000000" w:rsidP="00A77442">
            <w:pPr>
              <w:spacing w:after="0" w:line="240" w:lineRule="auto"/>
              <w:jc w:val="left"/>
            </w:pPr>
            <w:r>
              <w:t>RFDS telemedicine frameworks; Flinders/JCU remote medicine; automated clinical decision support</w:t>
            </w:r>
          </w:p>
        </w:tc>
      </w:tr>
    </w:tbl>
    <w:p w14:paraId="34185F29" w14:textId="67C240D5" w:rsidR="00F03858" w:rsidRDefault="00F03858" w:rsidP="00A77442">
      <w:pPr>
        <w:pStyle w:val="Title"/>
      </w:pPr>
    </w:p>
    <w:p w14:paraId="223E0C57" w14:textId="77777777" w:rsidR="00F03858" w:rsidRDefault="00F03858">
      <w:pPr>
        <w:spacing w:after="0" w:line="240" w:lineRule="auto"/>
        <w:jc w:val="left"/>
        <w:rPr>
          <w:b/>
          <w:bCs/>
          <w:caps/>
        </w:rPr>
      </w:pPr>
      <w:r>
        <w:br w:type="page"/>
      </w:r>
    </w:p>
    <w:p w14:paraId="4D2240E8" w14:textId="5BBE7196" w:rsidR="008F6E17" w:rsidRPr="00CF7B0D" w:rsidRDefault="00000000" w:rsidP="00F03858">
      <w:pPr>
        <w:pStyle w:val="Title"/>
      </w:pPr>
      <w:r>
        <w:lastRenderedPageBreak/>
        <w:t>Appendix C—A Minimum-Viable, Costed Sequence</w:t>
      </w:r>
    </w:p>
    <w:p w14:paraId="3620DEDF" w14:textId="034D79C8" w:rsidR="00EA6F2F" w:rsidRPr="00CF7B0D" w:rsidRDefault="00000000" w:rsidP="00CF7B0D">
      <w:r>
        <w:t>The constraint that disciplines all of the above is that the Australian Space Agency’s (ASA) entire annual appropriation is of the order of A$21.7 million and faces a funding cliff in 2028; no proposal denominated in the hundreds of millions, and no proposal that assumes the space agency itself is the funder, is realistic.46 A financially and politically acceptable strategy must therefore be sequenced so that the earliest steps cost almost nothing new, and each phase generates the evidence that justifies the next. The following sequence is illustrative, and is consolidated as a one-page roadmap in the Appendix D.</w:t>
      </w:r>
    </w:p>
    <w:tbl>
      <w:tblPr>
        <w:tblW w:w="9360" w:type="dxa"/>
        <w:tblBorders>
          <w:top w:val="single" w:sz="4" w:space="0" w:color="C7D3E0"/>
          <w:left w:val="single" w:sz="4" w:space="0" w:color="C7D3E0"/>
          <w:bottom w:val="single" w:sz="4" w:space="0" w:color="C7D3E0"/>
          <w:right w:val="single" w:sz="4" w:space="0" w:color="C7D3E0"/>
          <w:insideH w:val="single" w:sz="4" w:space="0" w:color="C7D3E0"/>
          <w:insideV w:val="single" w:sz="4" w:space="0" w:color="C7D3E0"/>
        </w:tblBorders>
        <w:tblLook w:val="04A0" w:firstRow="1" w:lastRow="0" w:firstColumn="1" w:lastColumn="0" w:noHBand="0" w:noVBand="1"/>
      </w:tblPr>
      <w:tblGrid>
        <w:gridCol w:w="1700"/>
        <w:gridCol w:w="2360"/>
        <w:gridCol w:w="5300"/>
      </w:tblGrid>
      <w:tr w:rsidR="0072478B" w:rsidRPr="00A77442" w14:paraId="48F8F8C5" w14:textId="77777777">
        <w:tc>
          <w:tcPr>
            <w:tcW w:w="1700" w:type="dxa"/>
            <w:shd w:val="clear" w:color="auto" w:fill="1F3864"/>
            <w:tcMar>
              <w:top w:w="60" w:type="dxa"/>
              <w:left w:w="100" w:type="dxa"/>
              <w:bottom w:w="60" w:type="dxa"/>
              <w:right w:w="100" w:type="dxa"/>
            </w:tcMar>
          </w:tcPr>
          <w:p w14:paraId="3C80F91F" w14:textId="77777777" w:rsidR="0072478B" w:rsidRPr="00A77442" w:rsidRDefault="00000000" w:rsidP="00A77442">
            <w:pPr>
              <w:jc w:val="center"/>
              <w:rPr>
                <w:b/>
                <w:bCs/>
              </w:rPr>
            </w:pPr>
            <w:r>
              <w:rPr>
                <w:b/>
                <w:bCs/>
              </w:rPr>
              <w:t>Phase / timing</w:t>
            </w:r>
          </w:p>
        </w:tc>
        <w:tc>
          <w:tcPr>
            <w:tcW w:w="2360" w:type="dxa"/>
            <w:shd w:val="clear" w:color="auto" w:fill="1F3864"/>
            <w:tcMar>
              <w:top w:w="60" w:type="dxa"/>
              <w:left w:w="100" w:type="dxa"/>
              <w:bottom w:w="60" w:type="dxa"/>
              <w:right w:w="100" w:type="dxa"/>
            </w:tcMar>
          </w:tcPr>
          <w:p w14:paraId="3AE1EC3C" w14:textId="77777777" w:rsidR="0072478B" w:rsidRPr="00A77442" w:rsidRDefault="00000000" w:rsidP="00A77442">
            <w:pPr>
              <w:jc w:val="center"/>
              <w:rPr>
                <w:b/>
                <w:bCs/>
              </w:rPr>
            </w:pPr>
            <w:r>
              <w:rPr>
                <w:b/>
                <w:bCs/>
              </w:rPr>
              <w:t>Indicative cost &amp; source</w:t>
            </w:r>
          </w:p>
        </w:tc>
        <w:tc>
          <w:tcPr>
            <w:tcW w:w="5300" w:type="dxa"/>
            <w:shd w:val="clear" w:color="auto" w:fill="1F3864"/>
            <w:tcMar>
              <w:top w:w="60" w:type="dxa"/>
              <w:left w:w="100" w:type="dxa"/>
              <w:bottom w:w="60" w:type="dxa"/>
              <w:right w:w="100" w:type="dxa"/>
            </w:tcMar>
          </w:tcPr>
          <w:p w14:paraId="083088B3" w14:textId="77777777" w:rsidR="0072478B" w:rsidRPr="00A77442" w:rsidRDefault="00000000" w:rsidP="00A77442">
            <w:pPr>
              <w:jc w:val="center"/>
              <w:rPr>
                <w:b/>
                <w:bCs/>
              </w:rPr>
            </w:pPr>
            <w:r>
              <w:rPr>
                <w:b/>
                <w:bCs/>
              </w:rPr>
              <w:t>Core move and rationale</w:t>
            </w:r>
          </w:p>
        </w:tc>
      </w:tr>
      <w:tr w:rsidR="0072478B" w:rsidRPr="00CF7B0D" w14:paraId="10382E92" w14:textId="77777777">
        <w:tc>
          <w:tcPr>
            <w:tcW w:w="1700" w:type="dxa"/>
            <w:shd w:val="clear" w:color="auto" w:fill="FFFFFF"/>
            <w:tcMar>
              <w:top w:w="60" w:type="dxa"/>
              <w:left w:w="100" w:type="dxa"/>
              <w:bottom w:w="60" w:type="dxa"/>
              <w:right w:w="100" w:type="dxa"/>
            </w:tcMar>
          </w:tcPr>
          <w:p w14:paraId="126C6AD2" w14:textId="77777777" w:rsidR="0072478B" w:rsidRPr="00CF7B0D" w:rsidRDefault="00000000" w:rsidP="00CF7B0D">
            <w:r>
              <w:t>Phase 0—Coordinate, not build (Year 0–1)</w:t>
            </w:r>
          </w:p>
        </w:tc>
        <w:tc>
          <w:tcPr>
            <w:tcW w:w="2360" w:type="dxa"/>
            <w:shd w:val="clear" w:color="auto" w:fill="FFFFFF"/>
            <w:tcMar>
              <w:top w:w="60" w:type="dxa"/>
              <w:left w:w="100" w:type="dxa"/>
              <w:bottom w:w="60" w:type="dxa"/>
              <w:right w:w="100" w:type="dxa"/>
            </w:tcMar>
          </w:tcPr>
          <w:p w14:paraId="644AB82E" w14:textId="77777777" w:rsidR="0072478B" w:rsidRPr="00CF7B0D" w:rsidRDefault="00000000" w:rsidP="00CF7B0D">
            <w:r>
              <w:t>~$0.1–0.3M; absorbed in-kind via the existing ASA space-medicine roadmap function and participating professional bodies.</w:t>
            </w:r>
          </w:p>
        </w:tc>
        <w:tc>
          <w:tcPr>
            <w:tcW w:w="5300" w:type="dxa"/>
            <w:shd w:val="clear" w:color="auto" w:fill="FFFFFF"/>
            <w:tcMar>
              <w:top w:w="60" w:type="dxa"/>
              <w:left w:w="100" w:type="dxa"/>
              <w:bottom w:w="60" w:type="dxa"/>
              <w:right w:w="100" w:type="dxa"/>
            </w:tcMar>
          </w:tcPr>
          <w:p w14:paraId="218897E7" w14:textId="77777777" w:rsidR="0072478B" w:rsidRPr="00CF7B0D" w:rsidRDefault="00000000" w:rsidP="00CF7B0D">
            <w:r>
              <w:t>An MoU network with one named convenor and a part-time secretariat, not a new building. Sole deliverable: a costed national capability map separating already-funded dual-use research from work requiring new money, plus a ranked shortlist of priority bets.</w:t>
            </w:r>
          </w:p>
        </w:tc>
      </w:tr>
      <w:tr w:rsidR="0072478B" w:rsidRPr="00CF7B0D" w14:paraId="6F6595DA" w14:textId="77777777">
        <w:tc>
          <w:tcPr>
            <w:tcW w:w="1700" w:type="dxa"/>
            <w:shd w:val="clear" w:color="auto" w:fill="EAF1F8"/>
            <w:tcMar>
              <w:top w:w="60" w:type="dxa"/>
              <w:left w:w="100" w:type="dxa"/>
              <w:bottom w:w="60" w:type="dxa"/>
              <w:right w:w="100" w:type="dxa"/>
            </w:tcMar>
          </w:tcPr>
          <w:p w14:paraId="565F4C9D" w14:textId="77777777" w:rsidR="0072478B" w:rsidRPr="00CF7B0D" w:rsidRDefault="00000000" w:rsidP="00CF7B0D">
            <w:r>
              <w:t>Phase 1—Tag, not fund (Year 1–2)</w:t>
            </w:r>
          </w:p>
        </w:tc>
        <w:tc>
          <w:tcPr>
            <w:tcW w:w="2360" w:type="dxa"/>
            <w:shd w:val="clear" w:color="auto" w:fill="EAF1F8"/>
            <w:tcMar>
              <w:top w:w="60" w:type="dxa"/>
              <w:left w:w="100" w:type="dxa"/>
              <w:bottom w:w="60" w:type="dxa"/>
              <w:right w:w="100" w:type="dxa"/>
            </w:tcMar>
          </w:tcPr>
          <w:p w14:paraId="210AF802" w14:textId="77777777" w:rsidR="0072478B" w:rsidRPr="00CF7B0D" w:rsidRDefault="00000000" w:rsidP="00CF7B0D">
            <w:r>
              <w:t>~$0.5–2M; an existing NHMRC/ARC grant or modest top-up; AAD operating budget already committed.</w:t>
            </w:r>
          </w:p>
        </w:tc>
        <w:tc>
          <w:tcPr>
            <w:tcW w:w="5300" w:type="dxa"/>
            <w:shd w:val="clear" w:color="auto" w:fill="EAF1F8"/>
            <w:tcMar>
              <w:top w:w="60" w:type="dxa"/>
              <w:left w:w="100" w:type="dxa"/>
              <w:bottom w:w="60" w:type="dxa"/>
              <w:right w:w="100" w:type="dxa"/>
            </w:tcMar>
          </w:tcPr>
          <w:p w14:paraId="3CD91774" w14:textId="77777777" w:rsidR="0072478B" w:rsidRPr="00CF7B0D" w:rsidRDefault="00000000" w:rsidP="00CF7B0D">
            <w:r>
              <w:t>Instrument the Antarctic winter-over cohort and resource-industry analogues with standardised biomedical and psychological protocols. Marginal cost only; outputs are publishable terrestrial science requiring no flight to justify them.</w:t>
            </w:r>
          </w:p>
        </w:tc>
      </w:tr>
      <w:tr w:rsidR="0072478B" w:rsidRPr="00CF7B0D" w14:paraId="61BD59F8" w14:textId="77777777">
        <w:tc>
          <w:tcPr>
            <w:tcW w:w="1700" w:type="dxa"/>
            <w:shd w:val="clear" w:color="auto" w:fill="FFFFFF"/>
            <w:tcMar>
              <w:top w:w="60" w:type="dxa"/>
              <w:left w:w="100" w:type="dxa"/>
              <w:bottom w:w="60" w:type="dxa"/>
              <w:right w:w="100" w:type="dxa"/>
            </w:tcMar>
          </w:tcPr>
          <w:p w14:paraId="2732CECC" w14:textId="77777777" w:rsidR="0072478B" w:rsidRPr="00CF7B0D" w:rsidRDefault="00000000" w:rsidP="00CF7B0D">
            <w:r>
              <w:t>Phase 2—Buy access in kind (Year 2–3)</w:t>
            </w:r>
          </w:p>
        </w:tc>
        <w:tc>
          <w:tcPr>
            <w:tcW w:w="2360" w:type="dxa"/>
            <w:shd w:val="clear" w:color="auto" w:fill="FFFFFF"/>
            <w:tcMar>
              <w:top w:w="60" w:type="dxa"/>
              <w:left w:w="100" w:type="dxa"/>
              <w:bottom w:w="60" w:type="dxa"/>
              <w:right w:w="100" w:type="dxa"/>
            </w:tcMar>
          </w:tcPr>
          <w:p w14:paraId="633432A9" w14:textId="77777777" w:rsidR="0072478B" w:rsidRPr="00CF7B0D" w:rsidRDefault="00000000" w:rsidP="00CF7B0D">
            <w:r>
              <w:t>~$1–3M; fellowships and travel, partly defence-funded.</w:t>
            </w:r>
          </w:p>
        </w:tc>
        <w:tc>
          <w:tcPr>
            <w:tcW w:w="5300" w:type="dxa"/>
            <w:shd w:val="clear" w:color="auto" w:fill="FFFFFF"/>
            <w:tcMar>
              <w:top w:w="60" w:type="dxa"/>
              <w:left w:w="100" w:type="dxa"/>
              <w:bottom w:w="60" w:type="dxa"/>
              <w:right w:w="100" w:type="dxa"/>
            </w:tcMar>
          </w:tcPr>
          <w:p w14:paraId="64887354" w14:textId="77777777" w:rsidR="0072478B" w:rsidRPr="00CF7B0D" w:rsidRDefault="00000000" w:rsidP="00CF7B0D">
            <w:r>
              <w:t xml:space="preserve">Avoid ESA membership. Secure principal-investigator roles in ground-based NASA Human Research Programme (HRP) studies on a no-exchange-of-funds basis, and engage ESA </w:t>
            </w:r>
            <w:proofErr w:type="spellStart"/>
            <w:r>
              <w:t>SciSpacE</w:t>
            </w:r>
            <w:proofErr w:type="spellEnd"/>
            <w:r>
              <w:t xml:space="preserve"> in kind through data-sharing, Topical Teams, and the winter-over cohort as a Concordia analogue, with deeper </w:t>
            </w:r>
            <w:proofErr w:type="spellStart"/>
            <w:r>
              <w:t>SciSpacE</w:t>
            </w:r>
            <w:proofErr w:type="spellEnd"/>
            <w:r>
              <w:t xml:space="preserve"> access via the Cooperation Agreement now under negotiation.</w:t>
            </w:r>
          </w:p>
        </w:tc>
      </w:tr>
      <w:tr w:rsidR="0072478B" w:rsidRPr="00CF7B0D" w14:paraId="2438C978" w14:textId="77777777">
        <w:tc>
          <w:tcPr>
            <w:tcW w:w="1700" w:type="dxa"/>
            <w:shd w:val="clear" w:color="auto" w:fill="EAF1F8"/>
            <w:tcMar>
              <w:top w:w="60" w:type="dxa"/>
              <w:left w:w="100" w:type="dxa"/>
              <w:bottom w:w="60" w:type="dxa"/>
              <w:right w:w="100" w:type="dxa"/>
            </w:tcMar>
          </w:tcPr>
          <w:p w14:paraId="383173FC" w14:textId="77777777" w:rsidR="0072478B" w:rsidRPr="00CF7B0D" w:rsidRDefault="00000000" w:rsidP="00CF7B0D">
            <w:r>
              <w:t>Phase 3—Small ring-</w:t>
            </w:r>
            <w:r>
              <w:lastRenderedPageBreak/>
              <w:t>fenced stream (Year 3–5)</w:t>
            </w:r>
          </w:p>
        </w:tc>
        <w:tc>
          <w:tcPr>
            <w:tcW w:w="2360" w:type="dxa"/>
            <w:shd w:val="clear" w:color="auto" w:fill="EAF1F8"/>
            <w:tcMar>
              <w:top w:w="60" w:type="dxa"/>
              <w:left w:w="100" w:type="dxa"/>
              <w:bottom w:w="60" w:type="dxa"/>
              <w:right w:w="100" w:type="dxa"/>
            </w:tcMar>
          </w:tcPr>
          <w:p w14:paraId="5C3B4BCF" w14:textId="77777777" w:rsidR="0072478B" w:rsidRPr="00CF7B0D" w:rsidRDefault="00000000" w:rsidP="00CF7B0D">
            <w:r>
              <w:lastRenderedPageBreak/>
              <w:t>~$5–10M over five years; first genuinely new money, co-</w:t>
            </w:r>
            <w:r>
              <w:lastRenderedPageBreak/>
              <w:t>funded with defence.</w:t>
            </w:r>
          </w:p>
        </w:tc>
        <w:tc>
          <w:tcPr>
            <w:tcW w:w="5300" w:type="dxa"/>
            <w:shd w:val="clear" w:color="auto" w:fill="EAF1F8"/>
            <w:tcMar>
              <w:top w:w="60" w:type="dxa"/>
              <w:left w:w="100" w:type="dxa"/>
              <w:bottom w:w="60" w:type="dxa"/>
              <w:right w:w="100" w:type="dxa"/>
            </w:tcMar>
          </w:tcPr>
          <w:p w14:paraId="69D8260E" w14:textId="77777777" w:rsidR="0072478B" w:rsidRPr="00CF7B0D" w:rsidRDefault="00000000" w:rsidP="00CF7B0D">
            <w:r>
              <w:lastRenderedPageBreak/>
              <w:t xml:space="preserve">Request modest new appropriation only now, justified by the terrestrial-dividend evidence generated in Phase 1. Lead with autonomous </w:t>
            </w:r>
            <w:r>
              <w:lastRenderedPageBreak/>
              <w:t>medicine, whose domestic returns stand regardless of any flight.</w:t>
            </w:r>
          </w:p>
        </w:tc>
      </w:tr>
    </w:tbl>
    <w:p w14:paraId="3195C707" w14:textId="77777777" w:rsidR="00EA6F2F" w:rsidRPr="00CF7B0D" w:rsidRDefault="00EA6F2F" w:rsidP="00CF7B0D"/>
    <w:p w14:paraId="5A01277D" w14:textId="77777777" w:rsidR="00EA6F2F" w:rsidRPr="00CF7B0D" w:rsidRDefault="00000000" w:rsidP="00CF7B0D">
      <w:r>
        <w:t>The logic of the sequence is that each phase funds the credibility of the next: Phase 0 produces the map that targets Phase 1; Phase 1 produces the data that is the in-kind ticket in Phase 2 and the evidence base in Phase 3. By the time new appropriation is sought, government is asked to scale something already returning terrestrial value, not to bet on a capability audit. Cumulative new expenditure across the sequence remains below a single year of the ASA’s current appropriation.</w:t>
      </w:r>
    </w:p>
    <w:p w14:paraId="7954DF57" w14:textId="274A9A25" w:rsidR="00EA6F2F" w:rsidRPr="00CF7B0D" w:rsidRDefault="00000000" w:rsidP="00F03858">
      <w:pPr>
        <w:pStyle w:val="Title"/>
      </w:pPr>
      <w:r>
        <w:br w:type="page"/>
      </w:r>
      <w:r>
        <w:lastRenderedPageBreak/>
        <w:t>Appendix D—A Minimum-Viable National Strategy (One-Page Roadmap)</w:t>
      </w:r>
    </w:p>
    <w:p w14:paraId="48091340" w14:textId="5BB2519D" w:rsidR="00EA6F2F" w:rsidRPr="00CF7B0D" w:rsidRDefault="005E18D3" w:rsidP="00CF7B0D">
      <w:r>
        <w:t>The following is a costed, sequenced roadmap for politically and financially acceptable Australian engagement with the Artemis, Mars, and Terrae Novae programmes.</w:t>
      </w:r>
    </w:p>
    <w:p w14:paraId="1F3467D4" w14:textId="0EBEBF57" w:rsidR="00EA6F2F" w:rsidRPr="00CF7B0D" w:rsidRDefault="00000000" w:rsidP="00CF7B0D">
      <w:r>
        <w:rPr>
          <w:b/>
          <w:bCs/>
          <w:color w:val="1F3864"/>
        </w:rPr>
        <w:t xml:space="preserve">The disciplining constraint. </w:t>
      </w:r>
      <w:r>
        <w:t>The ASA’s entire annual appropriation is ~A$21.7 million and faces a funding cliff in 2028. This roadmap therefore spends almost nothing new for two years, never assumes the space agency is the funder, and sources money from where it already flows—existing competitive grants, the Antarctic programme’s operating budget, and rising defence human-performance lines.</w:t>
      </w:r>
    </w:p>
    <w:tbl>
      <w:tblPr>
        <w:tblW w:w="9360" w:type="dxa"/>
        <w:tblBorders>
          <w:top w:val="single" w:sz="4" w:space="0" w:color="C7D3E0"/>
          <w:left w:val="single" w:sz="4" w:space="0" w:color="C7D3E0"/>
          <w:bottom w:val="single" w:sz="4" w:space="0" w:color="C7D3E0"/>
          <w:right w:val="single" w:sz="4" w:space="0" w:color="C7D3E0"/>
          <w:insideH w:val="single" w:sz="4" w:space="0" w:color="C7D3E0"/>
          <w:insideV w:val="single" w:sz="4" w:space="0" w:color="C7D3E0"/>
        </w:tblBorders>
        <w:tblLook w:val="04A0" w:firstRow="1" w:lastRow="0" w:firstColumn="1" w:lastColumn="0" w:noHBand="0" w:noVBand="1"/>
      </w:tblPr>
      <w:tblGrid>
        <w:gridCol w:w="1700"/>
        <w:gridCol w:w="2360"/>
        <w:gridCol w:w="5300"/>
      </w:tblGrid>
      <w:tr w:rsidR="0072478B" w:rsidRPr="00CF7B0D" w14:paraId="4FD225F7" w14:textId="77777777">
        <w:tc>
          <w:tcPr>
            <w:tcW w:w="1700" w:type="dxa"/>
            <w:shd w:val="clear" w:color="auto" w:fill="1F3864"/>
            <w:tcMar>
              <w:top w:w="22" w:type="dxa"/>
              <w:left w:w="100" w:type="dxa"/>
              <w:bottom w:w="22" w:type="dxa"/>
              <w:right w:w="100" w:type="dxa"/>
            </w:tcMar>
          </w:tcPr>
          <w:p w14:paraId="387FE0DF" w14:textId="77777777" w:rsidR="0072478B" w:rsidRPr="00CF7B0D" w:rsidRDefault="00000000" w:rsidP="00CF7B0D">
            <w:r>
              <w:t>Phase / timing</w:t>
            </w:r>
          </w:p>
        </w:tc>
        <w:tc>
          <w:tcPr>
            <w:tcW w:w="2360" w:type="dxa"/>
            <w:shd w:val="clear" w:color="auto" w:fill="1F3864"/>
            <w:tcMar>
              <w:top w:w="22" w:type="dxa"/>
              <w:left w:w="100" w:type="dxa"/>
              <w:bottom w:w="22" w:type="dxa"/>
              <w:right w:w="100" w:type="dxa"/>
            </w:tcMar>
          </w:tcPr>
          <w:p w14:paraId="1CE28EF9" w14:textId="77777777" w:rsidR="0072478B" w:rsidRPr="00CF7B0D" w:rsidRDefault="00000000" w:rsidP="00CF7B0D">
            <w:r>
              <w:t>Indicative cost &amp; source</w:t>
            </w:r>
          </w:p>
        </w:tc>
        <w:tc>
          <w:tcPr>
            <w:tcW w:w="5300" w:type="dxa"/>
            <w:shd w:val="clear" w:color="auto" w:fill="1F3864"/>
            <w:tcMar>
              <w:top w:w="22" w:type="dxa"/>
              <w:left w:w="100" w:type="dxa"/>
              <w:bottom w:w="22" w:type="dxa"/>
              <w:right w:w="100" w:type="dxa"/>
            </w:tcMar>
          </w:tcPr>
          <w:p w14:paraId="3A93B6A2" w14:textId="77777777" w:rsidR="0072478B" w:rsidRPr="00CF7B0D" w:rsidRDefault="00000000" w:rsidP="00CF7B0D">
            <w:r>
              <w:t>Core move and rationale</w:t>
            </w:r>
          </w:p>
        </w:tc>
      </w:tr>
      <w:tr w:rsidR="0072478B" w:rsidRPr="00CF7B0D" w14:paraId="1D7D1470" w14:textId="77777777">
        <w:tc>
          <w:tcPr>
            <w:tcW w:w="1700" w:type="dxa"/>
            <w:shd w:val="clear" w:color="auto" w:fill="FFFFFF"/>
            <w:tcMar>
              <w:top w:w="22" w:type="dxa"/>
              <w:left w:w="100" w:type="dxa"/>
              <w:bottom w:w="22" w:type="dxa"/>
              <w:right w:w="100" w:type="dxa"/>
            </w:tcMar>
          </w:tcPr>
          <w:p w14:paraId="4C0748A6" w14:textId="77777777" w:rsidR="0072478B" w:rsidRPr="00CF7B0D" w:rsidRDefault="00000000" w:rsidP="00CF7B0D">
            <w:r>
              <w:t>Phase 0—Coordinate, not build (Year 0–1)</w:t>
            </w:r>
          </w:p>
        </w:tc>
        <w:tc>
          <w:tcPr>
            <w:tcW w:w="2360" w:type="dxa"/>
            <w:shd w:val="clear" w:color="auto" w:fill="FFFFFF"/>
            <w:tcMar>
              <w:top w:w="22" w:type="dxa"/>
              <w:left w:w="100" w:type="dxa"/>
              <w:bottom w:w="22" w:type="dxa"/>
              <w:right w:w="100" w:type="dxa"/>
            </w:tcMar>
          </w:tcPr>
          <w:p w14:paraId="4E7AF2ED" w14:textId="77777777" w:rsidR="0072478B" w:rsidRPr="00CF7B0D" w:rsidRDefault="00000000" w:rsidP="00CF7B0D">
            <w:r>
              <w:t>~$0.1–0.3M; absorbed in-kind via the existing ASA space-medicine roadmap function and participating professional bodies.</w:t>
            </w:r>
          </w:p>
        </w:tc>
        <w:tc>
          <w:tcPr>
            <w:tcW w:w="5300" w:type="dxa"/>
            <w:shd w:val="clear" w:color="auto" w:fill="FFFFFF"/>
            <w:tcMar>
              <w:top w:w="22" w:type="dxa"/>
              <w:left w:w="100" w:type="dxa"/>
              <w:bottom w:w="22" w:type="dxa"/>
              <w:right w:w="100" w:type="dxa"/>
            </w:tcMar>
          </w:tcPr>
          <w:p w14:paraId="5DC65A25" w14:textId="77777777" w:rsidR="0072478B" w:rsidRPr="00CF7B0D" w:rsidRDefault="00000000" w:rsidP="00CF7B0D">
            <w:r>
              <w:t>MoU network with one convenor and a part-time secretariat—not a new building. Deliverable: a costed national capability map separating already-funded dual-use research from work needing new money, plus a ranked shortlist of bets.</w:t>
            </w:r>
          </w:p>
        </w:tc>
      </w:tr>
      <w:tr w:rsidR="0072478B" w:rsidRPr="00CF7B0D" w14:paraId="58F25075" w14:textId="77777777">
        <w:tc>
          <w:tcPr>
            <w:tcW w:w="1700" w:type="dxa"/>
            <w:shd w:val="clear" w:color="auto" w:fill="EAF1F8"/>
            <w:tcMar>
              <w:top w:w="22" w:type="dxa"/>
              <w:left w:w="100" w:type="dxa"/>
              <w:bottom w:w="22" w:type="dxa"/>
              <w:right w:w="100" w:type="dxa"/>
            </w:tcMar>
          </w:tcPr>
          <w:p w14:paraId="6285BBBE" w14:textId="77777777" w:rsidR="0072478B" w:rsidRPr="00CF7B0D" w:rsidRDefault="00000000" w:rsidP="00CF7B0D">
            <w:r>
              <w:t>Phase 1—Tag, not fund (Year 1–2)</w:t>
            </w:r>
          </w:p>
        </w:tc>
        <w:tc>
          <w:tcPr>
            <w:tcW w:w="2360" w:type="dxa"/>
            <w:shd w:val="clear" w:color="auto" w:fill="EAF1F8"/>
            <w:tcMar>
              <w:top w:w="22" w:type="dxa"/>
              <w:left w:w="100" w:type="dxa"/>
              <w:bottom w:w="22" w:type="dxa"/>
              <w:right w:w="100" w:type="dxa"/>
            </w:tcMar>
          </w:tcPr>
          <w:p w14:paraId="3F80448F" w14:textId="77777777" w:rsidR="0072478B" w:rsidRPr="00CF7B0D" w:rsidRDefault="00000000" w:rsidP="00CF7B0D">
            <w:r>
              <w:t>~$0.5–2M; existing NHMRC/ARC grant or modest top-up; AAD budget already committed.</w:t>
            </w:r>
          </w:p>
        </w:tc>
        <w:tc>
          <w:tcPr>
            <w:tcW w:w="5300" w:type="dxa"/>
            <w:shd w:val="clear" w:color="auto" w:fill="EAF1F8"/>
            <w:tcMar>
              <w:top w:w="22" w:type="dxa"/>
              <w:left w:w="100" w:type="dxa"/>
              <w:bottom w:w="22" w:type="dxa"/>
              <w:right w:w="100" w:type="dxa"/>
            </w:tcMar>
          </w:tcPr>
          <w:p w14:paraId="36D3084D" w14:textId="77777777" w:rsidR="0072478B" w:rsidRPr="00CF7B0D" w:rsidRDefault="00000000" w:rsidP="00CF7B0D">
            <w:r>
              <w:t xml:space="preserve">Instrument the Antarctic winter-over cohort and resource-industry </w:t>
            </w:r>
            <w:proofErr w:type="spellStart"/>
            <w:r>
              <w:t>analogs</w:t>
            </w:r>
            <w:proofErr w:type="spellEnd"/>
            <w:r>
              <w:t xml:space="preserve"> with standardised protocols. Marginal cost only; outputs are publishable terrestrial science needing no flight to justify them.</w:t>
            </w:r>
          </w:p>
        </w:tc>
      </w:tr>
      <w:tr w:rsidR="0072478B" w:rsidRPr="00CF7B0D" w14:paraId="37990C64" w14:textId="77777777">
        <w:tc>
          <w:tcPr>
            <w:tcW w:w="1700" w:type="dxa"/>
            <w:shd w:val="clear" w:color="auto" w:fill="FFFFFF"/>
            <w:tcMar>
              <w:top w:w="22" w:type="dxa"/>
              <w:left w:w="100" w:type="dxa"/>
              <w:bottom w:w="22" w:type="dxa"/>
              <w:right w:w="100" w:type="dxa"/>
            </w:tcMar>
          </w:tcPr>
          <w:p w14:paraId="63057437" w14:textId="77777777" w:rsidR="0072478B" w:rsidRPr="00CF7B0D" w:rsidRDefault="00000000" w:rsidP="00CF7B0D">
            <w:r>
              <w:t>Phase 2—Buy access in kind (Year 2–3)</w:t>
            </w:r>
          </w:p>
        </w:tc>
        <w:tc>
          <w:tcPr>
            <w:tcW w:w="2360" w:type="dxa"/>
            <w:shd w:val="clear" w:color="auto" w:fill="FFFFFF"/>
            <w:tcMar>
              <w:top w:w="22" w:type="dxa"/>
              <w:left w:w="100" w:type="dxa"/>
              <w:bottom w:w="22" w:type="dxa"/>
              <w:right w:w="100" w:type="dxa"/>
            </w:tcMar>
          </w:tcPr>
          <w:p w14:paraId="63484868" w14:textId="77777777" w:rsidR="0072478B" w:rsidRPr="00CF7B0D" w:rsidRDefault="00000000" w:rsidP="00CF7B0D">
            <w:r>
              <w:t>~$1–3M; fellowships and travel, partly defence-funded.</w:t>
            </w:r>
          </w:p>
        </w:tc>
        <w:tc>
          <w:tcPr>
            <w:tcW w:w="5300" w:type="dxa"/>
            <w:shd w:val="clear" w:color="auto" w:fill="FFFFFF"/>
            <w:tcMar>
              <w:top w:w="22" w:type="dxa"/>
              <w:left w:w="100" w:type="dxa"/>
              <w:bottom w:w="22" w:type="dxa"/>
              <w:right w:w="100" w:type="dxa"/>
            </w:tcMar>
          </w:tcPr>
          <w:p w14:paraId="670EA33B" w14:textId="77777777" w:rsidR="0072478B" w:rsidRPr="00CF7B0D" w:rsidRDefault="00000000" w:rsidP="00CF7B0D">
            <w:r>
              <w:t xml:space="preserve">Avoid ESA membership. Secure PI roles in ground-based NASA HRP studies on a no-exchange-of-funds basis, and engage ESA </w:t>
            </w:r>
            <w:proofErr w:type="spellStart"/>
            <w:r>
              <w:t>SciSpacE</w:t>
            </w:r>
            <w:proofErr w:type="spellEnd"/>
            <w:r>
              <w:t xml:space="preserve"> in kind through data-sharing, Topical Teams, and the winter-over cohort as a Concordia analogue, with deeper </w:t>
            </w:r>
            <w:proofErr w:type="spellStart"/>
            <w:r>
              <w:t>SciSpacE</w:t>
            </w:r>
            <w:proofErr w:type="spellEnd"/>
            <w:r>
              <w:t xml:space="preserve"> access via the Cooperation Agreement now under negotiation.</w:t>
            </w:r>
          </w:p>
        </w:tc>
      </w:tr>
      <w:tr w:rsidR="0072478B" w:rsidRPr="00CF7B0D" w14:paraId="403399B4" w14:textId="77777777">
        <w:tc>
          <w:tcPr>
            <w:tcW w:w="1700" w:type="dxa"/>
            <w:shd w:val="clear" w:color="auto" w:fill="EAF1F8"/>
            <w:tcMar>
              <w:top w:w="22" w:type="dxa"/>
              <w:left w:w="100" w:type="dxa"/>
              <w:bottom w:w="22" w:type="dxa"/>
              <w:right w:w="100" w:type="dxa"/>
            </w:tcMar>
          </w:tcPr>
          <w:p w14:paraId="057D18C5" w14:textId="77777777" w:rsidR="0072478B" w:rsidRPr="00CF7B0D" w:rsidRDefault="00000000" w:rsidP="00CF7B0D">
            <w:r>
              <w:t>Phase 3—Small ring-fenced stream (Year 3–5)</w:t>
            </w:r>
          </w:p>
        </w:tc>
        <w:tc>
          <w:tcPr>
            <w:tcW w:w="2360" w:type="dxa"/>
            <w:shd w:val="clear" w:color="auto" w:fill="EAF1F8"/>
            <w:tcMar>
              <w:top w:w="22" w:type="dxa"/>
              <w:left w:w="100" w:type="dxa"/>
              <w:bottom w:w="22" w:type="dxa"/>
              <w:right w:w="100" w:type="dxa"/>
            </w:tcMar>
          </w:tcPr>
          <w:p w14:paraId="2B2BF923" w14:textId="77777777" w:rsidR="0072478B" w:rsidRPr="00CF7B0D" w:rsidRDefault="00000000" w:rsidP="00CF7B0D">
            <w:r>
              <w:t>~$5–10M over five years; first new money, co-funded with defence.</w:t>
            </w:r>
          </w:p>
        </w:tc>
        <w:tc>
          <w:tcPr>
            <w:tcW w:w="5300" w:type="dxa"/>
            <w:shd w:val="clear" w:color="auto" w:fill="EAF1F8"/>
            <w:tcMar>
              <w:top w:w="22" w:type="dxa"/>
              <w:left w:w="100" w:type="dxa"/>
              <w:bottom w:w="22" w:type="dxa"/>
              <w:right w:w="100" w:type="dxa"/>
            </w:tcMar>
          </w:tcPr>
          <w:p w14:paraId="510176B3" w14:textId="77777777" w:rsidR="0072478B" w:rsidRPr="00CF7B0D" w:rsidRDefault="00000000" w:rsidP="00CF7B0D">
            <w:r>
              <w:t>Request modest new appropriation only now, justified by Phase 1 terrestrial-dividend evidence. Lead with autonomous medicine, whose domestic returns stand regardless of any flight.</w:t>
            </w:r>
          </w:p>
        </w:tc>
      </w:tr>
    </w:tbl>
    <w:p w14:paraId="723D12FE" w14:textId="77777777" w:rsidR="005E18D3" w:rsidRDefault="005E18D3" w:rsidP="00F03858">
      <w:pPr>
        <w:pStyle w:val="Heading1"/>
      </w:pPr>
    </w:p>
    <w:p w14:paraId="443B2F3E" w14:textId="77777777" w:rsidR="005E18D3" w:rsidRDefault="005E18D3" w:rsidP="00F03858">
      <w:pPr>
        <w:pStyle w:val="Heading1"/>
      </w:pPr>
    </w:p>
    <w:p w14:paraId="07EA6189" w14:textId="2C0E8619" w:rsidR="00EA6F2F" w:rsidRPr="00CF7B0D" w:rsidRDefault="00000000" w:rsidP="00F03858">
      <w:pPr>
        <w:pStyle w:val="Heading1"/>
      </w:pPr>
      <w:r>
        <w:lastRenderedPageBreak/>
        <w:t>Why the sequence is the strategy</w:t>
      </w:r>
    </w:p>
    <w:p w14:paraId="45AC6A15" w14:textId="77777777" w:rsidR="00EA6F2F" w:rsidRPr="00CF7B0D" w:rsidRDefault="00000000" w:rsidP="00CF7B0D">
      <w:r>
        <w:t>Each phase buys the credibility of the next ask. Phase 0 produces the map that targets Phase 1; Phase 1 produces the data that is the in-kind ticket in Phase 2 and the evidence base in Phase 3. By the time new appropriation is requested, Treasury is not betting on a capability audit—it is scaling something already returning terrestrial dividends. Cumulative new spend stays below a single year of the space agency’s own budget.</w:t>
      </w:r>
    </w:p>
    <w:p w14:paraId="45AC6C01" w14:textId="12E4C2B9" w:rsidR="00EA6F2F" w:rsidRPr="00CF7B0D" w:rsidRDefault="00000000" w:rsidP="00CF7B0D">
      <w:r>
        <w:t>The method has an international template. Canada, a middle power on a fraction of the major agencies’ budgets, chose a single domain—space robotics—and built the Canadarm lineage no partner could easily substitute into a durable seat at the table: astronaut flights, Space Station access, and a role on the lunar Gateway.47 The lesson for Australia is to copy the method, not the domain: space medicine is the niche, dual-use by construction, entered in-kind through the Antarctic cohort, shared data, and differentiated expertise. Canada also pays a scaled contribution for its formal ESA standing, and Australia may in time do likewise through the Cooperation Agreement now under negotiation; but that is a way to escalate, not a precondition.</w:t>
      </w:r>
    </w:p>
    <w:p w14:paraId="45AC6B01" w14:textId="469FA8D3" w:rsidR="00EA6F2F" w:rsidRDefault="00000000" w:rsidP="00CF7B0D">
      <w:r>
        <w:t xml:space="preserve">The sequence also frames the one large, discrete decision now before government. Australia has a qualified astronaut, ESA-trained—Katherine Bennell-Pegg, the first candidate to complete basic astronaut training with ESA—and a formal ESA offer for her to undertake an International Space Station mission, projected around 2028 at a cost exceeding A$100 million and confirmed to be under negotiation.48 That decision belongs to a different envelope from the one this document addresses: it is a strategic and diplomatic investment, properly weighed on alliance, sovereign-capability and workforce grounds, funded outside the space-medicine and civil-science budgets, and the sequence set out here neither depends upon nor is displaced by it. The two—a flight and the coordinated, dual-use space-medicine programme described in this Supplementary Information—are nonetheless mutually reinforcing. A crewed flight’s scientific value depends on the experiments it carries, and that programme is what would supply them: flight-ready, ground-validated protocols in autonomous ultrasound, bone and muscle countermeasures, radiation biology and neuro-ocular monitoring, developed at marginal cost through existing NHMRC, ARC, AAD and defence channels, for an Australian astronaut to run in orbit against the Antarctic and analogue cohorts as terrestrial controls. Supplying that payload is what would make a flight scientifically productive and nationally attributable, rather than merely emblematic. Established now, the programme returns value </w:t>
      </w:r>
      <w:proofErr w:type="gramStart"/>
      <w:r>
        <w:t>whether or not</w:t>
      </w:r>
      <w:proofErr w:type="gramEnd"/>
      <w:r>
        <w:t xml:space="preserve"> a flight is funded. Because a protocol is information rather than a consumable, the same work can be offered to ESA and NASA as an in-kind contribution and retained for domestic use, leaving Australia ready to exploit an ISS opportunity before the Station’s retirement around 2030.</w:t>
      </w:r>
    </w:p>
    <w:p w14:paraId="40F296FE" w14:textId="77777777" w:rsidR="005E18D3" w:rsidRPr="00CF7B0D" w:rsidRDefault="005E18D3" w:rsidP="00CF7B0D"/>
    <w:p w14:paraId="026E9301" w14:textId="77777777" w:rsidR="00EA6F2F" w:rsidRPr="00CF7B0D" w:rsidRDefault="00000000" w:rsidP="00F03858">
      <w:pPr>
        <w:pStyle w:val="Heading1"/>
      </w:pPr>
      <w:r>
        <w:lastRenderedPageBreak/>
        <w:t>Design rules applied throughout</w:t>
      </w:r>
    </w:p>
    <w:p w14:paraId="29AD3884" w14:textId="77777777" w:rsidR="005E18D3" w:rsidRDefault="005E18D3" w:rsidP="005E18D3">
      <w:r>
        <w:t>The tenets of this sequence are fourfold:</w:t>
      </w:r>
    </w:p>
    <w:p w14:paraId="670A4C00" w14:textId="35C38AB6" w:rsidR="00EA6F2F" w:rsidRPr="00CF7B0D" w:rsidRDefault="00000000" w:rsidP="00F03858">
      <w:pPr>
        <w:pStyle w:val="ListParagraph"/>
        <w:numPr>
          <w:ilvl w:val="0"/>
          <w:numId w:val="4"/>
        </w:numPr>
        <w:spacing w:after="160" w:line="278" w:lineRule="auto"/>
        <w:rPr>
          <w:rFonts w:ascii="Aptos" w:hAnsi="Aptos"/>
        </w:rPr>
      </w:pPr>
      <w:r>
        <w:rPr>
          <w:rFonts w:ascii="Aptos" w:hAnsi="Aptos"/>
        </w:rPr>
        <w:t>Don’t request new money until evidence justifies it.</w:t>
      </w:r>
    </w:p>
    <w:p w14:paraId="11129683" w14:textId="77777777" w:rsidR="00EA6F2F" w:rsidRPr="00CF7B0D" w:rsidRDefault="00000000" w:rsidP="00F03858">
      <w:pPr>
        <w:pStyle w:val="ListParagraph"/>
        <w:numPr>
          <w:ilvl w:val="0"/>
          <w:numId w:val="4"/>
        </w:numPr>
        <w:spacing w:after="160" w:line="278" w:lineRule="auto"/>
        <w:rPr>
          <w:rFonts w:ascii="Aptos" w:hAnsi="Aptos"/>
        </w:rPr>
      </w:pPr>
      <w:r>
        <w:rPr>
          <w:rFonts w:ascii="Aptos" w:hAnsi="Aptos"/>
        </w:rPr>
        <w:t>Source funds from where they already flow and are politically defensible.</w:t>
      </w:r>
    </w:p>
    <w:p w14:paraId="1124E966" w14:textId="77777777" w:rsidR="00EA6F2F" w:rsidRPr="00CF7B0D" w:rsidRDefault="00000000" w:rsidP="00F03858">
      <w:pPr>
        <w:pStyle w:val="ListParagraph"/>
        <w:numPr>
          <w:ilvl w:val="0"/>
          <w:numId w:val="4"/>
        </w:numPr>
        <w:spacing w:after="160" w:line="278" w:lineRule="auto"/>
        <w:rPr>
          <w:rFonts w:ascii="Aptos" w:hAnsi="Aptos"/>
        </w:rPr>
      </w:pPr>
      <w:r>
        <w:rPr>
          <w:rFonts w:ascii="Aptos" w:hAnsi="Aptos"/>
        </w:rPr>
        <w:t>Make the terrestrial dividend the headline; space is the forcing function.</w:t>
      </w:r>
    </w:p>
    <w:p w14:paraId="501A9E4F" w14:textId="77777777" w:rsidR="00EA6F2F" w:rsidRPr="00CF7B0D" w:rsidRDefault="00000000" w:rsidP="00F03858">
      <w:pPr>
        <w:pStyle w:val="ListParagraph"/>
        <w:numPr>
          <w:ilvl w:val="0"/>
          <w:numId w:val="4"/>
        </w:numPr>
        <w:spacing w:after="160" w:line="278" w:lineRule="auto"/>
        <w:rPr>
          <w:rFonts w:ascii="Aptos" w:hAnsi="Aptos"/>
        </w:rPr>
      </w:pPr>
      <w:r>
        <w:rPr>
          <w:rFonts w:ascii="Aptos" w:hAnsi="Aptos"/>
        </w:rPr>
        <w:t>Give it an owner with an existing mandate and budget—no new orphan body.</w:t>
      </w:r>
    </w:p>
    <w:p w14:paraId="283815A4" w14:textId="10167B1C" w:rsidR="00EA6F2F" w:rsidRPr="00CF7B0D" w:rsidRDefault="00000000" w:rsidP="00CF7B0D">
      <w:r>
        <w:rPr>
          <w:b/>
          <w:bCs/>
        </w:rPr>
        <w:t xml:space="preserve">Caveat. </w:t>
      </w:r>
      <w:r>
        <w:t>Cost figures are indicative orders of magnitude, not detailed costings: the instrumentation and in-kind steps are scaled against competitive Australian research grants—ARC Discovery Projects provide up to A$500,000 a year for up to five years, with NHMRC project grants of comparable or larger scale 49—and the in-kind route costs a fraction of cooperating-state membership. Whether defence human-performance funds can be applied to ostensibly civilian space-medicine research depends on programme boundaries not visible from open sources and would need confirmation with the relevant agencies before this is more than a sketch.</w:t>
      </w:r>
    </w:p>
    <w:p w14:paraId="0AA2FF5C" w14:textId="77777777" w:rsidR="008F6E17" w:rsidRPr="00CF7B0D" w:rsidRDefault="00000000" w:rsidP="00F03858">
      <w:pPr>
        <w:pStyle w:val="Heading1"/>
      </w:pPr>
      <w:r>
        <w:t>Supplementary references</w:t>
      </w:r>
    </w:p>
    <w:p w14:paraId="550BB9DC" w14:textId="77777777" w:rsidR="00EA6F2F" w:rsidRPr="00CF7B0D" w:rsidRDefault="00000000" w:rsidP="00F03858">
      <w:pPr>
        <w:tabs>
          <w:tab w:val="left" w:pos="567"/>
        </w:tabs>
      </w:pPr>
      <w:r>
        <w:t>1.</w:t>
      </w:r>
      <w:r>
        <w:tab/>
        <w:t>Lau P, Vico L, Rittweger J. Dissociation of bone resorption and formation in spaceflight and simulated microgravity: potential role of myokines and osteokines. Biomedicines. 2022; 10(2): 342.</w:t>
      </w:r>
    </w:p>
    <w:p w14:paraId="3DE622EF" w14:textId="77777777" w:rsidR="00EA6F2F" w:rsidRPr="00CF7B0D" w:rsidRDefault="00000000" w:rsidP="00F03858">
      <w:pPr>
        <w:tabs>
          <w:tab w:val="left" w:pos="567"/>
        </w:tabs>
      </w:pPr>
      <w:r>
        <w:t>2.</w:t>
      </w:r>
      <w:r>
        <w:tab/>
        <w:t xml:space="preserve">Monfared S, Doering J, Bhagat R, et al. Tracking of spaceflight-induced bone </w:t>
      </w:r>
      <w:proofErr w:type="spellStart"/>
      <w:r>
        <w:t>remodeling</w:t>
      </w:r>
      <w:proofErr w:type="spellEnd"/>
      <w:r>
        <w:t xml:space="preserve"> reveals a limited time frame for recovery of resorption sites in humans. Sci Adv. 2024; 10(37): eadq3632.</w:t>
      </w:r>
    </w:p>
    <w:p w14:paraId="40D707E3" w14:textId="77777777" w:rsidR="00EA6F2F" w:rsidRPr="00CF7B0D" w:rsidRDefault="00000000" w:rsidP="00F03858">
      <w:pPr>
        <w:tabs>
          <w:tab w:val="left" w:pos="567"/>
        </w:tabs>
      </w:pPr>
      <w:r>
        <w:t>3.</w:t>
      </w:r>
      <w:r>
        <w:tab/>
        <w:t xml:space="preserve">Sims NA. Osteoclast-derived coupling factors: origins and state-of-play. Louis V </w:t>
      </w:r>
      <w:proofErr w:type="spellStart"/>
      <w:r>
        <w:t>Avioli</w:t>
      </w:r>
      <w:proofErr w:type="spellEnd"/>
      <w:r>
        <w:t xml:space="preserve"> lecture, ASBMR 2023. J Bone Miner Res. 2024; 39(10): 1377–1385.</w:t>
      </w:r>
    </w:p>
    <w:p w14:paraId="145659DF" w14:textId="77777777" w:rsidR="00EA6F2F" w:rsidRPr="00CF7B0D" w:rsidRDefault="00000000" w:rsidP="00F03858">
      <w:pPr>
        <w:tabs>
          <w:tab w:val="left" w:pos="567"/>
        </w:tabs>
      </w:pPr>
      <w:r>
        <w:t>4.</w:t>
      </w:r>
      <w:r>
        <w:tab/>
        <w:t xml:space="preserve">Koh NYY, Fac ML, Wee NKY, Miskiewicz J, Sims NA. Preclinical rodent models for human bone disease, including a focus on cortical bone. </w:t>
      </w:r>
      <w:proofErr w:type="spellStart"/>
      <w:r>
        <w:t>Endocr</w:t>
      </w:r>
      <w:proofErr w:type="spellEnd"/>
      <w:r>
        <w:t xml:space="preserve"> Rev. 2024; 45(4): 493–520.</w:t>
      </w:r>
    </w:p>
    <w:p w14:paraId="4FC281A6" w14:textId="77777777" w:rsidR="00EA6F2F" w:rsidRPr="00CF7B0D" w:rsidRDefault="00000000" w:rsidP="00F03858">
      <w:pPr>
        <w:tabs>
          <w:tab w:val="left" w:pos="567"/>
        </w:tabs>
      </w:pPr>
      <w:r>
        <w:t>5.</w:t>
      </w:r>
      <w:r>
        <w:tab/>
      </w:r>
      <w:proofErr w:type="spellStart"/>
      <w:r>
        <w:t>Isojima</w:t>
      </w:r>
      <w:proofErr w:type="spellEnd"/>
      <w:r>
        <w:t xml:space="preserve"> T, </w:t>
      </w:r>
      <w:proofErr w:type="spellStart"/>
      <w:r>
        <w:t>Crimeen</w:t>
      </w:r>
      <w:proofErr w:type="spellEnd"/>
      <w:r>
        <w:t>-Irwin B, McGregor NE, Chai R, Dutt M, Poulton IJ, et al. Bone marrow neutrophil precursors suppress osteoclast formation in trabecular and cortical bone. Blood. 2025; 146(11): 1331–1345.</w:t>
      </w:r>
    </w:p>
    <w:p w14:paraId="73F49BA3" w14:textId="77777777" w:rsidR="00EA6F2F" w:rsidRPr="00CF7B0D" w:rsidRDefault="00000000" w:rsidP="00F03858">
      <w:pPr>
        <w:tabs>
          <w:tab w:val="left" w:pos="567"/>
        </w:tabs>
      </w:pPr>
      <w:r>
        <w:t>6.</w:t>
      </w:r>
      <w:r>
        <w:tab/>
        <w:t>Petersen LG, Hargens A, Bird EM, et al. The cardiovascular system in space: focus on in vivo and in vitro studies. Biomedicines. 2022; 10(1): 59.</w:t>
      </w:r>
    </w:p>
    <w:p w14:paraId="0A03B05B" w14:textId="77777777" w:rsidR="00EA6F2F" w:rsidRPr="00CF7B0D" w:rsidRDefault="00000000" w:rsidP="00F03858">
      <w:pPr>
        <w:tabs>
          <w:tab w:val="left" w:pos="567"/>
        </w:tabs>
      </w:pPr>
      <w:r>
        <w:t>7.</w:t>
      </w:r>
      <w:r>
        <w:tab/>
        <w:t xml:space="preserve">Kennedy AR, Wan XS, Kowalski A, Szymański B. Limitations in predicting the space radiation health risk for exploration astronauts. </w:t>
      </w:r>
      <w:proofErr w:type="spellStart"/>
      <w:r>
        <w:t>npj</w:t>
      </w:r>
      <w:proofErr w:type="spellEnd"/>
      <w:r>
        <w:t xml:space="preserve"> Microgravity. 2018; 4: 4.</w:t>
      </w:r>
    </w:p>
    <w:p w14:paraId="4A915B84" w14:textId="77777777" w:rsidR="00242278" w:rsidRPr="00CF7B0D" w:rsidRDefault="00242278" w:rsidP="00F03858">
      <w:pPr>
        <w:tabs>
          <w:tab w:val="left" w:pos="567"/>
        </w:tabs>
      </w:pPr>
      <w:r>
        <w:lastRenderedPageBreak/>
        <w:t>8.</w:t>
      </w:r>
      <w:r>
        <w:tab/>
        <w:t>Krukowski K, et al. The impact of deep space radiation on cognitive performance: From biological sex to biomarkers to countermeasures. Sci Adv. 2021; 7(42): eabg6702</w:t>
      </w:r>
    </w:p>
    <w:p w14:paraId="4570A33B" w14:textId="77777777" w:rsidR="00CE0836" w:rsidRPr="00CF7B0D" w:rsidRDefault="00CE0836" w:rsidP="00F03858">
      <w:pPr>
        <w:tabs>
          <w:tab w:val="left" w:pos="567"/>
        </w:tabs>
      </w:pPr>
      <w:r>
        <w:t>9.</w:t>
      </w:r>
      <w:r>
        <w:tab/>
        <w:t xml:space="preserve">Simon MA, Cerro JA, </w:t>
      </w:r>
      <w:proofErr w:type="spellStart"/>
      <w:r>
        <w:t>Clowdsley</w:t>
      </w:r>
      <w:proofErr w:type="spellEnd"/>
      <w:r>
        <w:t xml:space="preserve"> MS. </w:t>
      </w:r>
      <w:proofErr w:type="spellStart"/>
      <w:r>
        <w:t>RadWorks</w:t>
      </w:r>
      <w:proofErr w:type="spellEnd"/>
      <w:r>
        <w:t xml:space="preserve"> Storm Shelter Design for Solar Particle Event Shielding. AIAA Paper. 2013-5435.</w:t>
      </w:r>
    </w:p>
    <w:p w14:paraId="0D32E4D4" w14:textId="77777777" w:rsidR="00EA6F2F" w:rsidRPr="00CF7B0D" w:rsidRDefault="00000000" w:rsidP="00F03858">
      <w:pPr>
        <w:tabs>
          <w:tab w:val="left" w:pos="567"/>
        </w:tabs>
      </w:pPr>
      <w:r>
        <w:t>10.</w:t>
      </w:r>
      <w:r>
        <w:tab/>
        <w:t xml:space="preserve">Cucinotta FA, Cacao E, Kim MH, </w:t>
      </w:r>
      <w:proofErr w:type="spellStart"/>
      <w:r>
        <w:t>Saganti</w:t>
      </w:r>
      <w:proofErr w:type="spellEnd"/>
      <w:r>
        <w:t xml:space="preserve"> PB. Non-targeted effects and space radiation risks for astronauts on multiple International Space Station and lunar missions. Life. 2023; 13: 1319.</w:t>
      </w:r>
    </w:p>
    <w:p w14:paraId="74815D0C" w14:textId="77777777" w:rsidR="00EA6F2F" w:rsidRPr="00CF7B0D" w:rsidRDefault="00000000" w:rsidP="00F03858">
      <w:pPr>
        <w:tabs>
          <w:tab w:val="left" w:pos="567"/>
        </w:tabs>
      </w:pPr>
      <w:r>
        <w:t>11.</w:t>
      </w:r>
      <w:r>
        <w:tab/>
      </w:r>
      <w:proofErr w:type="spellStart"/>
      <w:r>
        <w:t>Mehare</w:t>
      </w:r>
      <w:proofErr w:type="spellEnd"/>
      <w:r>
        <w:t xml:space="preserve"> A, Chakole S, Wandile B. Navigating the unknown: a comprehensive review of spaceflight-associated neuro-ocular syndrome. Cureus. 2024; 16(2): e53380.</w:t>
      </w:r>
    </w:p>
    <w:p w14:paraId="21DB92DE" w14:textId="77777777" w:rsidR="00EA6F2F" w:rsidRPr="00CF7B0D" w:rsidRDefault="00000000" w:rsidP="00F03858">
      <w:pPr>
        <w:tabs>
          <w:tab w:val="left" w:pos="567"/>
        </w:tabs>
      </w:pPr>
      <w:r>
        <w:t>12.</w:t>
      </w:r>
      <w:r>
        <w:tab/>
        <w:t>Subramanian PS, Cromwell RL, Bowers KE, et al. Spaceflight associated neuro-ocular syndrome (SANS): a systematic review and future directions. Clin Ophthalmol. 2020; 14: 2875–2884.</w:t>
      </w:r>
    </w:p>
    <w:p w14:paraId="7F9E0BB6" w14:textId="77777777" w:rsidR="00EA6F2F" w:rsidRPr="00CF7B0D" w:rsidRDefault="00000000" w:rsidP="00F03858">
      <w:pPr>
        <w:tabs>
          <w:tab w:val="left" w:pos="567"/>
        </w:tabs>
      </w:pPr>
      <w:r>
        <w:t>13.</w:t>
      </w:r>
      <w:r>
        <w:tab/>
        <w:t>Fernández Aboy J, Rodríguez-Martínez P, Coimbra R, et al. Understanding the relationship between intracranial pressure and spaceflight associated neuro-ocular syndrome (SANS): a systematic review. NPJ Microgravity. 2025; 11(1): 22.</w:t>
      </w:r>
    </w:p>
    <w:p w14:paraId="6D3446BE" w14:textId="77777777" w:rsidR="00EA6F2F" w:rsidRPr="00CF7B0D" w:rsidRDefault="00000000" w:rsidP="00F03858">
      <w:pPr>
        <w:tabs>
          <w:tab w:val="left" w:pos="567"/>
        </w:tabs>
      </w:pPr>
      <w:r>
        <w:t>14.</w:t>
      </w:r>
      <w:r>
        <w:tab/>
        <w:t xml:space="preserve">Barisano G, </w:t>
      </w:r>
      <w:proofErr w:type="spellStart"/>
      <w:r>
        <w:t>Sepehrband</w:t>
      </w:r>
      <w:proofErr w:type="spellEnd"/>
      <w:r>
        <w:t xml:space="preserve"> F, Collins HR, et al. The effect of prolonged spaceflight on cerebrospinal fluid and perivascular spaces of astronauts and cosmonauts. Proc Natl </w:t>
      </w:r>
      <w:proofErr w:type="spellStart"/>
      <w:r>
        <w:t>Acad</w:t>
      </w:r>
      <w:proofErr w:type="spellEnd"/>
      <w:r>
        <w:t xml:space="preserve"> Sci USA. 2022; 119(8): e2120439119.</w:t>
      </w:r>
    </w:p>
    <w:p w14:paraId="098ACA28" w14:textId="77777777" w:rsidR="00EA6F2F" w:rsidRPr="00CF7B0D" w:rsidRDefault="00000000" w:rsidP="00F03858">
      <w:pPr>
        <w:tabs>
          <w:tab w:val="left" w:pos="567"/>
        </w:tabs>
      </w:pPr>
      <w:r>
        <w:t>15.</w:t>
      </w:r>
      <w:r>
        <w:tab/>
        <w:t xml:space="preserve">Spaceflight-associated neuro-ocular syndrome: potential </w:t>
      </w:r>
      <w:proofErr w:type="spellStart"/>
      <w:r>
        <w:t>etiologies</w:t>
      </w:r>
      <w:proofErr w:type="spellEnd"/>
      <w:r>
        <w:t xml:space="preserve"> and connections to the glymphatic system. J </w:t>
      </w:r>
      <w:proofErr w:type="spellStart"/>
      <w:r>
        <w:t>Neurophysiol</w:t>
      </w:r>
      <w:proofErr w:type="spellEnd"/>
      <w:r>
        <w:t>. 2025; 134.</w:t>
      </w:r>
    </w:p>
    <w:p w14:paraId="2C7A1FFF" w14:textId="77777777" w:rsidR="00EA6F2F" w:rsidRPr="00CF7B0D" w:rsidRDefault="00000000" w:rsidP="00F03858">
      <w:pPr>
        <w:tabs>
          <w:tab w:val="left" w:pos="567"/>
        </w:tabs>
      </w:pPr>
      <w:r>
        <w:t>16.</w:t>
      </w:r>
      <w:r>
        <w:tab/>
        <w:t>NASA Human Research Program. Human Research Program Evidence Reports 2024: Risk of Spaceflight Associated Neuro-ocular Syndrome. Houston: NASA; 2024.</w:t>
      </w:r>
    </w:p>
    <w:p w14:paraId="642A4DB4" w14:textId="77777777" w:rsidR="00EA6F2F" w:rsidRPr="00CF7B0D" w:rsidRDefault="00000000" w:rsidP="00F03858">
      <w:pPr>
        <w:tabs>
          <w:tab w:val="left" w:pos="567"/>
        </w:tabs>
      </w:pPr>
      <w:r>
        <w:t>17.</w:t>
      </w:r>
      <w:r>
        <w:tab/>
        <w:t xml:space="preserve">Morgan WH, Yu DY, Cooper RL, Alder VA, Cringle SJ, Constable IJ. The influence of cerebrospinal fluid pressure on the lamina cribrosa tissue pressure gradient. Invest </w:t>
      </w:r>
      <w:proofErr w:type="spellStart"/>
      <w:r>
        <w:t>Ophthalmol</w:t>
      </w:r>
      <w:proofErr w:type="spellEnd"/>
      <w:r>
        <w:t xml:space="preserve"> Vis Sci. 1995; 36(6): 1163–1172.</w:t>
      </w:r>
    </w:p>
    <w:p w14:paraId="45F3EAF3" w14:textId="77777777" w:rsidR="00EA6F2F" w:rsidRPr="00CF7B0D" w:rsidRDefault="00000000" w:rsidP="00F03858">
      <w:pPr>
        <w:tabs>
          <w:tab w:val="left" w:pos="567"/>
        </w:tabs>
      </w:pPr>
      <w:r>
        <w:t>18.</w:t>
      </w:r>
      <w:r>
        <w:tab/>
        <w:t xml:space="preserve">Morgan WH, Chauhan BC, Yu DY, Cringle SJ, Alder VA, House PH. Optic disc movement with variations in intraocular and cerebrospinal fluid pressure. Invest </w:t>
      </w:r>
      <w:proofErr w:type="spellStart"/>
      <w:r>
        <w:t>Ophthalmol</w:t>
      </w:r>
      <w:proofErr w:type="spellEnd"/>
      <w:r>
        <w:t xml:space="preserve"> Vis Sci. 2002; 43(10): 3236–3242.</w:t>
      </w:r>
    </w:p>
    <w:p w14:paraId="39895015" w14:textId="77777777" w:rsidR="00EA6F2F" w:rsidRPr="00CF7B0D" w:rsidRDefault="00000000" w:rsidP="00F03858">
      <w:pPr>
        <w:tabs>
          <w:tab w:val="left" w:pos="567"/>
        </w:tabs>
      </w:pPr>
      <w:r>
        <w:t>19.</w:t>
      </w:r>
      <w:r>
        <w:tab/>
        <w:t>Berdahl JP, Yu DY, Morgan WH. The translaminar pressure gradient in sustained zero gravity, idiopathic intracranial hypertension, and glaucoma. Med Hypotheses. 2012; 79(5): 719–724.</w:t>
      </w:r>
    </w:p>
    <w:p w14:paraId="63D20D5E" w14:textId="77777777" w:rsidR="00EA6F2F" w:rsidRPr="00CF7B0D" w:rsidRDefault="00000000" w:rsidP="00F03858">
      <w:pPr>
        <w:tabs>
          <w:tab w:val="left" w:pos="567"/>
        </w:tabs>
      </w:pPr>
      <w:r>
        <w:t>20.</w:t>
      </w:r>
      <w:r>
        <w:tab/>
        <w:t xml:space="preserve">Basner M, Dinges DF, Mollicone DJ, et al. Psychological and </w:t>
      </w:r>
      <w:proofErr w:type="spellStart"/>
      <w:r>
        <w:t>behavioral</w:t>
      </w:r>
      <w:proofErr w:type="spellEnd"/>
      <w:r>
        <w:t xml:space="preserve"> changes during confinement in a 520-day simulated interplanetary mission to Mars. </w:t>
      </w:r>
      <w:proofErr w:type="spellStart"/>
      <w:r>
        <w:t>PLoS</w:t>
      </w:r>
      <w:proofErr w:type="spellEnd"/>
      <w:r>
        <w:t xml:space="preserve"> One. 2014; 9(3): e93298.</w:t>
      </w:r>
    </w:p>
    <w:p w14:paraId="0C57C3E4" w14:textId="77777777" w:rsidR="00EA6F2F" w:rsidRPr="00CF7B0D" w:rsidRDefault="00000000" w:rsidP="00F03858">
      <w:pPr>
        <w:tabs>
          <w:tab w:val="left" w:pos="567"/>
        </w:tabs>
      </w:pPr>
      <w:r>
        <w:lastRenderedPageBreak/>
        <w:t>21.</w:t>
      </w:r>
      <w:r>
        <w:tab/>
        <w:t xml:space="preserve">Rosenberg JD, Jannasch A, </w:t>
      </w:r>
      <w:proofErr w:type="spellStart"/>
      <w:r>
        <w:t>Binsted</w:t>
      </w:r>
      <w:proofErr w:type="spellEnd"/>
      <w:r>
        <w:t xml:space="preserve"> K, Landry S. Biobehavioral and psychosocial stress changes during three 8–</w:t>
      </w:r>
      <w:proofErr w:type="gramStart"/>
      <w:r>
        <w:t>12 month</w:t>
      </w:r>
      <w:proofErr w:type="gramEnd"/>
      <w:r>
        <w:t xml:space="preserve"> spaceflight </w:t>
      </w:r>
      <w:proofErr w:type="spellStart"/>
      <w:r>
        <w:t>analog</w:t>
      </w:r>
      <w:proofErr w:type="spellEnd"/>
      <w:r>
        <w:t xml:space="preserve"> missions with Mars-like conditions of isolation and confinement. Front Physiol. 2022; 13: 898841.</w:t>
      </w:r>
    </w:p>
    <w:p w14:paraId="1E02B528" w14:textId="77777777" w:rsidR="00EA6F2F" w:rsidRPr="00CF7B0D" w:rsidRDefault="00000000" w:rsidP="00F03858">
      <w:pPr>
        <w:tabs>
          <w:tab w:val="left" w:pos="567"/>
        </w:tabs>
      </w:pPr>
      <w:r>
        <w:t>22.</w:t>
      </w:r>
      <w:r>
        <w:tab/>
        <w:t>Garrett-</w:t>
      </w:r>
      <w:proofErr w:type="spellStart"/>
      <w:r>
        <w:t>Bakelman</w:t>
      </w:r>
      <w:proofErr w:type="spellEnd"/>
      <w:r>
        <w:t xml:space="preserve"> FE, Darshi M, Green SJ, et al. The NASA Twins Study: a multidimensional analysis of a year-long human spaceflight. Science. 2019; 364(6436): eaau8650.</w:t>
      </w:r>
    </w:p>
    <w:p w14:paraId="68EC8344" w14:textId="77777777" w:rsidR="00EA6F2F" w:rsidRPr="00CF7B0D" w:rsidRDefault="00000000" w:rsidP="00F03858">
      <w:pPr>
        <w:tabs>
          <w:tab w:val="left" w:pos="567"/>
        </w:tabs>
      </w:pPr>
      <w:r>
        <w:t>23.</w:t>
      </w:r>
      <w:r>
        <w:tab/>
        <w:t>Wu F, Du H, Overbey E, Kim J, Makhijani P, Martin N, et al. Single-cell analysis identifies conserved features of immune dysfunction in simulated microgravity and spaceflight. Nat Commun. 2024; 15(1): 4795.</w:t>
      </w:r>
    </w:p>
    <w:p w14:paraId="5474A955" w14:textId="77777777" w:rsidR="00EA6F2F" w:rsidRPr="00CF7B0D" w:rsidRDefault="00000000" w:rsidP="00F03858">
      <w:pPr>
        <w:tabs>
          <w:tab w:val="left" w:pos="567"/>
        </w:tabs>
      </w:pPr>
      <w:r>
        <w:t>24.</w:t>
      </w:r>
      <w:r>
        <w:tab/>
        <w:t>Porada CD, Kuhlman B, Diaz J, et al. Simulated microgravity impairs human NK cell cytotoxic activity against space radiation-relevant leukemic cells [preprint]. Research Square. 2024.</w:t>
      </w:r>
    </w:p>
    <w:p w14:paraId="1A9115B8" w14:textId="77777777" w:rsidR="00EA6F2F" w:rsidRPr="00CF7B0D" w:rsidRDefault="00000000" w:rsidP="00F03858">
      <w:pPr>
        <w:tabs>
          <w:tab w:val="left" w:pos="567"/>
        </w:tabs>
      </w:pPr>
      <w:r>
        <w:t>25.</w:t>
      </w:r>
      <w:r>
        <w:tab/>
        <w:t xml:space="preserve">Crucian BE, </w:t>
      </w:r>
      <w:proofErr w:type="spellStart"/>
      <w:r>
        <w:t>Choukèr</w:t>
      </w:r>
      <w:proofErr w:type="spellEnd"/>
      <w:r>
        <w:t xml:space="preserve"> A, Simpson RJ, Mehta S, Marshall G, Smith SM, et al. Immune system dysregulation during spaceflight: potential countermeasures for deep space exploration missions. Front Immunol. 2018; 9: 1437.</w:t>
      </w:r>
    </w:p>
    <w:p w14:paraId="4AFB06A4" w14:textId="77777777" w:rsidR="00EA6F2F" w:rsidRPr="00CF7B0D" w:rsidRDefault="00000000" w:rsidP="00F03858">
      <w:pPr>
        <w:tabs>
          <w:tab w:val="left" w:pos="567"/>
        </w:tabs>
      </w:pPr>
      <w:r>
        <w:t>26.</w:t>
      </w:r>
      <w:r>
        <w:tab/>
        <w:t>Kim J, Bhatt P, Rooney BV, et al. Single-cell multi-</w:t>
      </w:r>
      <w:proofErr w:type="spellStart"/>
      <w:r>
        <w:t>ome</w:t>
      </w:r>
      <w:proofErr w:type="spellEnd"/>
      <w:r>
        <w:t xml:space="preserve"> and immune profiles of the Inspiration4 crew reveal conserved, cell-type, and sex-specific responses to spaceflight. Nat Commun. 2024; 15(1): 4954.</w:t>
      </w:r>
    </w:p>
    <w:p w14:paraId="1B3A9068" w14:textId="77777777" w:rsidR="00EA6F2F" w:rsidRPr="00CF7B0D" w:rsidRDefault="00000000" w:rsidP="00F03858">
      <w:pPr>
        <w:tabs>
          <w:tab w:val="left" w:pos="567"/>
        </w:tabs>
      </w:pPr>
      <w:r>
        <w:t>27.</w:t>
      </w:r>
      <w:r>
        <w:tab/>
      </w:r>
      <w:proofErr w:type="spellStart"/>
      <w:r>
        <w:t>Alnaeem</w:t>
      </w:r>
      <w:proofErr w:type="spellEnd"/>
      <w:r>
        <w:t xml:space="preserve"> A, Mahaney AN, Crucian BE, et al. Challenges for the human immune system after leaving Earth. </w:t>
      </w:r>
      <w:proofErr w:type="spellStart"/>
      <w:r>
        <w:t>npj</w:t>
      </w:r>
      <w:proofErr w:type="spellEnd"/>
      <w:r>
        <w:t xml:space="preserve"> Microgravity. 2024; 10(1): 87.</w:t>
      </w:r>
    </w:p>
    <w:p w14:paraId="30C29C8E" w14:textId="77777777" w:rsidR="00EA6F2F" w:rsidRPr="00CF7B0D" w:rsidRDefault="00000000" w:rsidP="00F03858">
      <w:pPr>
        <w:tabs>
          <w:tab w:val="left" w:pos="567"/>
        </w:tabs>
      </w:pPr>
      <w:r>
        <w:t>28.</w:t>
      </w:r>
      <w:r>
        <w:tab/>
        <w:t xml:space="preserve">Tierney BT, Kim J, Overbey EG, et al. Longitudinal multi-omics analysis of host microbiome architecture and immune responses during short-term spaceflight. Nat </w:t>
      </w:r>
      <w:proofErr w:type="spellStart"/>
      <w:r>
        <w:t>Microbiol</w:t>
      </w:r>
      <w:proofErr w:type="spellEnd"/>
      <w:r>
        <w:t>. 2024; 9(7): 1661–1675.</w:t>
      </w:r>
    </w:p>
    <w:p w14:paraId="34FCC4F6" w14:textId="77777777" w:rsidR="00EA6F2F" w:rsidRPr="00CF7B0D" w:rsidRDefault="00000000" w:rsidP="00F03858">
      <w:pPr>
        <w:tabs>
          <w:tab w:val="left" w:pos="567"/>
        </w:tabs>
      </w:pPr>
      <w:r>
        <w:t>29.</w:t>
      </w:r>
      <w:r>
        <w:tab/>
        <w:t>Scott JPR, Weber T, Green DA, et al. Effects of exercise countermeasures on multisystem function in long-duration spaceflight. NPJ Microgravity. 2023; 9(1): 52.</w:t>
      </w:r>
    </w:p>
    <w:p w14:paraId="601CCEE2" w14:textId="77777777" w:rsidR="00EA6F2F" w:rsidRPr="00CF7B0D" w:rsidRDefault="00000000" w:rsidP="00F03858">
      <w:pPr>
        <w:tabs>
          <w:tab w:val="left" w:pos="567"/>
        </w:tabs>
      </w:pPr>
      <w:r>
        <w:t>30.</w:t>
      </w:r>
      <w:r>
        <w:tab/>
        <w:t>Liu Y, Cao X, Zhou Q, et al. Mechanisms and countermeasures for muscle atrophy in microgravity. Cells. 2024; 13(24): 2120.</w:t>
      </w:r>
    </w:p>
    <w:p w14:paraId="4C3992CF" w14:textId="77777777" w:rsidR="00EA6F2F" w:rsidRPr="00CF7B0D" w:rsidRDefault="00000000" w:rsidP="00F03858">
      <w:pPr>
        <w:tabs>
          <w:tab w:val="left" w:pos="567"/>
        </w:tabs>
      </w:pPr>
      <w:r>
        <w:t>31.</w:t>
      </w:r>
      <w:r>
        <w:tab/>
      </w:r>
      <w:proofErr w:type="spellStart"/>
      <w:r>
        <w:t>Stavnichuk</w:t>
      </w:r>
      <w:proofErr w:type="spellEnd"/>
      <w:r>
        <w:t xml:space="preserve"> M, </w:t>
      </w:r>
      <w:proofErr w:type="spellStart"/>
      <w:r>
        <w:t>Mikolajewicz</w:t>
      </w:r>
      <w:proofErr w:type="spellEnd"/>
      <w:r>
        <w:t xml:space="preserve"> N, Ladouceur-Dumas F, et al. Adjuvant pharmacological strategies for the musculoskeletal system during long-term space missions. Br J Clin Pharmacol. 2024; 90(1): 12–30.</w:t>
      </w:r>
    </w:p>
    <w:p w14:paraId="57C1FFD1" w14:textId="77777777" w:rsidR="00EA6F2F" w:rsidRPr="00CF7B0D" w:rsidRDefault="00000000" w:rsidP="00F03858">
      <w:pPr>
        <w:tabs>
          <w:tab w:val="left" w:pos="567"/>
        </w:tabs>
      </w:pPr>
      <w:r>
        <w:t>32.</w:t>
      </w:r>
      <w:r>
        <w:tab/>
        <w:t xml:space="preserve">Scott AL, Flanagan SD, Coburn JW, et al. Blood flow restriction training in microgravity: a review of multisystem physiological benefits and implementation challenges for long-duration space missions. </w:t>
      </w:r>
      <w:proofErr w:type="spellStart"/>
      <w:r>
        <w:t>npj</w:t>
      </w:r>
      <w:proofErr w:type="spellEnd"/>
      <w:r>
        <w:t xml:space="preserve"> Microgravity. 2025; 11(1): 52.</w:t>
      </w:r>
    </w:p>
    <w:p w14:paraId="487FCEFD" w14:textId="77777777" w:rsidR="00EA6F2F" w:rsidRPr="00CF7B0D" w:rsidRDefault="00000000" w:rsidP="00F03858">
      <w:pPr>
        <w:tabs>
          <w:tab w:val="left" w:pos="567"/>
        </w:tabs>
      </w:pPr>
      <w:r>
        <w:t>33.</w:t>
      </w:r>
      <w:r>
        <w:tab/>
      </w:r>
      <w:proofErr w:type="spellStart"/>
      <w:r>
        <w:t>Sanesi</w:t>
      </w:r>
      <w:proofErr w:type="spellEnd"/>
      <w:r>
        <w:t xml:space="preserve"> L, </w:t>
      </w:r>
      <w:proofErr w:type="spellStart"/>
      <w:r>
        <w:t>Storlino</w:t>
      </w:r>
      <w:proofErr w:type="spellEnd"/>
      <w:r>
        <w:t xml:space="preserve"> G, </w:t>
      </w:r>
      <w:proofErr w:type="spellStart"/>
      <w:r>
        <w:t>Dicarlo</w:t>
      </w:r>
      <w:proofErr w:type="spellEnd"/>
      <w:r>
        <w:t xml:space="preserve"> M, et al. Time-dependent unloading effects on muscle and bone and involvement of FNDC5/irisin axis. NPJ Microgravity. 2023; 9(1): 4.</w:t>
      </w:r>
    </w:p>
    <w:p w14:paraId="6A34A67C" w14:textId="77777777" w:rsidR="00EA6F2F" w:rsidRPr="00CF7B0D" w:rsidRDefault="00000000" w:rsidP="00F03858">
      <w:pPr>
        <w:tabs>
          <w:tab w:val="left" w:pos="567"/>
        </w:tabs>
      </w:pPr>
      <w:r>
        <w:lastRenderedPageBreak/>
        <w:t>34.</w:t>
      </w:r>
      <w:r>
        <w:tab/>
        <w:t xml:space="preserve">Guarnieri JW, Haltom JA, Albrecht MR, et al. Health impacts of radiation in space and pharmacological countermeasures, including repurposed agents such as metformin. Front </w:t>
      </w:r>
      <w:proofErr w:type="spellStart"/>
      <w:r>
        <w:t>Pharmacol</w:t>
      </w:r>
      <w:proofErr w:type="spellEnd"/>
      <w:r>
        <w:t>. 2025; 16. (Review of space radiation biology and candidate radiomitigators.)</w:t>
      </w:r>
    </w:p>
    <w:p w14:paraId="00E3D671" w14:textId="77777777" w:rsidR="00EA6F2F" w:rsidRPr="00CF7B0D" w:rsidRDefault="00000000" w:rsidP="00F03858">
      <w:pPr>
        <w:tabs>
          <w:tab w:val="left" w:pos="567"/>
        </w:tabs>
      </w:pPr>
      <w:r>
        <w:t>35.</w:t>
      </w:r>
      <w:r>
        <w:tab/>
      </w:r>
      <w:proofErr w:type="spellStart"/>
      <w:r>
        <w:t>Waisberg</w:t>
      </w:r>
      <w:proofErr w:type="spellEnd"/>
      <w:r>
        <w:t xml:space="preserve"> E, Ong J, </w:t>
      </w:r>
      <w:proofErr w:type="spellStart"/>
      <w:r>
        <w:t>Masalkhi</w:t>
      </w:r>
      <w:proofErr w:type="spellEnd"/>
      <w:r>
        <w:t xml:space="preserve"> M, et al. Artificial gravity as a potential countermeasure for spaceflight associated neuro-ocular syndrome. Eye. 2024; 38(14): 2737–2738.</w:t>
      </w:r>
    </w:p>
    <w:p w14:paraId="3FA65609" w14:textId="77777777" w:rsidR="00EA6F2F" w:rsidRPr="00CF7B0D" w:rsidRDefault="00000000" w:rsidP="00F03858">
      <w:pPr>
        <w:tabs>
          <w:tab w:val="left" w:pos="567"/>
        </w:tabs>
      </w:pPr>
      <w:r>
        <w:t>36.</w:t>
      </w:r>
      <w:r>
        <w:tab/>
        <w:t>Mechanical countermeasures for spaceflight-associated neuro-ocular syndrome during 30 days of head-down tilt bed rest: design, implementation, and tolerability. Front Physiol. 2025; 16: 1530783.</w:t>
      </w:r>
    </w:p>
    <w:p w14:paraId="6B3F7ED2" w14:textId="77777777" w:rsidR="00EA6F2F" w:rsidRPr="00CF7B0D" w:rsidRDefault="00000000" w:rsidP="00F03858">
      <w:pPr>
        <w:tabs>
          <w:tab w:val="left" w:pos="567"/>
        </w:tabs>
      </w:pPr>
      <w:r>
        <w:t>37.</w:t>
      </w:r>
      <w:r>
        <w:tab/>
        <w:t xml:space="preserve">Morgan WH, Khoo J, </w:t>
      </w:r>
      <w:proofErr w:type="spellStart"/>
      <w:r>
        <w:t>Vukmirovic</w:t>
      </w:r>
      <w:proofErr w:type="spellEnd"/>
      <w:r>
        <w:t xml:space="preserve"> A, Abdul-Rahman A, </w:t>
      </w:r>
      <w:proofErr w:type="gramStart"/>
      <w:r>
        <w:t>An</w:t>
      </w:r>
      <w:proofErr w:type="gramEnd"/>
      <w:r>
        <w:t xml:space="preserve"> D, Mehnert A, et al. Correlation between retinal vein pulse amplitude, estimated intracranial pressure, and postural change. NPJ Microgravity. 2023; 9(1): 28.</w:t>
      </w:r>
    </w:p>
    <w:p w14:paraId="7DF124A3" w14:textId="77777777" w:rsidR="00EA6F2F" w:rsidRPr="00CF7B0D" w:rsidRDefault="00000000" w:rsidP="00F03858">
      <w:pPr>
        <w:tabs>
          <w:tab w:val="left" w:pos="567"/>
        </w:tabs>
      </w:pPr>
      <w:r>
        <w:t>38.</w:t>
      </w:r>
      <w:r>
        <w:tab/>
        <w:t xml:space="preserve">Baranowski RW, Braun JL, Hockey BL, et al. Toward countering muscle and bone loss with spaceflight: GSK3 as a potential target. </w:t>
      </w:r>
      <w:proofErr w:type="spellStart"/>
      <w:r>
        <w:t>iScience</w:t>
      </w:r>
      <w:proofErr w:type="spellEnd"/>
      <w:r>
        <w:t>. 2023; 26(7): 107047.</w:t>
      </w:r>
    </w:p>
    <w:p w14:paraId="27178637" w14:textId="77777777" w:rsidR="00EA6F2F" w:rsidRPr="00CF7B0D" w:rsidRDefault="00000000" w:rsidP="00F03858">
      <w:pPr>
        <w:tabs>
          <w:tab w:val="left" w:pos="567"/>
        </w:tabs>
      </w:pPr>
      <w:r>
        <w:t>39.</w:t>
      </w:r>
      <w:r>
        <w:tab/>
        <w:t xml:space="preserve">McDonald MM, Morse A, Mikulec K, et al. Sclerostin blockade inhibits bone resorption through PDGF receptor </w:t>
      </w:r>
      <w:proofErr w:type="spellStart"/>
      <w:r>
        <w:t>signaling</w:t>
      </w:r>
      <w:proofErr w:type="spellEnd"/>
      <w:r>
        <w:t xml:space="preserve"> in osteoblast lineage cells. JCI Insight. 2024; 9(10): e176558.</w:t>
      </w:r>
    </w:p>
    <w:p w14:paraId="4C84AF57" w14:textId="77777777" w:rsidR="00EA6F2F" w:rsidRPr="00CF7B0D" w:rsidRDefault="00000000" w:rsidP="00F03858">
      <w:pPr>
        <w:tabs>
          <w:tab w:val="left" w:pos="567"/>
        </w:tabs>
      </w:pPr>
      <w:r>
        <w:t>40.</w:t>
      </w:r>
      <w:r>
        <w:tab/>
        <w:t>Morse A, McDonald MM, Kelly NH, et al. Sclerostin antibody augments the anabolic bone formation response in a mouse model of mechanical tibial loading. J Bone Miner Res. 2018; 33(3): 486–498.</w:t>
      </w:r>
    </w:p>
    <w:p w14:paraId="1314EA45" w14:textId="77777777" w:rsidR="00EA6F2F" w:rsidRPr="00CF7B0D" w:rsidRDefault="00000000" w:rsidP="00F03858">
      <w:pPr>
        <w:tabs>
          <w:tab w:val="left" w:pos="567"/>
        </w:tabs>
      </w:pPr>
      <w:r>
        <w:t>41.</w:t>
      </w:r>
      <w:r>
        <w:tab/>
        <w:t xml:space="preserve">Tuft C, Matar E, Menczel </w:t>
      </w:r>
      <w:proofErr w:type="spellStart"/>
      <w:r>
        <w:t>Schrire</w:t>
      </w:r>
      <w:proofErr w:type="spellEnd"/>
      <w:r>
        <w:t xml:space="preserve"> Z, Grunstein RR, Yee BJ, Hoyos CM. Current insights into the risks of using melatonin as a treatment for sleep disorders in older adults. Clin </w:t>
      </w:r>
      <w:proofErr w:type="spellStart"/>
      <w:r>
        <w:t>Interv</w:t>
      </w:r>
      <w:proofErr w:type="spellEnd"/>
      <w:r>
        <w:t xml:space="preserve"> Aging. 2023; 18: 49–59.</w:t>
      </w:r>
    </w:p>
    <w:p w14:paraId="194781C3" w14:textId="77777777" w:rsidR="00EA6F2F" w:rsidRPr="00CF7B0D" w:rsidRDefault="00000000" w:rsidP="00F03858">
      <w:pPr>
        <w:tabs>
          <w:tab w:val="left" w:pos="567"/>
        </w:tabs>
      </w:pPr>
      <w:r>
        <w:t>42.</w:t>
      </w:r>
      <w:r>
        <w:tab/>
        <w:t>Keenan RJ, Daykin H, Metha J, et al. Orexin 2 receptor antagonism sex-dependently improves sleep/wakefulness and cognitive performance in tau transgenic mice. Br J Pharmacol. 2024; 181(1): 87–106.</w:t>
      </w:r>
    </w:p>
    <w:p w14:paraId="6749D18E" w14:textId="77777777" w:rsidR="00EA6F2F" w:rsidRPr="00CF7B0D" w:rsidRDefault="00000000" w:rsidP="00F03858">
      <w:pPr>
        <w:tabs>
          <w:tab w:val="left" w:pos="567"/>
        </w:tabs>
      </w:pPr>
      <w:r>
        <w:t>43.</w:t>
      </w:r>
      <w:r>
        <w:tab/>
        <w:t>Jacobson LH, Hoyer D, de Lecea L. Hypocretins (orexins): the ultimate translational neuropeptides. J Intern Med. 2022; 291(5): 533–556.</w:t>
      </w:r>
    </w:p>
    <w:p w14:paraId="29D8F411" w14:textId="77777777" w:rsidR="00EA6F2F" w:rsidRPr="00CF7B0D" w:rsidRDefault="00000000" w:rsidP="00F03858">
      <w:pPr>
        <w:tabs>
          <w:tab w:val="left" w:pos="567"/>
        </w:tabs>
      </w:pPr>
      <w:r>
        <w:t>44.</w:t>
      </w:r>
      <w:r>
        <w:tab/>
        <w:t>Australian Antarctic Division. Antarctic research supports healthy space for astronauts. Kingston (TAS): Australian Antarctic Program; 2024. Available from: https://www.antarctica.gov.au/news/2024/antarctic-research-supports-healthy-space-for-astronauts/ [cited 2026 Jun 27].</w:t>
      </w:r>
    </w:p>
    <w:p w14:paraId="15F92BE0" w14:textId="77777777" w:rsidR="00EA6F2F" w:rsidRPr="00CF7B0D" w:rsidRDefault="00000000" w:rsidP="00F03858">
      <w:pPr>
        <w:tabs>
          <w:tab w:val="left" w:pos="567"/>
        </w:tabs>
      </w:pPr>
      <w:r>
        <w:t>45.</w:t>
      </w:r>
      <w:r>
        <w:tab/>
        <w:t>Caswell G, Eshelby B. Skin microbiome considerations for long haul space flights. Front Cell Dev Biol. 2022; 10: 956432.</w:t>
      </w:r>
    </w:p>
    <w:p w14:paraId="1314EA73" w14:textId="77777777" w:rsidR="00EA6F2F" w:rsidRPr="00CF7B0D" w:rsidRDefault="00000000" w:rsidP="00F03858">
      <w:pPr>
        <w:tabs>
          <w:tab w:val="left" w:pos="567"/>
        </w:tabs>
      </w:pPr>
      <w:r>
        <w:lastRenderedPageBreak/>
        <w:t>46.</w:t>
      </w:r>
      <w:r>
        <w:tab/>
        <w:t>Department of Industry, Science and Resources. Portfolio Budget Statements 2025–26: Australian Space Agency. Canberra: Commonwealth of Australia; 2025.</w:t>
      </w:r>
    </w:p>
    <w:p w14:paraId="40BB4241" w14:textId="77777777" w:rsidR="00EA6F2F" w:rsidRPr="00CF7B0D" w:rsidRDefault="00000000" w:rsidP="00F03858">
      <w:pPr>
        <w:tabs>
          <w:tab w:val="left" w:pos="567"/>
        </w:tabs>
      </w:pPr>
      <w:r>
        <w:t>47.</w:t>
      </w:r>
      <w:r>
        <w:tab/>
        <w:t>Canadian Space Agency. Canada’s annual assessed contribution to the European Space Agency’s Basic Activities. Government of Canada; 2025.</w:t>
      </w:r>
    </w:p>
    <w:p w14:paraId="32389BBC" w14:textId="77777777" w:rsidR="00EA6F2F" w:rsidRPr="00CF7B0D" w:rsidRDefault="00000000" w:rsidP="00F03858">
      <w:pPr>
        <w:tabs>
          <w:tab w:val="left" w:pos="567"/>
        </w:tabs>
      </w:pPr>
      <w:r>
        <w:t>48.</w:t>
      </w:r>
      <w:r>
        <w:tab/>
        <w:t>Space Connect. Albanese negotiating price tag of Katherine Bennell-Pegg space mission with ESA. Sydney: Momentum Media; 2026. Available from: https://www.spaceconnectonline.com.au/industry/7087-albanese-negotiating-price-tag-of-katherine-bennell-pegg-space-mission-with-esa [cited 2026 Jul 02].</w:t>
      </w:r>
    </w:p>
    <w:p w14:paraId="602093BF" w14:textId="77777777" w:rsidR="00EA6F2F" w:rsidRPr="00CF7B0D" w:rsidRDefault="00000000" w:rsidP="00F03858">
      <w:pPr>
        <w:tabs>
          <w:tab w:val="left" w:pos="567"/>
        </w:tabs>
      </w:pPr>
      <w:r>
        <w:t>49.</w:t>
      </w:r>
      <w:r>
        <w:tab/>
        <w:t>Australian Research Council. Discovery Projects: instructions to applicants. Canberra: Australian Research Council; 2025. Available from: https://www.arc.gov.au/funding-research/discovery-linkage/discovery-program/discovery-projects [cited 2026 Jun 25].</w:t>
      </w:r>
    </w:p>
    <w:sectPr w:rsidR="00EA6F2F" w:rsidRPr="00CF7B0D" w:rsidSect="008E31C0">
      <w:headerReference w:type="default" r:id="rId7"/>
      <w:pgSz w:w="11907" w:h="16840"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09CF" w14:textId="77777777" w:rsidR="008C4A6E" w:rsidRDefault="008C4A6E" w:rsidP="00CF7B0D">
      <w:r>
        <w:separator/>
      </w:r>
    </w:p>
  </w:endnote>
  <w:endnote w:type="continuationSeparator" w:id="0">
    <w:p w14:paraId="05E171C8" w14:textId="77777777" w:rsidR="008C4A6E" w:rsidRDefault="008C4A6E" w:rsidP="00CF7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3D9A4" w14:textId="77777777" w:rsidR="008C4A6E" w:rsidRDefault="008C4A6E" w:rsidP="00CF7B0D">
      <w:r>
        <w:separator/>
      </w:r>
    </w:p>
  </w:footnote>
  <w:footnote w:type="continuationSeparator" w:id="0">
    <w:p w14:paraId="0E7A784C" w14:textId="77777777" w:rsidR="008C4A6E" w:rsidRDefault="008C4A6E" w:rsidP="00CF7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A17F" w14:textId="77777777" w:rsidR="00EA6F2F" w:rsidRDefault="00000000" w:rsidP="00A77442">
    <w:pPr>
      <w:jc w:val="right"/>
    </w:pPr>
    <w:r>
      <w:t>AUSTRALIA IN SPACE MEDICINE</w:t>
    </w:r>
    <w:r w:rsidR="005761D3">
      <w:t xml:space="preserve"> </w:t>
    </w:r>
    <w:r>
      <w:fldChar w:fldCharType="begin"/>
    </w:r>
    <w:r>
      <w:instrText>PAGE</w:instrText>
    </w:r>
    <w:r>
      <w:fldChar w:fldCharType="separate"/>
    </w:r>
    <w:r w:rsidR="00D41C7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E05F1"/>
    <w:multiLevelType w:val="hybridMultilevel"/>
    <w:tmpl w:val="F926D6BA"/>
    <w:lvl w:ilvl="0" w:tplc="3558CB32">
      <w:start w:val="1"/>
      <w:numFmt w:val="bullet"/>
      <w:lvlText w:val="●"/>
      <w:lvlJc w:val="left"/>
      <w:pPr>
        <w:ind w:left="720" w:hanging="360"/>
      </w:pPr>
    </w:lvl>
    <w:lvl w:ilvl="1" w:tplc="DF323856">
      <w:start w:val="1"/>
      <w:numFmt w:val="bullet"/>
      <w:lvlText w:val="○"/>
      <w:lvlJc w:val="left"/>
      <w:pPr>
        <w:ind w:left="1440" w:hanging="360"/>
      </w:pPr>
    </w:lvl>
    <w:lvl w:ilvl="2" w:tplc="CE16D376">
      <w:start w:val="1"/>
      <w:numFmt w:val="bullet"/>
      <w:lvlText w:val="■"/>
      <w:lvlJc w:val="left"/>
      <w:pPr>
        <w:ind w:left="2160" w:hanging="360"/>
      </w:pPr>
    </w:lvl>
    <w:lvl w:ilvl="3" w:tplc="EF7AC8E2">
      <w:start w:val="1"/>
      <w:numFmt w:val="bullet"/>
      <w:lvlText w:val="●"/>
      <w:lvlJc w:val="left"/>
      <w:pPr>
        <w:ind w:left="2880" w:hanging="360"/>
      </w:pPr>
    </w:lvl>
    <w:lvl w:ilvl="4" w:tplc="2960D172">
      <w:start w:val="1"/>
      <w:numFmt w:val="bullet"/>
      <w:lvlText w:val="○"/>
      <w:lvlJc w:val="left"/>
      <w:pPr>
        <w:ind w:left="3600" w:hanging="360"/>
      </w:pPr>
    </w:lvl>
    <w:lvl w:ilvl="5" w:tplc="B922C1A2">
      <w:start w:val="1"/>
      <w:numFmt w:val="bullet"/>
      <w:lvlText w:val="■"/>
      <w:lvlJc w:val="left"/>
      <w:pPr>
        <w:ind w:left="4320" w:hanging="360"/>
      </w:pPr>
    </w:lvl>
    <w:lvl w:ilvl="6" w:tplc="DF3C9574">
      <w:start w:val="1"/>
      <w:numFmt w:val="bullet"/>
      <w:lvlText w:val="●"/>
      <w:lvlJc w:val="left"/>
      <w:pPr>
        <w:ind w:left="5040" w:hanging="360"/>
      </w:pPr>
    </w:lvl>
    <w:lvl w:ilvl="7" w:tplc="FB28D954">
      <w:start w:val="1"/>
      <w:numFmt w:val="bullet"/>
      <w:lvlText w:val="●"/>
      <w:lvlJc w:val="left"/>
      <w:pPr>
        <w:ind w:left="5760" w:hanging="360"/>
      </w:pPr>
    </w:lvl>
    <w:lvl w:ilvl="8" w:tplc="274E66B6">
      <w:start w:val="1"/>
      <w:numFmt w:val="bullet"/>
      <w:lvlText w:val="●"/>
      <w:lvlJc w:val="left"/>
      <w:pPr>
        <w:ind w:left="6480" w:hanging="360"/>
      </w:pPr>
    </w:lvl>
  </w:abstractNum>
  <w:abstractNum w:abstractNumId="1" w15:restartNumberingAfterBreak="0">
    <w:nsid w:val="6E824525"/>
    <w:multiLevelType w:val="hybridMultilevel"/>
    <w:tmpl w:val="E0C21CB8"/>
    <w:lvl w:ilvl="0" w:tplc="0E4AB160">
      <w:start w:val="1"/>
      <w:numFmt w:val="bullet"/>
      <w:lvlText w:val="•"/>
      <w:lvlJc w:val="left"/>
      <w:pPr>
        <w:spacing w:line="480" w:lineRule="auto"/>
        <w:ind w:left="900" w:hanging="360"/>
      </w:pPr>
    </w:lvl>
    <w:lvl w:ilvl="1" w:tplc="439C3A10">
      <w:numFmt w:val="decimal"/>
      <w:lvlText w:val=""/>
      <w:lvlJc w:val="left"/>
    </w:lvl>
    <w:lvl w:ilvl="2" w:tplc="01C06C9E">
      <w:numFmt w:val="decimal"/>
      <w:lvlText w:val=""/>
      <w:lvlJc w:val="left"/>
    </w:lvl>
    <w:lvl w:ilvl="3" w:tplc="46D0FC90">
      <w:numFmt w:val="decimal"/>
      <w:lvlText w:val=""/>
      <w:lvlJc w:val="left"/>
    </w:lvl>
    <w:lvl w:ilvl="4" w:tplc="B1A23E3A">
      <w:numFmt w:val="decimal"/>
      <w:lvlText w:val=""/>
      <w:lvlJc w:val="left"/>
    </w:lvl>
    <w:lvl w:ilvl="5" w:tplc="C574A6F2">
      <w:numFmt w:val="decimal"/>
      <w:lvlText w:val=""/>
      <w:lvlJc w:val="left"/>
    </w:lvl>
    <w:lvl w:ilvl="6" w:tplc="FADEE2AA">
      <w:numFmt w:val="decimal"/>
      <w:lvlText w:val=""/>
      <w:lvlJc w:val="left"/>
    </w:lvl>
    <w:lvl w:ilvl="7" w:tplc="1F28C9BA">
      <w:numFmt w:val="decimal"/>
      <w:lvlText w:val=""/>
      <w:lvlJc w:val="left"/>
    </w:lvl>
    <w:lvl w:ilvl="8" w:tplc="82323CEA">
      <w:numFmt w:val="decimal"/>
      <w:lvlText w:val=""/>
      <w:lvlJc w:val="left"/>
    </w:lvl>
  </w:abstractNum>
  <w:abstractNum w:abstractNumId="2" w15:restartNumberingAfterBreak="0">
    <w:nsid w:val="75923EDB"/>
    <w:multiLevelType w:val="hybridMultilevel"/>
    <w:tmpl w:val="D4963DF0"/>
    <w:lvl w:ilvl="0" w:tplc="0C090019">
      <w:start w:val="1"/>
      <w:numFmt w:val="lowerLetter"/>
      <w:lvlText w:val="%1."/>
      <w:lvlJc w:val="left"/>
      <w:pPr>
        <w:spacing w:line="480" w:lineRule="auto"/>
        <w:ind w:left="9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15349357">
    <w:abstractNumId w:val="0"/>
    <w:lvlOverride w:ilvl="0">
      <w:startOverride w:val="1"/>
    </w:lvlOverride>
  </w:num>
  <w:num w:numId="2" w16cid:durableId="526261098">
    <w:abstractNumId w:val="1"/>
    <w:lvlOverride w:ilvl="0">
      <w:startOverride w:val="1"/>
    </w:lvlOverride>
  </w:num>
  <w:num w:numId="3" w16cid:durableId="1296177676">
    <w:abstractNumId w:val="1"/>
  </w:num>
  <w:num w:numId="4" w16cid:durableId="570698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2F"/>
    <w:rsid w:val="0002009C"/>
    <w:rsid w:val="000671FB"/>
    <w:rsid w:val="00076F57"/>
    <w:rsid w:val="000A3A2D"/>
    <w:rsid w:val="000D5AEE"/>
    <w:rsid w:val="00113A3B"/>
    <w:rsid w:val="00132FE9"/>
    <w:rsid w:val="001C4053"/>
    <w:rsid w:val="001D6423"/>
    <w:rsid w:val="00242278"/>
    <w:rsid w:val="00243911"/>
    <w:rsid w:val="002870C5"/>
    <w:rsid w:val="002B3534"/>
    <w:rsid w:val="00321DFE"/>
    <w:rsid w:val="0033185F"/>
    <w:rsid w:val="00336270"/>
    <w:rsid w:val="003F7A85"/>
    <w:rsid w:val="004479D6"/>
    <w:rsid w:val="004938FB"/>
    <w:rsid w:val="004953A7"/>
    <w:rsid w:val="004A6C77"/>
    <w:rsid w:val="004B6E3C"/>
    <w:rsid w:val="004C2795"/>
    <w:rsid w:val="005761D3"/>
    <w:rsid w:val="005B6A22"/>
    <w:rsid w:val="005E18D3"/>
    <w:rsid w:val="0061015A"/>
    <w:rsid w:val="006276ED"/>
    <w:rsid w:val="00645E7D"/>
    <w:rsid w:val="006F0CEA"/>
    <w:rsid w:val="0072478B"/>
    <w:rsid w:val="00762F58"/>
    <w:rsid w:val="007801CB"/>
    <w:rsid w:val="007960EB"/>
    <w:rsid w:val="007A2DE0"/>
    <w:rsid w:val="007B0D11"/>
    <w:rsid w:val="007E4CC3"/>
    <w:rsid w:val="007F02A4"/>
    <w:rsid w:val="007F1789"/>
    <w:rsid w:val="008158EC"/>
    <w:rsid w:val="00830495"/>
    <w:rsid w:val="008A185C"/>
    <w:rsid w:val="008C4A6E"/>
    <w:rsid w:val="008E31C0"/>
    <w:rsid w:val="008E7489"/>
    <w:rsid w:val="008F6E17"/>
    <w:rsid w:val="0092011F"/>
    <w:rsid w:val="00923C10"/>
    <w:rsid w:val="009D0F4A"/>
    <w:rsid w:val="009F09AE"/>
    <w:rsid w:val="00A15ACC"/>
    <w:rsid w:val="00A270AF"/>
    <w:rsid w:val="00A34553"/>
    <w:rsid w:val="00A401A9"/>
    <w:rsid w:val="00A559BC"/>
    <w:rsid w:val="00A72738"/>
    <w:rsid w:val="00A77442"/>
    <w:rsid w:val="00AC3511"/>
    <w:rsid w:val="00AD6109"/>
    <w:rsid w:val="00B23568"/>
    <w:rsid w:val="00B61239"/>
    <w:rsid w:val="00B75C9D"/>
    <w:rsid w:val="00BF0606"/>
    <w:rsid w:val="00C62D84"/>
    <w:rsid w:val="00CB59A3"/>
    <w:rsid w:val="00CE0836"/>
    <w:rsid w:val="00CE547B"/>
    <w:rsid w:val="00CF7B0D"/>
    <w:rsid w:val="00D41C71"/>
    <w:rsid w:val="00D67D21"/>
    <w:rsid w:val="00D74E71"/>
    <w:rsid w:val="00D86DE6"/>
    <w:rsid w:val="00DB580C"/>
    <w:rsid w:val="00E10DB7"/>
    <w:rsid w:val="00E221E6"/>
    <w:rsid w:val="00E86834"/>
    <w:rsid w:val="00EA6F2F"/>
    <w:rsid w:val="00EC7F3B"/>
    <w:rsid w:val="00F03858"/>
    <w:rsid w:val="00F3666E"/>
    <w:rsid w:val="00F92F59"/>
    <w:rsid w:val="00FF27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2199"/>
  <w15:docId w15:val="{1190C060-1E32-470B-90FB-742F3732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0D"/>
    <w:pPr>
      <w:spacing w:after="160" w:line="278" w:lineRule="auto"/>
      <w:jc w:val="both"/>
    </w:pPr>
    <w:rPr>
      <w:rFonts w:ascii="Aptos" w:hAnsi="Aptos"/>
    </w:rPr>
  </w:style>
  <w:style w:type="paragraph" w:styleId="Heading1">
    <w:name w:val="heading 1"/>
    <w:uiPriority w:val="9"/>
    <w:qFormat/>
    <w:rsid w:val="00CF7B0D"/>
    <w:pPr>
      <w:spacing w:after="240"/>
      <w:outlineLvl w:val="0"/>
    </w:pPr>
    <w:rPr>
      <w:rFonts w:ascii="Aptos" w:hAnsi="Aptos"/>
      <w:b/>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F03858"/>
    <w:pPr>
      <w:spacing w:line="480" w:lineRule="auto"/>
    </w:pPr>
    <w:rPr>
      <w:rFonts w:ascii="Aptos" w:hAnsi="Aptos"/>
      <w:b/>
      <w:bCs/>
      <w:caps/>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42278"/>
    <w:rPr>
      <w:color w:val="605E5C"/>
      <w:shd w:val="clear" w:color="auto" w:fill="E1DFDD"/>
    </w:rPr>
  </w:style>
  <w:style w:type="paragraph" w:styleId="Header">
    <w:name w:val="header"/>
    <w:basedOn w:val="Normal"/>
    <w:link w:val="HeaderChar"/>
    <w:uiPriority w:val="99"/>
    <w:unhideWhenUsed/>
    <w:rsid w:val="00A77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442"/>
    <w:rPr>
      <w:rFonts w:ascii="Aptos" w:hAnsi="Aptos"/>
    </w:rPr>
  </w:style>
  <w:style w:type="paragraph" w:styleId="Footer">
    <w:name w:val="footer"/>
    <w:basedOn w:val="Normal"/>
    <w:link w:val="FooterChar"/>
    <w:uiPriority w:val="99"/>
    <w:unhideWhenUsed/>
    <w:rsid w:val="00A77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442"/>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7034</Words>
  <Characters>46215</Characters>
  <Application>Microsoft Office Word</Application>
  <DocSecurity>0</DocSecurity>
  <Lines>871</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Wren</cp:lastModifiedBy>
  <cp:revision>3</cp:revision>
  <cp:lastPrinted>2026-07-06T00:10:00Z</cp:lastPrinted>
  <dcterms:created xsi:type="dcterms:W3CDTF">2026-08-03T06:19:00Z</dcterms:created>
  <dcterms:modified xsi:type="dcterms:W3CDTF">2026-08-03T06:34:00Z</dcterms:modified>
</cp:coreProperties>
</file>