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9C37" w14:textId="77777777" w:rsidR="008F5293" w:rsidRDefault="008F5293" w:rsidP="008F5293">
      <w:pPr>
        <w:spacing w:before="360" w:line="480" w:lineRule="auto"/>
      </w:pPr>
      <w:r>
        <w:rPr>
          <w:rFonts w:ascii="Times New Roman" w:eastAsia="Times New Roman" w:hAnsi="Times New Roman"/>
          <w:b/>
          <w:sz w:val="24"/>
        </w:rPr>
        <w:t>Appendix A. Search Strategies</w:t>
      </w:r>
    </w:p>
    <w:p w14:paraId="5744D2E1" w14:textId="77777777" w:rsidR="008F5293" w:rsidRDefault="008F5293" w:rsidP="008F5293">
      <w:pPr>
        <w:spacing w:after="80" w:line="480" w:lineRule="auto"/>
      </w:pPr>
      <w:r>
        <w:rPr>
          <w:rFonts w:ascii="Times New Roman" w:eastAsia="Times New Roman" w:hAnsi="Times New Roman"/>
          <w:b/>
          <w:sz w:val="20"/>
        </w:rPr>
        <w:t>A.1 PubMed/MEDLINE (site-restricted queries + native syntax for reproduction)</w:t>
      </w:r>
    </w:p>
    <w:p w14:paraId="065AE6F8" w14:textId="77777777" w:rsidR="008F5293" w:rsidRDefault="008F5293" w:rsidP="008F5293">
      <w:pPr>
        <w:spacing w:after="120" w:line="480" w:lineRule="auto"/>
      </w:pPr>
      <w:r>
        <w:rPr>
          <w:rFonts w:ascii="Times New Roman" w:eastAsia="Times New Roman" w:hAnsi="Times New Roman"/>
          <w:sz w:val="16"/>
        </w:rPr>
        <w:t>(“diabetic retinopathy”[MeSH Terms] OR “diabetic retinopathy”[Title/Abstract]) AND (“artificial intelligence”[MeSH Terms] OR “deep learning”[Title/Abstract] OR “autonomous”[Title/Abstract] OR “EyeArt”[Title/Abstract] OR “IDx-DR”[Title/Abstract] OR “LumineticsCore”[Title/Abstract]) AND (“sensitivity and specificity”[MeSH Terms] OR “diagnostic accuracy”[Title/Abstract]) AND (“real-world”[Title/Abstract] OR “real world”[Title/Abstract] OR “telemedicine”[Title/Abstract] OR “clinical practice”[Title/Abstract])</w:t>
      </w:r>
    </w:p>
    <w:p w14:paraId="685B7AC7" w14:textId="77777777" w:rsidR="008F5293" w:rsidRDefault="008F5293" w:rsidP="008F5293">
      <w:pPr>
        <w:spacing w:after="80" w:line="480" w:lineRule="auto"/>
      </w:pPr>
      <w:r>
        <w:rPr>
          <w:rFonts w:ascii="Times New Roman" w:eastAsia="Times New Roman" w:hAnsi="Times New Roman"/>
          <w:sz w:val="18"/>
        </w:rPr>
        <w:t>A.2 Cochrane Library: MeSH Diabetic Retinopathy + (artificial intelligence OR deep learning OR autonomous OR EyeArt OR IDx-DR OR LumineticsCore) + (sensitivity OR specificity OR “diagnostic accuracy”)</w:t>
      </w:r>
    </w:p>
    <w:p w14:paraId="18821776" w14:textId="77777777" w:rsidR="008F5293" w:rsidRDefault="008F5293" w:rsidP="008F5293">
      <w:pPr>
        <w:spacing w:after="80" w:line="480" w:lineRule="auto"/>
      </w:pPr>
      <w:r>
        <w:rPr>
          <w:rFonts w:ascii="Times New Roman" w:eastAsia="Times New Roman" w:hAnsi="Times New Roman"/>
          <w:sz w:val="18"/>
        </w:rPr>
        <w:t>A.3 IEEE Xplore: (“All Metadata”:diabetic retinopathy) AND (“All Metadata”:deep learning OR autonomous) AND (“All Metadata”:sensitivity AND specificity)</w:t>
      </w:r>
    </w:p>
    <w:p w14:paraId="51CAC44F" w14:textId="77777777" w:rsidR="008F5293" w:rsidRDefault="008F5293" w:rsidP="008F5293">
      <w:pPr>
        <w:spacing w:after="80" w:line="480" w:lineRule="auto"/>
      </w:pPr>
      <w:r>
        <w:rPr>
          <w:rFonts w:ascii="Times New Roman" w:eastAsia="Times New Roman" w:hAnsi="Times New Roman"/>
          <w:sz w:val="18"/>
        </w:rPr>
        <w:t>A.4 Embase: Not searched (institutional subscription unavailable). Disclosed as a limitation.</w:t>
      </w:r>
    </w:p>
    <w:p w14:paraId="6AD9FE9C" w14:textId="77777777" w:rsidR="008F5293" w:rsidRDefault="008F5293" w:rsidP="008F5293">
      <w:pPr>
        <w:spacing w:after="240" w:line="480" w:lineRule="auto"/>
      </w:pPr>
      <w:r>
        <w:rPr>
          <w:rFonts w:ascii="Times New Roman" w:eastAsia="Times New Roman" w:hAnsi="Times New Roman"/>
          <w:sz w:val="18"/>
        </w:rPr>
        <w:t>A.5 Citation tracking of retrieved articles and related systematic reviews yielded six additional records.</w:t>
      </w:r>
    </w:p>
    <w:p w14:paraId="4809A6CD" w14:textId="77777777" w:rsidR="008F5293" w:rsidRDefault="008F5293" w:rsidP="008F5293">
      <w:pPr>
        <w:spacing w:before="360" w:line="480" w:lineRule="auto"/>
      </w:pPr>
      <w:r>
        <w:rPr>
          <w:rFonts w:ascii="Times New Roman" w:eastAsia="Times New Roman" w:hAnsi="Times New Roman"/>
          <w:b/>
          <w:sz w:val="24"/>
        </w:rPr>
        <w:t>Appendix B. Data Verification Log</w:t>
      </w:r>
    </w:p>
    <w:p w14:paraId="3550D154" w14:textId="77777777" w:rsidR="008F5293" w:rsidRDefault="008F5293" w:rsidP="008F5293">
      <w:pPr>
        <w:spacing w:after="80" w:line="480" w:lineRule="auto"/>
      </w:pPr>
      <w:r>
        <w:rPr>
          <w:rFonts w:ascii="Times New Roman" w:eastAsia="Times New Roman" w:hAnsi="Times New Roman"/>
          <w:sz w:val="20"/>
        </w:rPr>
        <w:t>All five included studies were re-checked against the original publications before final analysis:</w:t>
      </w:r>
    </w:p>
    <w:p w14:paraId="787B4899" w14:textId="77777777" w:rsidR="008F5293" w:rsidRDefault="008F5293" w:rsidP="008F5293">
      <w:pPr>
        <w:spacing w:after="40" w:line="480" w:lineRule="auto"/>
      </w:pPr>
      <w:r>
        <w:rPr>
          <w:rFonts w:ascii="Times New Roman" w:eastAsia="Times New Roman" w:hAnsi="Times New Roman"/>
          <w:sz w:val="18"/>
        </w:rPr>
        <w:t>• Bhaskaranand et al. 2019 (Diabetes Technol Ther): Sensitivity 91.3% (90.9–91.7), specificity 91.1% (90.9–91.3) — confirmed.</w:t>
      </w:r>
    </w:p>
    <w:p w14:paraId="2C9D018E" w14:textId="77777777" w:rsidR="008F5293" w:rsidRDefault="008F5293" w:rsidP="008F5293">
      <w:pPr>
        <w:spacing w:after="40" w:line="480" w:lineRule="auto"/>
      </w:pPr>
      <w:r>
        <w:rPr>
          <w:rFonts w:ascii="Times New Roman" w:eastAsia="Times New Roman" w:hAnsi="Times New Roman"/>
          <w:sz w:val="18"/>
        </w:rPr>
        <w:t>• Mehra et al. 2022 (Am J Ophthalmol): Sensitivity 100% (90.8–100), specificity 89.2% (87.0–91.1) — CORRECTED (earlier extraction listed sensitivity as 94%).</w:t>
      </w:r>
    </w:p>
    <w:p w14:paraId="1E5174B0" w14:textId="77777777" w:rsidR="008F5293" w:rsidRDefault="008F5293" w:rsidP="008F5293">
      <w:pPr>
        <w:spacing w:after="40" w:line="480" w:lineRule="auto"/>
      </w:pPr>
      <w:r>
        <w:rPr>
          <w:rFonts w:ascii="Times New Roman" w:eastAsia="Times New Roman" w:hAnsi="Times New Roman"/>
          <w:sz w:val="18"/>
        </w:rPr>
        <w:t>• Mokhashi et al. 2022 (J Diabetes Sci Technol): Sensitivity 100%, specificity 77.78% — confirmed.</w:t>
      </w:r>
    </w:p>
    <w:p w14:paraId="35F63E15" w14:textId="77777777" w:rsidR="008F5293" w:rsidRDefault="008F5293" w:rsidP="008F5293">
      <w:pPr>
        <w:spacing w:after="40" w:line="480" w:lineRule="auto"/>
      </w:pPr>
      <w:r>
        <w:rPr>
          <w:rFonts w:ascii="Times New Roman" w:eastAsia="Times New Roman" w:hAnsi="Times New Roman"/>
          <w:sz w:val="18"/>
        </w:rPr>
        <w:t>• Vought et al. 2023 (Int Ophthalmol): Sensitivity 74%, specificity 87% — confirmed.</w:t>
      </w:r>
    </w:p>
    <w:p w14:paraId="42B883AB" w14:textId="77777777" w:rsidR="008F5293" w:rsidRDefault="008F5293" w:rsidP="008F5293">
      <w:pPr>
        <w:spacing w:after="240" w:line="480" w:lineRule="auto"/>
      </w:pPr>
      <w:r>
        <w:rPr>
          <w:rFonts w:ascii="Times New Roman" w:eastAsia="Times New Roman" w:hAnsi="Times New Roman"/>
          <w:sz w:val="18"/>
        </w:rPr>
        <w:t>• Dow et al. 2023 (Ophthalmol Sci): Sensitivity 95.5% (86.7–100), specificity 60.3% (47.7–72.9), n=80 — confirmed.</w:t>
      </w:r>
    </w:p>
    <w:p w14:paraId="3BA0215F" w14:textId="77777777" w:rsidR="008F5293" w:rsidRDefault="008F5293" w:rsidP="008F5293">
      <w:pPr>
        <w:spacing w:before="240" w:after="160" w:line="480" w:lineRule="auto"/>
        <w:jc w:val="center"/>
      </w:pPr>
      <w:r>
        <w:rPr>
          <w:rFonts w:ascii="Times New Roman" w:eastAsia="Times New Roman" w:hAnsi="Times New Roman"/>
          <w:i/>
          <w:sz w:val="20"/>
        </w:rPr>
        <w:t>— End of manuscript —</w:t>
      </w:r>
    </w:p>
    <w:p w14:paraId="0C188E0F" w14:textId="77777777" w:rsidR="008B07A6" w:rsidRDefault="008B07A6"/>
    <w:sectPr w:rsidR="008B07A6" w:rsidSect="008F5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93"/>
    <w:rsid w:val="00066677"/>
    <w:rsid w:val="00153A17"/>
    <w:rsid w:val="001A37F3"/>
    <w:rsid w:val="00376022"/>
    <w:rsid w:val="003A4E89"/>
    <w:rsid w:val="00556784"/>
    <w:rsid w:val="008B07A6"/>
    <w:rsid w:val="008F5293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86894"/>
  <w15:chartTrackingRefBased/>
  <w15:docId w15:val="{27A2DFB4-6B74-4D97-B797-BD1F0A6A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293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2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2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2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2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2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2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2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2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2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29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29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5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29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5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2026-08-04T10:38:00Z</dcterms:created>
  <dcterms:modified xsi:type="dcterms:W3CDTF">2026-08-04T10:38:00Z</dcterms:modified>
</cp:coreProperties>
</file>