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w:p>
      <w:pPr>
        <w:pStyle w:val="Normal"/>
        <w:spacing w:after="0"/>
        <w:jc w:val="center"/>
      </w:pPr>
      <w:r>
        <w:rPr/>
        <w:t/>
      </w:r>
      <w:r>
        <w:rPr/>
        <w:t xml:space="preserve">Table 1: Descriptive Statistics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tcBorders>
              <w:bottom w:val="single" w:color="000000"/>
            </w:tcBorders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VarName</w:t>
            </w:r>
          </w:p>
        </w:tc>
        <w:tc>
          <w:tcPr>
            <w:tcW w:w="1289" w:type="dxa"/>
            <w:tcBorders>
              <w:bottom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Obs</w:t>
            </w:r>
          </w:p>
        </w:tc>
        <w:tc>
          <w:tcPr>
            <w:tcW w:w="1289" w:type="dxa"/>
            <w:tcBorders>
              <w:bottom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Mean</w:t>
            </w:r>
          </w:p>
        </w:tc>
        <w:tc>
          <w:tcPr>
            <w:tcW w:w="1289" w:type="dxa"/>
            <w:tcBorders>
              <w:bottom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SD</w:t>
            </w:r>
          </w:p>
        </w:tc>
        <w:tc>
          <w:tcPr>
            <w:tcW w:w="1289" w:type="dxa"/>
            <w:tcBorders>
              <w:bottom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Min</w:t>
            </w:r>
          </w:p>
        </w:tc>
        <w:tc>
          <w:tcPr>
            <w:tcW w:w="1289" w:type="dxa"/>
            <w:tcBorders>
              <w:bottom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Median</w:t>
            </w:r>
          </w:p>
        </w:tc>
        <w:tc>
          <w:tcPr>
            <w:tcW w:w="1289" w:type="dxa"/>
            <w:tcBorders>
              <w:bottom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Max</w:t>
            </w:r>
          </w:p>
        </w:tc>
      </w:tr>
      <w:tr>
        <w:tc>
          <w:tcPr>
            <w:tcW w:w="1289" w:type="dxa"/>
            <w:tcBorders>
              <w:top w:val="single" w:color="000000"/>
            </w:tcBorders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LSZX</w:t>
            </w:r>
          </w:p>
        </w:tc>
        <w:tc>
          <w:tcPr>
            <w:tcW w:w="1289" w:type="dxa"/>
            <w:tcBorders>
              <w:top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tcBorders>
              <w:top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1.0261</w:t>
            </w:r>
          </w:p>
        </w:tc>
        <w:tc>
          <w:tcPr>
            <w:tcW w:w="1289" w:type="dxa"/>
            <w:tcBorders>
              <w:top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0.1076</w:t>
            </w:r>
          </w:p>
        </w:tc>
        <w:tc>
          <w:tcPr>
            <w:tcW w:w="1289" w:type="dxa"/>
            <w:tcBorders>
              <w:top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0.8108</w:t>
            </w:r>
          </w:p>
        </w:tc>
        <w:tc>
          <w:tcPr>
            <w:tcW w:w="1289" w:type="dxa"/>
            <w:tcBorders>
              <w:top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1.0375</w:t>
            </w:r>
          </w:p>
        </w:tc>
        <w:tc>
          <w:tcPr>
            <w:tcW w:w="1289" w:type="dxa"/>
            <w:tcBorders>
              <w:top w:val="single" w:color="000000"/>
            </w:tcBorders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1.2246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inter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0.1156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0.3197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0.0000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0.0000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1.0000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ZYPZ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0.1215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0.1121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0.0000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0.0941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0.5565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AC2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0.0837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0.0639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0.0081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0.0677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0.3835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CXSL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0.6194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1.0321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0.0000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0.0000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4.5747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CXXL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0.5421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0.2148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0.1483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0.5286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0.9868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Flex2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0.1733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0.1517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0.0000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0.1455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0.6001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LSTZ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19.5470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1.1345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17.2608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19.4073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23.0177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DCG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1.2932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1.3659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0.0000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1.0986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5.0434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ESG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4.2918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0.0668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4.0782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4.2955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4.4332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NK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6.4823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0.1332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5.7713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6.5050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6.7586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HHI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0.1914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0.1669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0.0404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0.1402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0.9341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LSJR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0.4156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0.1219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0.0917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0.4233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0.6466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SZJJ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0.1581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0.2128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0.0020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0.0763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0.8621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CASH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0.2244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0.3548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-0.4845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0.1448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1.8422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SIZE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22.3473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1.2874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20.0116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22.1588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26.4045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LEV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0.4357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0.1992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0.0628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0.4291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0.8967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ROA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0.0384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0.0622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-0.2076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0.0362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0.2210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DUAL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0.2629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0.4402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0.0000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0.0000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1.0000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AGE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2.3271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0.6578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1.0986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2.3979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3.4012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TOP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0.3367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0.1475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0.0822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0.3131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0.7382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GDP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10.6125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0.7552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8.2253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10.6807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11.8180</w:t>
            </w:r>
          </w:p>
        </w:tc>
      </w:tr>
      <w:tr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left"/>
            </w:pPr>
            <w:r>
              <w:rPr/>
              <w:t xml:space="preserve">CYJG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30582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2.4761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0.1440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2.2272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2.4449</w:t>
            </w:r>
          </w:p>
        </w:tc>
        <w:tc>
          <w:tcPr>
            <w:tcW w:w="1289" w:type="dxa"/>
            <w:vAlign w:val="center"/>
          </w:tcPr>
          <w:p>
            <w:pPr>
              <w:pStyle w:val="Normal"/>
              <w:spacing w:after="0"/>
              <w:jc w:val="right"/>
            </w:pPr>
            <w:r>
              <w:rPr/>
              <w:t xml:space="preserve">2.8461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Baseline Regression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(6.925)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(6.797)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(-0.010)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(-1.492)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(-0.389)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(-1.504)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(-2.630)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(-0.366)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(0.065)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(-1.162)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-0.0053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(-0.941)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0.8217***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0.8641***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(1713.938)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(38.118)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Mediation - Resource Allocation Efficiency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ZYPZ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-0.0106***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(6.797)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(-4.736)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-0.0018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(-0.010)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(-0.910)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(-1.492)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(0.054)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-0.0043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(-0.389)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(-0.787)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0.0663***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(-1.504)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(6.026)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(-2.630)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(-2.005)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0.1193***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(-0.366)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(37.600)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0.0148*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(0.065)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(1.758)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0.0018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(-1.162)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(0.212)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-0.0053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0.0692**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(-0.941)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(2.547)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0.8641***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-0.2762**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(38.118)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(-2.521)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0.5512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2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Mediation - Agency Costs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AC2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-0.0036***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(6.797)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(-3.687)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-0.0051***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(-0.010)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(-5.841)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-0.0152***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(-1.492)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(-27.734)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-0.0376***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(-0.389)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(-15.962)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-0.2107***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(-1.504)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(-44.173)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0.0003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(-2.630)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(0.382)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-0.0128***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(-0.366)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(-9.325)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-0.0082**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(0.065)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(-2.259)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-0.0006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(-1.162)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(-0.158)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-0.0053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-0.0155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(-0.941)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(-1.314)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0.8641***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0.5117***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(38.118)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(10.777)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0.7407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3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Mediation - Credit Availability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Flex2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0.0030*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(6.797)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(1.828)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-0.0170***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(-0.010)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(-11.555)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0.0219***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(-1.492)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(23.886)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0.5231***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(-0.389)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(132.576)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-0.1542***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(-1.504)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(-19.270)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-0.0005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(-2.630)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(-0.403)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(-0.366)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(1.360)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0.0309***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(0.065)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(5.054)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-0.0064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(-1.162)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(-1.024)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-0.0053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-0.0785***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(-0.941)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(-3.973)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0.8641***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-0.2688***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(38.118)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(-3.375)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0.8704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4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Mediation - Green Innovation Quantity &amp; Quality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2256"/>
        <w:gridCol w:w="2256"/>
        <w:gridCol w:w="2256"/>
        <w:gridCol w:w="2256"/>
      </w:tblGrid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(3)</w:t>
            </w:r>
          </w:p>
        </w:tc>
      </w:tr>
      <w:tr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CXSL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CXXL</w:t>
            </w:r>
          </w:p>
        </w:tc>
      </w:tr>
      <w:tr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0.0507***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0.0094**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(6.797)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(3.066)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(2.426)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-0.0081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-0.0013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(-0.010)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(-0.546)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(-0.370)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0.2822***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-0.0020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(-1.492)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(30.342)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(-0.897)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0.0131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-0.0061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(-0.389)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(0.327)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(-0.651)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-0.0342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-0.0267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(-1.504)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(-0.422)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(-1.399)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0.0290**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0.0006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(-2.630)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(2.321)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(0.196)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-0.1651***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(-0.366)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(-7.072)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(0.016)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-0.1170*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-0.0105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(0.065)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(-1.890)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(-0.724)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0.1238**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0.0023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(-1.162)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(1.970)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(0.154)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-0.0053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-0.4207**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0.0083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(-0.941)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(-2.102)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(0.176)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0.8641***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-5.7912***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0.2408</w:t>
            </w:r>
          </w:p>
        </w:tc>
      </w:tr>
      <w:tr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(38.118)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(-7.181)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(1.268)</w:t>
            </w:r>
          </w:p>
        </w:tc>
      </w:tr>
      <w:tr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0.7130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0.6328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5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Mediation - Green Investment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LSTZ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0.0156*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(6.797)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(1.708)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0.0796***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(-0.010)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(9.673)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0.6029***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(-1.492)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(117.517)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-0.0267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(-0.389)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(-1.211)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-1.0011***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(-1.504)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(-22.399)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0.0057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(-2.630)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(0.823)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0.1624***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(-0.366)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(12.609)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-0.1513***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(0.065)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(-4.430)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0.0464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(-1.162)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(1.340)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-0.0053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-0.4964***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(-0.941)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(-4.496)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0.8641***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6.4369***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(38.118)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(14.467)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0.9277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6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Moderation Effects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(4)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(5)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(7)</w:t>
            </w:r>
          </w:p>
        </w:tc>
      </w:tr>
      <w:tr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</w:tr>
      <w:tr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0.0030***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0.0017**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0.0027***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0.0049***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(6.797)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(6.423)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(6.909)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(6.888)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(2.537)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(5.191)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(8.424)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(-0.010)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(-0.013)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(0.007)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(0.020)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(0.016)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(-0.008)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(-0.084)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(-1.492)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(-1.410)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(-1.508)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(-1.416)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(-1.448)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(-1.497)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(-1.486)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-0.0005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-0.0005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-0.0006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(-0.389)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(-0.446)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(-0.398)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(-0.380)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(-0.481)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(-0.386)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(-0.513)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-0.0033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-0.0035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-0.0033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-0.0033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-0.0032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(-1.504)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(-1.454)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(-1.486)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(-1.540)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(-1.431)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(-1.441)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(-1.426)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(-2.630)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(-2.667)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(-2.627)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(-2.642)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(-2.590)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(-2.655)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(-2.551)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-0.0003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-0.0003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-0.0003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(-0.366)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(-0.402)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(-0.329)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(-0.455)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(-0.349)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(-0.452)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(-0.345)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0.0002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0.0002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0.0002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(0.065)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(0.048)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(0.100)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(0.071)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(0.137)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(0.127)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(0.059)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-0.0023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(-1.162)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(-1.153)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(-1.155)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(-1.153)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(-1.149)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(-1.167)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(-1.330)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-0.0053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-0.0053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-0.0057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-0.0035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-0.0052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-0.0035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(-0.941)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(-0.905)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(-0.945)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(-1.012)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(-0.613)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(-0.932)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(-0.609)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ESG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-0.0018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(-0.862)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ESG_inter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0.0135**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(2.120)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NK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(-0.001)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NK_inter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0.0050*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(1.839)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HHI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-0.0023**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(-2.174)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HHI_inter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(-1.534)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LSJR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0.0037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(0.994)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LSJR_inter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0.0111***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(2.857)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DCG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0.0000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(0.314)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DCG_inter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0.0005*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(1.752)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SZJJ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0.0003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(0.278)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SZJJ_inter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0.0215***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(7.980)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0.8641***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0.8709***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0.8641***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0.8650***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0.8579***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0.8641***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0.8623***</w:t>
            </w:r>
          </w:p>
        </w:tc>
      </w:tr>
      <w:tr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(38.118)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(36.072)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(37.178)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(38.159)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(37.702)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(38.075)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(38.005)</w:t>
            </w:r>
          </w:p>
        </w:tc>
      </w:tr>
      <w:tr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1128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1128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</w:tr>
      <w:tr>
        <w:tc>
          <w:tcPr>
            <w:tcW w:w="1128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  <w:tc>
          <w:tcPr>
            <w:tcW w:w="1128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0.9792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7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Heterogeneity - Ownership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SOE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Non-SOE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0.0043***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0.0023***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(6.019)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(3.719)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(-0.218)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(0.183)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-0.0005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(-1.181)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(-1.035)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0.0008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-0.0017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(0.443)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(-1.106)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-0.0060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(-1.529)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(-0.839)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-0.0011*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(-1.831)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(-1.987)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-0.0024**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(-2.104)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(1.276)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0.0003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(0.124)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(0.038)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-0.0062***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0.0036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(-2.719)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(1.342)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0.0009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-0.0148*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(0.124)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(-1.714)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0.8960***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0.8275***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(29.612)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(24.533)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12189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18393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0.9808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0.9769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8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Heterogeneity - Life Cycle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2256"/>
        <w:gridCol w:w="2256"/>
        <w:gridCol w:w="2256"/>
        <w:gridCol w:w="2256"/>
      </w:tblGrid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(3)</w:t>
            </w:r>
          </w:p>
        </w:tc>
      </w:tr>
      <w:tr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Growth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Mature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Recession</w:t>
            </w:r>
          </w:p>
        </w:tc>
      </w:tr>
      <w:tr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0.0015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0.0038***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0.0050***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(1.460)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(4.177)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(5.954)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-0.0006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0.0012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(-0.694)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(1.493)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(-1.236)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-0.0006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-0.0005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(-1.723)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(-1.161)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(-1.061)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0.0010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-0.0010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(-0.391)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(0.465)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(-0.478)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0.0004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-0.0032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-0.0056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(0.089)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(-0.719)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(-1.161)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-0.0012*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-0.0011*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(-1.656)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(-1.690)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(-1.384)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0.0003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0.0000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-0.0013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(0.243)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(0.037)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(-0.912)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0.0021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0.0014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0.0021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(0.599)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(0.406)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(0.646)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-0.0030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-0.0026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(-0.480)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(-0.903)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(-0.849)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-0.0135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0.0168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-0.0165*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(-1.050)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(1.569)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(-1.660)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0.8938***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0.8233***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0.9008***</w:t>
            </w:r>
          </w:p>
        </w:tc>
      </w:tr>
      <w:tr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(16.556)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(18.790)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(23.154)</w:t>
            </w:r>
          </w:p>
        </w:tc>
      </w:tr>
      <w:tr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9238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10748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10596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0.9841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0.9832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0.9820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9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Heterogeneity - Technology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High-tech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Non-high-tech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0.0030***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(5.066)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(4.369)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(0.281)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(-0.562)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0.0003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(-2.578)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(0.678)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(-1.379)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(0.815)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-0.0059**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0.0023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(-2.064)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(0.613)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-0.0005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-0.0017***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(-1.171)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(-2.955)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0.0008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-0.0019*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(0.951)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(-1.768)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(-0.865)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(1.148)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-0.0040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(-0.363)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(-1.551)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-0.0179**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0.0104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(-2.333)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(1.256)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0.8927***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0.8319***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(28.422)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(25.490)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18316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12266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0.9782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0.9802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10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Heterogeneity - Pollution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High-pollution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Non-high-pollution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0.0065***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0.0026***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(5.672)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(4.966)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0.0003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(-1.408)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(0.666)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(-0.716)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(-1.304)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-0.0042*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0.0008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(-1.878)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(0.582)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-0.0040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(-0.877)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(-1.291)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-0.0022***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-0.0005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(-2.975)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(-1.313)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-0.0007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(0.993)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(-0.891)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0.0002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(0.125)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(0.080)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-0.0028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-0.0012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(-0.911)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(-0.576)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0.0069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-0.0116*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(0.695)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(-1.687)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0.8419***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0.8713***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(20.917)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(31.723)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7501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23081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0.9793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11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Heterogeneity - City Tier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First-tier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Non-first-tier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0.0042***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0.0009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(6.955)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(0.303)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0.0006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-0.0006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(1.036)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(-1.000)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-0.0008**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(0.087)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(-2.138)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0.0010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(-1.324)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(0.622)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-0.0053*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-0.0012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(-1.659)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(-0.365)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-0.0010*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(-1.725)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(-1.944)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0.0006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(-1.013)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(0.656)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0.0007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(0.274)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(-0.155)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(-0.642)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(-1.089)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-0.0078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(0.103)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(-1.105)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0.8515***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0.8767***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(14.685)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(34.608)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15353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15229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0.9801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0.9782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12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Heterogeneity - Public Environmental Attention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High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Low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0.0037***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0.0074**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(6.153)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(2.287)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0.0006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-0.0007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(0.988)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(-1.206)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0.0003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-0.0008**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(0.800)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(-2.084)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0.0009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(-1.226)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(0.534)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-0.0058*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-0.0017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(-1.762)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(-0.505)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-0.0007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-0.0012**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(-1.373)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(-2.402)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-0.0017*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0.0010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(-1.662)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(0.995)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0.0014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0.0008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(0.525)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(0.316)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-0.0075*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-0.0016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(-1.757)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(-0.731)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-0.0078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-0.0083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(-0.793)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(-1.079)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0.9108***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0.8723***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(17.788)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(31.265)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15224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15358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0.9749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0.9827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13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Heterogeneity - Green Background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With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Without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0.0017*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0.0034***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(1.724)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(6.288)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0.0004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(-0.256)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(0.859)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-0.0005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(0.237)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(-1.584)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-0.0007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(0.415)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(-0.566)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0.0061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-0.0055**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(1.259)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(-2.077)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-0.0008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-0.0012***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(-1.130)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(-2.941)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-0.0034**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0.0009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(-2.328)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(1.220)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-0.0081**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0.0026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(-2.068)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(1.264)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0.0009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-0.0026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(0.202)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(-1.294)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0.0073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-0.0047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(0.588)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(-0.706)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0.8003***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0.8679***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(14.743)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(32.850)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7246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23336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0.9820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0.9801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14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Heterogeneity - Digital Background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With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Without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-0.0013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0.0035***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(-0.712)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(7.093)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(-0.125)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(-0.141)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-0.0032**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-0.0003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(-2.083)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(-1.015)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0.0026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-0.0003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(0.474)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(-0.252)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-0.0066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-0.0023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(-0.657)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(-0.951)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0.0025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-0.0012***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(1.635)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(-3.329)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0.0008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-0.0005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(0.244)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(-0.664)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-0.0150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0.0000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(-1.258)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(0.015)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0.0136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-0.0022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(1.181)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(-1.237)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-0.0293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-0.0047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(-0.939)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(-0.811)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0.8280***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0.8622***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(5.674)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(37.193)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2095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28487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0.9800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0.9795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15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Robustness Checks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2256"/>
        <w:gridCol w:w="2256"/>
        <w:gridCol w:w="2256"/>
        <w:gridCol w:w="2256"/>
      </w:tblGrid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(3)</w:t>
            </w:r>
          </w:p>
        </w:tc>
      </w:tr>
      <w:tr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</w:tr>
      <w:tr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0.0221***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0.0038***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0.0032***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(33.235)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(7.475)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(6.804)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0.0025***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0.0000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(3.956)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(0.162)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(0.010)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0.0029***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-0.0004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(7.319)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(-1.316)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(-1.523)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-0.0194***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-0.0003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-0.0006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(-11.446)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(-0.236)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(-0.504)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-0.0177***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-0.0038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-0.0039*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(-5.148)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(-1.565)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(-1.708)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-0.0015***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-0.0009***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(-2.754)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(-2.548)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(-2.626)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0.0443***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-0.0003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(48.131)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(-0.483)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(-0.332)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0.0089***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-0.0002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0.0001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(3.369)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(-0.089)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(0.071)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0.2383***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-0.0024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-0.0020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(170.742)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(-1.332)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(-1.138)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0.2244***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-0.0049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-0.0052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(33.315)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(-0.844)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(-0.924)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MBOARD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-0.0006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(-0.628)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GROWTH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0.0002*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(1.825)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-2.2231***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0.8665***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0.8650***</w:t>
            </w:r>
          </w:p>
        </w:tc>
      </w:tr>
      <w:tr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(-178.172)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(36.826)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(38.111)</w:t>
            </w:r>
          </w:p>
        </w:tc>
      </w:tr>
      <w:tr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2256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27861</w:t>
            </w:r>
          </w:p>
        </w:tc>
        <w:tc>
          <w:tcPr>
            <w:tcW w:w="2256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30582</w:t>
            </w:r>
          </w:p>
        </w:tc>
      </w:tr>
      <w:tr>
        <w:tc>
          <w:tcPr>
            <w:tcW w:w="2256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0.9514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0.9803</w:t>
            </w:r>
          </w:p>
        </w:tc>
        <w:tc>
          <w:tcPr>
            <w:tcW w:w="2256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0.9791</w:t>
            </w:r>
          </w:p>
        </w:tc>
      </w:tr>
    </w:tbl>
    <w:p>
      <w:pPr>
        <w:pStyle w:val="Normal"/>
      </w:pPr>
      <w:r>
        <w:rPr/>
        <w:t/>
      </w:r>
    </w:p>
    <w:p>
      <w:pPr>
        <w:pStyle w:val="Normal16-BR1"/>
        <w:sectPr>
          <w:type w:val="continuous"/>
          <w:pgSz w:w="11907" w:h="16839" w:code="9"/>
          <w:pgMar w:top="1440" w:right="1440" w:bottom="1440" w:left="1440"/>
          <w:pgNumType w:fmt="decimal"/>
        </w:sectPr>
      </w:pPr>
    </w:p>
    <w:p>
      <w:pPr>
        <w:pStyle w:val="Normal"/>
        <w:spacing w:after="0"/>
        <w:jc w:val="center"/>
      </w:pPr>
      <w:r>
        <w:rPr/>
        <w:t/>
      </w:r>
      <w:r>
        <w:rPr/>
        <w:t xml:space="preserve">Table 3: PSM (1:3)</w:t>
      </w:r>
    </w:p>
    <w:tbl>
      <w:tblPr>
        <w:tblStyle w:val="TableGrid-BR1"/>
        <w:jc w:val="center"/>
        <w:tblBorders>
          <w:top w:val="single" w:color="000000" w:shadow="false"/>
          <w:left w:val="nil" w:color="000000" w:shadow="false"/>
          <w:bottom w:val="single" w:color="000000" w:shadow="false"/>
          <w:right w:val="nil" w:color="000000" w:shadow="false"/>
          <w:insideH w:val="nil" w:color="000000" w:shadow="false"/>
          <w:insideV w:val="nil" w:color="000000" w:shadow="false"/>
        </w:tblBorders>
        <w:tblLayout w:type="autofit"/>
      </w:tblPr>
      <w:tblGrid>
        <w:gridCol w:w="3009"/>
        <w:gridCol w:w="3009"/>
        <w:gridCol w:w="3009"/>
      </w:tblGrid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(2)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LSZX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inter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0.0043***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0.0043***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(4.326)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(4.292)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CASH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-0.0001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(-0.079)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SIZE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-0.0000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(-0.045)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LEV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-0.0022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(-0.658)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ROA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-0.0120**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(-2.136)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DUAL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-0.0005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(-0.489)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AGE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0.0025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(1.237)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TOP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0.0019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(0.340)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GDP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-0.0207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(-1.029)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CYJG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0.0470*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(1.664)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_cons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0.8209***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0.9138***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</w:pP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(186.610)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(3.976)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FE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Year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  <w:tc>
          <w:tcPr>
            <w:tcW w:w="3009" w:type="dxa"/>
            <w:tcBorders>
              <w:bottom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Yes</w:t>
            </w:r>
          </w:p>
        </w:tc>
      </w:tr>
      <w:tr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N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7618</w:t>
            </w:r>
          </w:p>
        </w:tc>
        <w:tc>
          <w:tcPr>
            <w:tcW w:w="3009" w:type="dxa"/>
            <w:tcBorders>
              <w:top w:val="single" w:color="000000"/>
            </w:tcBorders>
          </w:tcPr>
          <w:p>
            <w:pPr>
              <w:pStyle w:val="Normal"/>
              <w:spacing w:after="0"/>
              <w:jc w:val="center"/>
            </w:pPr>
            <w:r>
              <w:rPr/>
              <w:t xml:space="preserve">7618</w:t>
            </w:r>
          </w:p>
        </w:tc>
      </w:tr>
      <w:tr>
        <w:tc>
          <w:tcPr>
            <w:tcW w:w="3009" w:type="dxa"/>
          </w:tcPr>
          <w:p>
            <w:pPr>
              <w:pStyle w:val="Normal"/>
              <w:spacing w:after="0" w:lineRule="auto"/>
              <w:jc w:val="center"/>
            </w:pPr>
            <w:r>
              <w:rPr/>
              <w:t xml:space="preserve">R</w:t>
            </w:r>
            <w:r>
              <w:rPr>
                <w:vertAlign w:val="superscript"/>
              </w:rPr>
              <w:t xml:space="preserve">2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0.9677</w:t>
            </w:r>
          </w:p>
        </w:tc>
        <w:tc>
          <w:tcPr>
            <w:tcW w:w="3009" w:type="dxa"/>
          </w:tcPr>
          <w:p>
            <w:pPr>
              <w:pStyle w:val="Normal"/>
              <w:spacing w:after="0"/>
              <w:jc w:val="center"/>
            </w:pPr>
            <w:r>
              <w:rPr/>
              <w:t xml:space="preserve">0.9678</w:t>
            </w:r>
          </w:p>
        </w:tc>
      </w:tr>
    </w:tbl>
    <w:p>
      <w:pPr>
        <w:pStyle w:val="Normal"/>
      </w:pPr>
      <w:r>
        <w:rPr/>
        <w:t/>
      </w:r>
    </w:p>
    <w:sectPr>
      <w:type w:val="continuous"/>
      <w:pgSz w:w="11907" w:h="16839" w:code="9"/>
      <w:pgMar w:top="1440" w:right="1440" w:bottom="1440" w:left="1440"/>
      <w:pgNumType w:fmt="decimal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false">
    <w:name w:val="Normal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fals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-BR1">
    <w:name w:val="Table Grid"/>
    <w:basedOn w:val="TableNormal-BR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-BR1" w:default="false">
    <w:name w:val="TableNormal-BR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Normal-BR2" w:default="false">
    <w:name w:val="TableNormal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-BR1" w:default="false">
    <w:name w:val="Normal-BR1"/>
  </w:style>
  <w:style w:type="table" w:styleId="TableNormal2-BR2" w:default="false">
    <w:name w:val="TableNormal2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2-BR1" w:default="false">
    <w:name w:val="Normal2-BR1"/>
  </w:style>
  <w:style w:type="table" w:styleId="TableNormal3-BR2" w:default="false">
    <w:name w:val="TableNormal3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3-BR1" w:default="false">
    <w:name w:val="Normal3-BR1"/>
  </w:style>
  <w:style w:type="table" w:styleId="TableNormal4-BR2" w:default="false">
    <w:name w:val="TableNormal4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4-BR1" w:default="false">
    <w:name w:val="Normal4-BR1"/>
  </w:style>
  <w:style w:type="table" w:styleId="TableNormal5-BR2" w:default="false">
    <w:name w:val="TableNormal5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5-BR1" w:default="false">
    <w:name w:val="Normal5-BR1"/>
  </w:style>
  <w:style w:type="table" w:styleId="TableNormal6-BR2" w:default="false">
    <w:name w:val="TableNormal6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6-BR1" w:default="false">
    <w:name w:val="Normal6-BR1"/>
  </w:style>
  <w:style w:type="table" w:styleId="TableNormal7-BR2" w:default="false">
    <w:name w:val="TableNormal7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7-BR1" w:default="false">
    <w:name w:val="Normal7-BR1"/>
  </w:style>
  <w:style w:type="table" w:styleId="TableNormal8-BR2" w:default="false">
    <w:name w:val="TableNormal8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8-BR1" w:default="false">
    <w:name w:val="Normal8-BR1"/>
  </w:style>
  <w:style w:type="table" w:styleId="TableNormal9-BR2" w:default="false">
    <w:name w:val="TableNormal9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9-BR1" w:default="false">
    <w:name w:val="Normal9-BR1"/>
  </w:style>
  <w:style w:type="table" w:styleId="TableNormal10-BR2" w:default="false">
    <w:name w:val="TableNormal10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10-BR1" w:default="false">
    <w:name w:val="Normal10-BR1"/>
  </w:style>
  <w:style w:type="table" w:styleId="TableNormal11-BR2" w:default="false">
    <w:name w:val="TableNormal11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11-BR1" w:default="false">
    <w:name w:val="Normal11-BR1"/>
  </w:style>
  <w:style w:type="table" w:styleId="TableNormal12-BR2" w:default="false">
    <w:name w:val="TableNormal12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12-BR1" w:default="false">
    <w:name w:val="Normal12-BR1"/>
  </w:style>
  <w:style w:type="table" w:styleId="TableNormal13-BR2" w:default="false">
    <w:name w:val="TableNormal13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13-BR1" w:default="false">
    <w:name w:val="Normal13-BR1"/>
  </w:style>
  <w:style w:type="table" w:styleId="TableNormal14-BR2" w:default="false">
    <w:name w:val="TableNormal14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14-BR1" w:default="false">
    <w:name w:val="Normal14-BR1"/>
  </w:style>
  <w:style w:type="table" w:styleId="TableNormal15-BR2" w:default="false">
    <w:name w:val="TableNormal15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15-BR1" w:default="false">
    <w:name w:val="Normal15-BR1"/>
  </w:style>
  <w:style w:type="table" w:styleId="TableNormal16-BR2" w:default="false">
    <w:name w:val="TableNormal16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16-BR1" w:default="false">
    <w:name w:val="Normal16-BR1"/>
  </w:style>
  <w:style w:type="table" w:styleId="TableNormal17-BR2" w:default="false">
    <w:name w:val="TableNormal17-BR2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1"/>
    <Relationship Target="styles.xml" Type="http://schemas.openxmlformats.org/officeDocument/2006/relationships/styles" Id="rId2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