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A3AF02" w14:textId="77777777" w:rsidR="00F43C03" w:rsidRPr="00BB1F1F" w:rsidRDefault="00F43C03" w:rsidP="00F43C03">
      <w:pPr>
        <w:pStyle w:val="Heading2"/>
      </w:pPr>
      <w:r w:rsidRPr="00BB1F1F">
        <w:t>Supplementary</w:t>
      </w:r>
    </w:p>
    <w:p w14:paraId="187DC99A" w14:textId="77777777" w:rsidR="00F43C03" w:rsidRPr="00BB1F1F" w:rsidRDefault="00F43C03" w:rsidP="00F43C03">
      <w:pPr>
        <w:rPr>
          <w:lang w:val="en-GB"/>
        </w:rPr>
      </w:pPr>
      <w:r>
        <w:rPr>
          <w:rFonts w:hint="eastAsia"/>
          <w:lang w:val="en-GB"/>
        </w:rPr>
        <w:t xml:space="preserve">Supplementary </w:t>
      </w:r>
      <w:r w:rsidRPr="00BB1F1F">
        <w:rPr>
          <w:lang w:val="en-GB"/>
        </w:rPr>
        <w:t>Fig</w:t>
      </w:r>
      <w:r>
        <w:rPr>
          <w:rFonts w:hint="eastAsia"/>
          <w:lang w:val="en-GB"/>
        </w:rPr>
        <w:t>.</w:t>
      </w:r>
      <w:r w:rsidRPr="00BB1F1F">
        <w:rPr>
          <w:lang w:val="en-GB"/>
        </w:rPr>
        <w:t xml:space="preserve"> </w:t>
      </w:r>
      <w:r>
        <w:rPr>
          <w:rFonts w:hint="eastAsia"/>
          <w:lang w:val="en-GB"/>
        </w:rPr>
        <w:t>S1</w:t>
      </w:r>
      <w:r w:rsidRPr="00BB1F1F">
        <w:rPr>
          <w:lang w:val="en-GB"/>
        </w:rPr>
        <w:t xml:space="preserve"> </w:t>
      </w:r>
      <w:r w:rsidRPr="00C45A6F">
        <w:t xml:space="preserve">Love plots </w:t>
      </w:r>
      <w:r>
        <w:rPr>
          <w:rFonts w:hint="eastAsia"/>
        </w:rPr>
        <w:t>of</w:t>
      </w:r>
      <w:r w:rsidRPr="00C45A6F">
        <w:t xml:space="preserve"> absolute standardized mean differences before and after pairwise propensity score matching:</w:t>
      </w:r>
      <w:r w:rsidRPr="00C45A6F">
        <w:rPr>
          <w:lang w:val="en-GB"/>
        </w:rPr>
        <w:t xml:space="preserve"> </w:t>
      </w:r>
      <w:r w:rsidRPr="00BB1F1F">
        <w:rPr>
          <w:lang w:val="en-GB"/>
        </w:rPr>
        <w:t>(a) RP</w:t>
      </w:r>
      <w:r w:rsidRPr="00160AC7">
        <w:t>–</w:t>
      </w:r>
      <w:r w:rsidRPr="00BB1F1F">
        <w:rPr>
          <w:lang w:val="en-GB"/>
        </w:rPr>
        <w:t>RO, (b) RP</w:t>
      </w:r>
      <w:r w:rsidRPr="00160AC7">
        <w:t>–</w:t>
      </w:r>
      <w:r w:rsidRPr="00BB1F1F">
        <w:rPr>
          <w:lang w:val="en-GB"/>
        </w:rPr>
        <w:t>PO, (c) PO</w:t>
      </w:r>
      <w:r w:rsidRPr="00160AC7">
        <w:t>–</w:t>
      </w:r>
      <w:r w:rsidRPr="00BB1F1F">
        <w:rPr>
          <w:lang w:val="en-GB"/>
        </w:rPr>
        <w:t>RO</w:t>
      </w:r>
    </w:p>
    <w:p w14:paraId="2CABE5C0" w14:textId="77777777" w:rsidR="00F43C03" w:rsidRPr="00BB1F1F" w:rsidRDefault="00F43C03" w:rsidP="00F43C03">
      <w:pPr>
        <w:rPr>
          <w:lang w:val="en-GB"/>
        </w:rPr>
      </w:pPr>
      <w:r>
        <w:rPr>
          <w:rFonts w:hint="eastAsia"/>
          <w:lang w:val="en-GB"/>
        </w:rPr>
        <w:t xml:space="preserve">Supplementary </w:t>
      </w:r>
      <w:r w:rsidRPr="00BB1F1F">
        <w:rPr>
          <w:lang w:val="en-GB"/>
        </w:rPr>
        <w:t>Fig</w:t>
      </w:r>
      <w:r>
        <w:rPr>
          <w:rFonts w:hint="eastAsia"/>
          <w:lang w:val="en-GB"/>
        </w:rPr>
        <w:t>.</w:t>
      </w:r>
      <w:r w:rsidRPr="00BB1F1F">
        <w:rPr>
          <w:lang w:val="en-GB"/>
        </w:rPr>
        <w:t xml:space="preserve"> </w:t>
      </w:r>
      <w:r>
        <w:rPr>
          <w:rFonts w:hint="eastAsia"/>
          <w:lang w:val="en-GB"/>
        </w:rPr>
        <w:t xml:space="preserve">S2 </w:t>
      </w:r>
      <w:r w:rsidRPr="00BB1F1F">
        <w:rPr>
          <w:lang w:val="en-GB"/>
        </w:rPr>
        <w:t>Jitter plot distribution of propensity scores in (a) RP</w:t>
      </w:r>
      <w:r w:rsidRPr="00160AC7">
        <w:t>–</w:t>
      </w:r>
      <w:r w:rsidRPr="00BB1F1F">
        <w:rPr>
          <w:lang w:val="en-GB"/>
        </w:rPr>
        <w:t>RO, (b) RP</w:t>
      </w:r>
      <w:r w:rsidRPr="00160AC7">
        <w:t>–</w:t>
      </w:r>
      <w:r w:rsidRPr="00BB1F1F">
        <w:rPr>
          <w:lang w:val="en-GB"/>
        </w:rPr>
        <w:t>PO, (c)PO</w:t>
      </w:r>
      <w:r w:rsidRPr="00160AC7">
        <w:t>–</w:t>
      </w:r>
      <w:r w:rsidRPr="00BB1F1F">
        <w:rPr>
          <w:lang w:val="en-GB"/>
        </w:rPr>
        <w:t>RO</w:t>
      </w:r>
    </w:p>
    <w:p w14:paraId="5999B131" w14:textId="77777777" w:rsidR="00F43C03" w:rsidRPr="00BB1F1F" w:rsidRDefault="00F43C03" w:rsidP="00F43C03">
      <w:pPr>
        <w:rPr>
          <w:lang w:val="en-GB"/>
        </w:rPr>
      </w:pPr>
      <w:r w:rsidRPr="00BB1F1F">
        <w:rPr>
          <w:lang w:val="en-GB"/>
        </w:rPr>
        <w:t>Supplementary Table S1a Baseline and operative characteristics in propensity score-matched cohorts</w:t>
      </w:r>
    </w:p>
    <w:p w14:paraId="782F98B6" w14:textId="77777777" w:rsidR="00F43C03" w:rsidRPr="00BB1F1F" w:rsidRDefault="00F43C03" w:rsidP="00F43C03">
      <w:pPr>
        <w:rPr>
          <w:lang w:val="en-GB"/>
        </w:rPr>
      </w:pPr>
      <w:r w:rsidRPr="00BB1F1F">
        <w:rPr>
          <w:lang w:val="en-GB"/>
        </w:rPr>
        <w:t>Supplementary Table S1b Absolute standardized mean differences for all propensity score covariates</w:t>
      </w:r>
    </w:p>
    <w:p w14:paraId="55027E3E" w14:textId="77777777" w:rsidR="00F43C03" w:rsidRPr="00BB1F1F" w:rsidRDefault="00F43C03" w:rsidP="00F43C03">
      <w:pPr>
        <w:rPr>
          <w:lang w:val="en-GB"/>
        </w:rPr>
      </w:pPr>
      <w:r w:rsidRPr="00BB1F1F">
        <w:rPr>
          <w:lang w:val="en-GB"/>
        </w:rPr>
        <w:t>Supplementary Table S2 CR-DGE qualifying patterns in the matched RP-RO cohort</w:t>
      </w:r>
    </w:p>
    <w:p w14:paraId="5BB201BD" w14:textId="77777777" w:rsidR="00F43C03" w:rsidRPr="0045780D" w:rsidRDefault="00F43C03" w:rsidP="00F43C03">
      <w:pPr>
        <w:rPr>
          <w:lang w:val="en-GB"/>
        </w:rPr>
      </w:pPr>
      <w:r w:rsidRPr="00BB1F1F">
        <w:rPr>
          <w:lang w:val="en-GB"/>
        </w:rPr>
        <w:t>Supplementary Table S</w:t>
      </w:r>
      <w:r>
        <w:rPr>
          <w:rFonts w:hint="eastAsia"/>
          <w:lang w:val="en-GB"/>
        </w:rPr>
        <w:t>3</w:t>
      </w:r>
      <w:r w:rsidRPr="00BB1F1F">
        <w:rPr>
          <w:lang w:val="en-GB"/>
        </w:rPr>
        <w:t xml:space="preserve"> </w:t>
      </w:r>
      <w:r w:rsidRPr="00DB7B44">
        <w:rPr>
          <w:lang w:val="en-GB"/>
        </w:rPr>
        <w:t>Pairwise propensity score-matched sensitivity analysis restricted to 2020-2025</w:t>
      </w:r>
    </w:p>
    <w:p w14:paraId="56F99B1B" w14:textId="77777777" w:rsidR="00F43C03" w:rsidRPr="00BB1F1F" w:rsidRDefault="00F43C03" w:rsidP="00F43C03">
      <w:pPr>
        <w:rPr>
          <w:lang w:val="en-GB"/>
        </w:rPr>
      </w:pPr>
      <w:r w:rsidRPr="00BB1F1F">
        <w:rPr>
          <w:lang w:val="en-GB"/>
        </w:rPr>
        <w:t>Supplementary Table S</w:t>
      </w:r>
      <w:r>
        <w:rPr>
          <w:rFonts w:hint="eastAsia"/>
          <w:lang w:val="en-GB"/>
        </w:rPr>
        <w:t>4</w:t>
      </w:r>
      <w:r w:rsidRPr="00BB1F1F">
        <w:rPr>
          <w:lang w:val="en-GB"/>
        </w:rPr>
        <w:t xml:space="preserve"> Univariable and multivariable logistic regression for </w:t>
      </w:r>
      <w:r w:rsidRPr="00A948A1">
        <w:rPr>
          <w:lang w:val="en-GB"/>
        </w:rPr>
        <w:t>clinically relevant delayed gastric emptying</w:t>
      </w:r>
    </w:p>
    <w:p w14:paraId="40C046C8" w14:textId="77777777" w:rsidR="00F43C03" w:rsidRPr="00BB1F1F" w:rsidRDefault="00F43C03" w:rsidP="00F43C03">
      <w:pPr>
        <w:rPr>
          <w:lang w:val="en-GB"/>
        </w:rPr>
      </w:pPr>
      <w:r w:rsidRPr="00BB1F1F">
        <w:rPr>
          <w:lang w:val="en-GB"/>
        </w:rPr>
        <w:t>Supplementary Table S</w:t>
      </w:r>
      <w:r>
        <w:rPr>
          <w:rFonts w:hint="eastAsia"/>
          <w:lang w:val="en-GB"/>
        </w:rPr>
        <w:t>5</w:t>
      </w:r>
      <w:r w:rsidRPr="00BB1F1F">
        <w:rPr>
          <w:lang w:val="en-GB"/>
        </w:rPr>
        <w:t xml:space="preserve"> </w:t>
      </w:r>
      <w:r w:rsidRPr="00BD1CD0">
        <w:rPr>
          <w:lang w:val="en-GB"/>
        </w:rPr>
        <w:t>Univariable and multivariable logistic regression for rescue nasogastric tube insertion</w:t>
      </w:r>
    </w:p>
    <w:p w14:paraId="2B6836AE" w14:textId="77777777" w:rsidR="00F43C03" w:rsidRDefault="00F43C03" w:rsidP="00F43C03">
      <w:pPr>
        <w:rPr>
          <w:lang w:val="en-GB"/>
        </w:rPr>
      </w:pPr>
      <w:r w:rsidRPr="00BB1F1F">
        <w:rPr>
          <w:lang w:val="en-GB"/>
        </w:rPr>
        <w:t>Supplementary Table S</w:t>
      </w:r>
      <w:r>
        <w:rPr>
          <w:rFonts w:hint="eastAsia"/>
          <w:lang w:val="en-GB"/>
        </w:rPr>
        <w:t>6</w:t>
      </w:r>
      <w:r w:rsidRPr="00BB1F1F">
        <w:rPr>
          <w:lang w:val="en-GB"/>
        </w:rPr>
        <w:t xml:space="preserve"> </w:t>
      </w:r>
      <w:r w:rsidRPr="008E49DC">
        <w:rPr>
          <w:lang w:val="en-GB"/>
        </w:rPr>
        <w:t xml:space="preserve">Univariable and multivariable linear regression for </w:t>
      </w:r>
      <w:r>
        <w:rPr>
          <w:rFonts w:hint="eastAsia"/>
          <w:lang w:val="en-GB"/>
        </w:rPr>
        <w:t>C</w:t>
      </w:r>
      <w:r w:rsidRPr="008E49DC">
        <w:rPr>
          <w:lang w:val="en-GB"/>
        </w:rPr>
        <w:t xml:space="preserve">omprehensive </w:t>
      </w:r>
      <w:r>
        <w:rPr>
          <w:rFonts w:hint="eastAsia"/>
          <w:lang w:val="en-GB"/>
        </w:rPr>
        <w:t>C</w:t>
      </w:r>
      <w:r w:rsidRPr="008E49DC">
        <w:rPr>
          <w:lang w:val="en-GB"/>
        </w:rPr>
        <w:t xml:space="preserve">omplication </w:t>
      </w:r>
      <w:r>
        <w:rPr>
          <w:rFonts w:hint="eastAsia"/>
          <w:lang w:val="en-GB"/>
        </w:rPr>
        <w:t>I</w:t>
      </w:r>
      <w:r w:rsidRPr="008E49DC">
        <w:rPr>
          <w:lang w:val="en-GB"/>
        </w:rPr>
        <w:t>ndex</w:t>
      </w:r>
    </w:p>
    <w:p w14:paraId="58068AC0" w14:textId="77777777" w:rsidR="00F43C03" w:rsidRPr="0045780D" w:rsidRDefault="00F43C03" w:rsidP="00F43C03">
      <w:pPr>
        <w:rPr>
          <w:lang w:val="en-GB"/>
        </w:rPr>
      </w:pPr>
      <w:r w:rsidRPr="00BB1F1F">
        <w:rPr>
          <w:lang w:val="en-GB"/>
        </w:rPr>
        <w:t>Supplementary Table S</w:t>
      </w:r>
      <w:r>
        <w:rPr>
          <w:rFonts w:hint="eastAsia"/>
          <w:lang w:val="en-GB"/>
        </w:rPr>
        <w:t>7</w:t>
      </w:r>
      <w:r w:rsidRPr="00BB1F1F">
        <w:rPr>
          <w:lang w:val="en-GB"/>
        </w:rPr>
        <w:t xml:space="preserve"> Distribution of treatment-requiring pleural effusion</w:t>
      </w:r>
    </w:p>
    <w:p w14:paraId="07837910" w14:textId="77777777" w:rsidR="00DE6AE2" w:rsidRPr="00F43C03" w:rsidRDefault="00DE6AE2">
      <w:pPr>
        <w:rPr>
          <w:lang w:val="en-GB"/>
        </w:rPr>
      </w:pPr>
    </w:p>
    <w:sectPr w:rsidR="00DE6AE2" w:rsidRPr="00F43C03" w:rsidSect="00F43C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C03"/>
    <w:rsid w:val="00195413"/>
    <w:rsid w:val="003A03A7"/>
    <w:rsid w:val="003D0186"/>
    <w:rsid w:val="007278E4"/>
    <w:rsid w:val="00A3738C"/>
    <w:rsid w:val="00B91ABC"/>
    <w:rsid w:val="00BC6C35"/>
    <w:rsid w:val="00C042ED"/>
    <w:rsid w:val="00CB270D"/>
    <w:rsid w:val="00CF7583"/>
    <w:rsid w:val="00DE6AE2"/>
    <w:rsid w:val="00F43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948985"/>
  <w15:chartTrackingRefBased/>
  <w15:docId w15:val="{6748C532-2B58-46C7-8E3D-DED559FBA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3C03"/>
    <w:pPr>
      <w:widowControl w:val="0"/>
      <w:adjustRightInd w:val="0"/>
      <w:snapToGrid w:val="0"/>
      <w:spacing w:after="0" w:line="360" w:lineRule="auto"/>
    </w:pPr>
    <w:rPr>
      <w:rFonts w:ascii="Times New Roman" w:eastAsia="SimSun" w:hAnsi="Times New Roman"/>
      <w:sz w:val="20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43C03"/>
    <w:pPr>
      <w:keepNext/>
      <w:keepLines/>
      <w:widowControl/>
      <w:adjustRightInd/>
      <w:snapToGrid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3C03"/>
    <w:pPr>
      <w:keepNext/>
      <w:keepLines/>
      <w:widowControl/>
      <w:adjustRightInd/>
      <w:snapToGrid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3C03"/>
    <w:pPr>
      <w:keepNext/>
      <w:keepLines/>
      <w:widowControl/>
      <w:adjustRightInd/>
      <w:snapToGrid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3C03"/>
    <w:pPr>
      <w:keepNext/>
      <w:keepLines/>
      <w:widowControl/>
      <w:adjustRightInd/>
      <w:snapToGrid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3C03"/>
    <w:pPr>
      <w:keepNext/>
      <w:keepLines/>
      <w:widowControl/>
      <w:adjustRightInd/>
      <w:snapToGrid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3C03"/>
    <w:pPr>
      <w:keepNext/>
      <w:keepLines/>
      <w:widowControl/>
      <w:adjustRightInd/>
      <w:snapToGrid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3C03"/>
    <w:pPr>
      <w:keepNext/>
      <w:keepLines/>
      <w:widowControl/>
      <w:adjustRightInd/>
      <w:snapToGrid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3C03"/>
    <w:pPr>
      <w:keepNext/>
      <w:keepLines/>
      <w:widowControl/>
      <w:adjustRightInd/>
      <w:snapToGrid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3C03"/>
    <w:pPr>
      <w:keepNext/>
      <w:keepLines/>
      <w:widowControl/>
      <w:adjustRightInd/>
      <w:snapToGrid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3C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43C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3C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3C0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3C0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3C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3C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3C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3C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3C03"/>
    <w:pPr>
      <w:widowControl/>
      <w:adjustRightInd/>
      <w:snapToGrid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F43C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3C03"/>
    <w:pPr>
      <w:widowControl/>
      <w:numPr>
        <w:ilvl w:val="1"/>
      </w:numPr>
      <w:adjustRightInd/>
      <w:snapToGrid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F43C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3C03"/>
    <w:pPr>
      <w:widowControl/>
      <w:adjustRightInd/>
      <w:snapToGrid/>
      <w:spacing w:before="160" w:after="160" w:line="278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sz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F43C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3C03"/>
    <w:pPr>
      <w:widowControl/>
      <w:adjustRightInd/>
      <w:snapToGrid/>
      <w:spacing w:after="160" w:line="278" w:lineRule="auto"/>
      <w:ind w:left="720"/>
      <w:contextualSpacing/>
    </w:pPr>
    <w:rPr>
      <w:rFonts w:asciiTheme="minorHAnsi" w:eastAsiaTheme="minorHAnsi" w:hAnsiTheme="minorHAnsi"/>
      <w:sz w:val="24"/>
      <w:lang w:eastAsia="en-US"/>
    </w:rPr>
  </w:style>
  <w:style w:type="character" w:styleId="IntenseEmphasis">
    <w:name w:val="Intense Emphasis"/>
    <w:basedOn w:val="DefaultParagraphFont"/>
    <w:uiPriority w:val="21"/>
    <w:qFormat/>
    <w:rsid w:val="00F43C0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3C03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djustRightInd/>
      <w:snapToGrid/>
      <w:spacing w:before="360" w:after="360" w:line="278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sz w:val="24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3C0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3C0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912</Characters>
  <Application>Microsoft Office Word</Application>
  <DocSecurity>0</DocSecurity>
  <Lines>7</Lines>
  <Paragraphs>2</Paragraphs>
  <ScaleCrop>false</ScaleCrop>
  <Company>Springer Nature</Company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2026-08-13T05:52:00Z</dcterms:created>
  <dcterms:modified xsi:type="dcterms:W3CDTF">2026-08-13T05:52:00Z</dcterms:modified>
</cp:coreProperties>
</file>