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282F180" w14:textId="77777777" w:rsidR="004D611B" w:rsidRDefault="00000000" w:rsidP="0081329F">
      <w:pPr>
        <w:spacing w:after="120"/>
        <w:jc w:val="center"/>
        <w:rPr>
          <w:b/>
          <w:sz w:val="32"/>
          <w:szCs w:val="28"/>
        </w:rPr>
      </w:pPr>
      <w:bookmarkStart w:id="0" w:name="strobe-reporting-checklist"/>
      <w:r w:rsidRPr="00377577">
        <w:rPr>
          <w:b/>
          <w:sz w:val="32"/>
          <w:szCs w:val="28"/>
        </w:rPr>
        <w:t>STROBE reporting checklist</w:t>
      </w:r>
    </w:p>
    <w:p w14:paraId="5ED66C7E" w14:textId="77777777" w:rsidR="0081329F" w:rsidRPr="00377577" w:rsidRDefault="0081329F">
      <w:pPr>
        <w:spacing w:after="120"/>
        <w:rPr>
          <w:sz w:val="28"/>
          <w:szCs w:val="28"/>
        </w:rPr>
      </w:pPr>
    </w:p>
    <w:p w14:paraId="64777784" w14:textId="77777777" w:rsidR="004D611B" w:rsidRDefault="00000000">
      <w:pPr>
        <w:spacing w:after="120"/>
      </w:pPr>
      <w:r w:rsidRPr="00377577">
        <w:rPr>
          <w:b/>
        </w:rPr>
        <w:t>Manuscript:</w:t>
      </w:r>
      <w:r>
        <w:rPr>
          <w:bCs/>
        </w:rPr>
        <w:t xml:space="preserve"> Clinical nodal findings and indocyanine green-guided sentinel-node mapping in non-metastatic colon cancer: an exploratory prospective cohort stratified by postoperative mismatch-repair status</w:t>
      </w:r>
    </w:p>
    <w:p w14:paraId="5630EFBF" w14:textId="77777777" w:rsidR="004D611B" w:rsidRDefault="00000000">
      <w:pPr>
        <w:spacing w:after="120"/>
      </w:pPr>
      <w:r w:rsidRPr="00377577">
        <w:rPr>
          <w:b/>
        </w:rPr>
        <w:t>Design:</w:t>
      </w:r>
      <w:r>
        <w:t xml:space="preserve"> Prospective exploratory, single-centre, non-consecutive observational cohort with a diagnostic-accuracy component.</w:t>
      </w:r>
    </w:p>
    <w:p w14:paraId="0178ADA4" w14:textId="77777777" w:rsidR="00377577" w:rsidRDefault="00377577">
      <w:pPr>
        <w:spacing w:after="120"/>
      </w:pPr>
    </w:p>
    <w:tbl>
      <w:tblPr>
        <w:tblStyle w:val="Table"/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20" w:firstRow="1" w:lastRow="0" w:firstColumn="0" w:lastColumn="0" w:noHBand="0" w:noVBand="0"/>
      </w:tblPr>
      <w:tblGrid>
        <w:gridCol w:w="590"/>
        <w:gridCol w:w="2766"/>
        <w:gridCol w:w="1994"/>
        <w:gridCol w:w="3280"/>
      </w:tblGrid>
      <w:tr w:rsidR="004D611B" w14:paraId="34C79045" w14:textId="77777777" w:rsidTr="003775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blHeader/>
          <w:jc w:val="center"/>
        </w:trPr>
        <w:tc>
          <w:tcPr>
            <w:tcW w:w="336" w:type="pct"/>
            <w:tcMar>
              <w:top w:w="55" w:type="dxa"/>
              <w:left w:w="55" w:type="dxa"/>
              <w:bottom w:w="55" w:type="dxa"/>
              <w:right w:w="55" w:type="dxa"/>
            </w:tcMar>
            <w:vAlign w:val="top"/>
          </w:tcPr>
          <w:p w14:paraId="2E6A68B3" w14:textId="77777777" w:rsidR="004D611B" w:rsidRDefault="00000000">
            <w:pPr>
              <w:pStyle w:val="Compact"/>
            </w:pPr>
            <w:r>
              <w:rPr>
                <w:b/>
              </w:rPr>
              <w:t>Item</w:t>
            </w:r>
          </w:p>
        </w:tc>
        <w:tc>
          <w:tcPr>
            <w:tcW w:w="1605" w:type="pct"/>
            <w:tcMar>
              <w:top w:w="55" w:type="dxa"/>
              <w:left w:w="55" w:type="dxa"/>
              <w:bottom w:w="55" w:type="dxa"/>
              <w:right w:w="55" w:type="dxa"/>
            </w:tcMar>
            <w:vAlign w:val="top"/>
          </w:tcPr>
          <w:p w14:paraId="433F6D99" w14:textId="77777777" w:rsidR="004D611B" w:rsidRDefault="00000000">
            <w:pPr>
              <w:pStyle w:val="Compact"/>
            </w:pPr>
            <w:r>
              <w:rPr>
                <w:b/>
              </w:rPr>
              <w:t>Recommendation</w:t>
            </w:r>
          </w:p>
        </w:tc>
        <w:tc>
          <w:tcPr>
            <w:tcW w:w="1157" w:type="pct"/>
            <w:tcMar>
              <w:top w:w="55" w:type="dxa"/>
              <w:left w:w="55" w:type="dxa"/>
              <w:bottom w:w="55" w:type="dxa"/>
              <w:right w:w="55" w:type="dxa"/>
            </w:tcMar>
            <w:vAlign w:val="top"/>
          </w:tcPr>
          <w:p w14:paraId="735C66DD" w14:textId="77777777" w:rsidR="004D611B" w:rsidRDefault="00000000">
            <w:pPr>
              <w:pStyle w:val="Compact"/>
            </w:pPr>
            <w:r>
              <w:rPr>
                <w:b/>
              </w:rPr>
              <w:t>Reported in</w:t>
            </w:r>
          </w:p>
        </w:tc>
        <w:tc>
          <w:tcPr>
            <w:tcW w:w="1903" w:type="pct"/>
            <w:tcMar>
              <w:top w:w="55" w:type="dxa"/>
              <w:left w:w="55" w:type="dxa"/>
              <w:bottom w:w="55" w:type="dxa"/>
              <w:right w:w="55" w:type="dxa"/>
            </w:tcMar>
            <w:vAlign w:val="top"/>
          </w:tcPr>
          <w:p w14:paraId="3AE315C9" w14:textId="77777777" w:rsidR="004D611B" w:rsidRDefault="00000000">
            <w:pPr>
              <w:pStyle w:val="Compact"/>
            </w:pPr>
            <w:r>
              <w:rPr>
                <w:b/>
              </w:rPr>
              <w:t>Status or note</w:t>
            </w:r>
          </w:p>
        </w:tc>
      </w:tr>
      <w:tr w:rsidR="004D611B" w14:paraId="0B8981A8" w14:textId="77777777" w:rsidTr="00377577">
        <w:trPr>
          <w:cantSplit/>
          <w:jc w:val="center"/>
        </w:trPr>
        <w:tc>
          <w:tcPr>
            <w:tcW w:w="336" w:type="pct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6F66F25" w14:textId="77777777" w:rsidR="004D611B" w:rsidRDefault="00000000">
            <w:pPr>
              <w:pStyle w:val="Compact"/>
            </w:pPr>
            <w:r>
              <w:t>1</w:t>
            </w:r>
          </w:p>
        </w:tc>
        <w:tc>
          <w:tcPr>
            <w:tcW w:w="1605" w:type="pct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712D49B" w14:textId="77777777" w:rsidR="004D611B" w:rsidRDefault="00000000">
            <w:pPr>
              <w:pStyle w:val="Compact"/>
            </w:pPr>
            <w:r>
              <w:t>Title and abstract</w:t>
            </w:r>
          </w:p>
        </w:tc>
        <w:tc>
          <w:tcPr>
            <w:tcW w:w="1157" w:type="pct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87302F1" w14:textId="77777777" w:rsidR="004D611B" w:rsidRDefault="00000000">
            <w:pPr>
              <w:pStyle w:val="Compact"/>
            </w:pPr>
            <w:r>
              <w:t>Title; Abstract</w:t>
            </w:r>
          </w:p>
        </w:tc>
        <w:tc>
          <w:tcPr>
            <w:tcW w:w="1903" w:type="pct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F44C012" w14:textId="77777777" w:rsidR="004D611B" w:rsidRDefault="00000000">
            <w:pPr>
              <w:pStyle w:val="Compact"/>
            </w:pPr>
            <w:r>
              <w:t>Design and principal estimates stated.</w:t>
            </w:r>
          </w:p>
        </w:tc>
      </w:tr>
      <w:tr w:rsidR="004D611B" w14:paraId="7E80B948" w14:textId="77777777" w:rsidTr="00377577">
        <w:trPr>
          <w:cantSplit/>
          <w:jc w:val="center"/>
        </w:trPr>
        <w:tc>
          <w:tcPr>
            <w:tcW w:w="336" w:type="pct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53FBAF6" w14:textId="77777777" w:rsidR="004D611B" w:rsidRDefault="00000000">
            <w:pPr>
              <w:pStyle w:val="Compact"/>
            </w:pPr>
            <w:r>
              <w:t>2</w:t>
            </w:r>
          </w:p>
        </w:tc>
        <w:tc>
          <w:tcPr>
            <w:tcW w:w="1605" w:type="pct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8F43A4B" w14:textId="77777777" w:rsidR="004D611B" w:rsidRDefault="00000000">
            <w:pPr>
              <w:pStyle w:val="Compact"/>
            </w:pPr>
            <w:r>
              <w:t>Background/rationale</w:t>
            </w:r>
          </w:p>
        </w:tc>
        <w:tc>
          <w:tcPr>
            <w:tcW w:w="1157" w:type="pct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C6D41A9" w14:textId="77777777" w:rsidR="004D611B" w:rsidRDefault="00000000">
            <w:pPr>
              <w:pStyle w:val="Compact"/>
            </w:pPr>
            <w:r>
              <w:t>Background</w:t>
            </w:r>
          </w:p>
        </w:tc>
        <w:tc>
          <w:tcPr>
            <w:tcW w:w="1903" w:type="pct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67CD840" w14:textId="77777777" w:rsidR="004D611B" w:rsidRDefault="00000000">
            <w:pPr>
              <w:pStyle w:val="Compact"/>
            </w:pPr>
            <w:r>
              <w:t>Scientific background and rationale given; the research priority is anchored on a published review of lymphadenectomy in the immunotherapy era [26] rather than an author-asserted gap.</w:t>
            </w:r>
          </w:p>
        </w:tc>
      </w:tr>
      <w:tr w:rsidR="004D611B" w14:paraId="7BA7E50F" w14:textId="77777777" w:rsidTr="00377577">
        <w:trPr>
          <w:cantSplit/>
          <w:jc w:val="center"/>
        </w:trPr>
        <w:tc>
          <w:tcPr>
            <w:tcW w:w="336" w:type="pct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B50FB8A" w14:textId="77777777" w:rsidR="004D611B" w:rsidRDefault="00000000">
            <w:pPr>
              <w:pStyle w:val="Compact"/>
            </w:pPr>
            <w:r>
              <w:t>3</w:t>
            </w:r>
          </w:p>
        </w:tc>
        <w:tc>
          <w:tcPr>
            <w:tcW w:w="1605" w:type="pct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CCEA4B0" w14:textId="77777777" w:rsidR="004D611B" w:rsidRDefault="00000000">
            <w:pPr>
              <w:pStyle w:val="Compact"/>
            </w:pPr>
            <w:r>
              <w:t>Objectives</w:t>
            </w:r>
          </w:p>
        </w:tc>
        <w:tc>
          <w:tcPr>
            <w:tcW w:w="1157" w:type="pct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E90DFAE" w14:textId="77777777" w:rsidR="004D611B" w:rsidRDefault="00000000">
            <w:pPr>
              <w:pStyle w:val="Compact"/>
            </w:pPr>
            <w:r>
              <w:t>Background, final paragraph, and Methods, statistical analysis</w:t>
            </w:r>
          </w:p>
        </w:tc>
        <w:tc>
          <w:tcPr>
            <w:tcW w:w="1903" w:type="pct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6E21E0F" w14:textId="77777777" w:rsidR="004D611B" w:rsidRDefault="00000000">
            <w:pPr>
              <w:pStyle w:val="Compact"/>
            </w:pPr>
            <w:r>
              <w:t>Two analytical questions are stated in Background, which declares them and all subgroup analyses post hoc and exploratory. The post hoc four-comparison multiplicity sensitivity analysis and the post hoc status of the remaining analyses are defined in Methods.</w:t>
            </w:r>
          </w:p>
        </w:tc>
      </w:tr>
      <w:tr w:rsidR="004D611B" w14:paraId="78209525" w14:textId="77777777" w:rsidTr="00377577">
        <w:trPr>
          <w:cantSplit/>
          <w:jc w:val="center"/>
        </w:trPr>
        <w:tc>
          <w:tcPr>
            <w:tcW w:w="336" w:type="pct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30B78D1" w14:textId="77777777" w:rsidR="004D611B" w:rsidRDefault="00000000">
            <w:pPr>
              <w:pStyle w:val="Compact"/>
            </w:pPr>
            <w:r>
              <w:t>4</w:t>
            </w:r>
          </w:p>
        </w:tc>
        <w:tc>
          <w:tcPr>
            <w:tcW w:w="1605" w:type="pct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A26DA3F" w14:textId="77777777" w:rsidR="004D611B" w:rsidRDefault="00000000">
            <w:pPr>
              <w:pStyle w:val="Compact"/>
            </w:pPr>
            <w:r>
              <w:t>Study design</w:t>
            </w:r>
          </w:p>
        </w:tc>
        <w:tc>
          <w:tcPr>
            <w:tcW w:w="1157" w:type="pct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F8F6127" w14:textId="77777777" w:rsidR="004D611B" w:rsidRDefault="00000000">
            <w:pPr>
              <w:pStyle w:val="Compact"/>
            </w:pPr>
            <w:r>
              <w:t>Methods — Study design and setting</w:t>
            </w:r>
          </w:p>
        </w:tc>
        <w:tc>
          <w:tcPr>
            <w:tcW w:w="1903" w:type="pct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A8EECD6" w14:textId="77777777" w:rsidR="004D611B" w:rsidRDefault="00000000">
            <w:pPr>
              <w:pStyle w:val="Compact"/>
            </w:pPr>
            <w:r>
              <w:t>Prospective exploratory single-centre design stated early.</w:t>
            </w:r>
          </w:p>
        </w:tc>
      </w:tr>
      <w:tr w:rsidR="004D611B" w14:paraId="38AA3AF6" w14:textId="77777777" w:rsidTr="00377577">
        <w:trPr>
          <w:cantSplit/>
          <w:jc w:val="center"/>
        </w:trPr>
        <w:tc>
          <w:tcPr>
            <w:tcW w:w="336" w:type="pct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506B09E" w14:textId="77777777" w:rsidR="004D611B" w:rsidRDefault="00000000">
            <w:pPr>
              <w:pStyle w:val="Compact"/>
            </w:pPr>
            <w:r>
              <w:t>5</w:t>
            </w:r>
          </w:p>
        </w:tc>
        <w:tc>
          <w:tcPr>
            <w:tcW w:w="1605" w:type="pct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CB260C2" w14:textId="77777777" w:rsidR="004D611B" w:rsidRDefault="00000000">
            <w:pPr>
              <w:pStyle w:val="Compact"/>
            </w:pPr>
            <w:r>
              <w:t>Setting</w:t>
            </w:r>
          </w:p>
        </w:tc>
        <w:tc>
          <w:tcPr>
            <w:tcW w:w="1157" w:type="pct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236D7A2" w14:textId="77777777" w:rsidR="004D611B" w:rsidRDefault="00000000">
            <w:pPr>
              <w:pStyle w:val="Compact"/>
            </w:pPr>
            <w:r>
              <w:t>Methods — Study design and setting</w:t>
            </w:r>
          </w:p>
        </w:tc>
        <w:tc>
          <w:tcPr>
            <w:tcW w:w="1903" w:type="pct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CFB1D92" w14:textId="77777777" w:rsidR="004D611B" w:rsidRDefault="00000000">
            <w:pPr>
              <w:pStyle w:val="Compact"/>
            </w:pPr>
            <w:r>
              <w:t>Institution and May 2024–March 2026 period stated.</w:t>
            </w:r>
          </w:p>
        </w:tc>
      </w:tr>
      <w:tr w:rsidR="004D611B" w14:paraId="793AEE70" w14:textId="77777777" w:rsidTr="00377577">
        <w:trPr>
          <w:cantSplit/>
          <w:jc w:val="center"/>
        </w:trPr>
        <w:tc>
          <w:tcPr>
            <w:tcW w:w="336" w:type="pct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5A4CFCC" w14:textId="77777777" w:rsidR="004D611B" w:rsidRDefault="00000000">
            <w:pPr>
              <w:pStyle w:val="Compact"/>
            </w:pPr>
            <w:r>
              <w:lastRenderedPageBreak/>
              <w:t>6</w:t>
            </w:r>
          </w:p>
        </w:tc>
        <w:tc>
          <w:tcPr>
            <w:tcW w:w="1605" w:type="pct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EC4BC8B" w14:textId="77777777" w:rsidR="004D611B" w:rsidRDefault="00000000">
            <w:pPr>
              <w:pStyle w:val="Compact"/>
            </w:pPr>
            <w:r>
              <w:t>Participants</w:t>
            </w:r>
          </w:p>
        </w:tc>
        <w:tc>
          <w:tcPr>
            <w:tcW w:w="1157" w:type="pct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C820EDD" w14:textId="77777777" w:rsidR="004D611B" w:rsidRDefault="00000000">
            <w:pPr>
              <w:pStyle w:val="Compact"/>
            </w:pPr>
            <w:r>
              <w:t>Methods — Participants and MMR status; Figure 1</w:t>
            </w:r>
          </w:p>
        </w:tc>
        <w:tc>
          <w:tcPr>
            <w:tcW w:w="1903" w:type="pct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481237A" w14:textId="77777777" w:rsidR="004D611B" w:rsidRDefault="00000000">
            <w:pPr>
              <w:pStyle w:val="Compact"/>
            </w:pPr>
            <w:r>
              <w:t>Eligibility, post-enrolment exclusions, and analysis populations stated.</w:t>
            </w:r>
          </w:p>
        </w:tc>
      </w:tr>
      <w:tr w:rsidR="004D611B" w14:paraId="24A15565" w14:textId="77777777" w:rsidTr="00377577">
        <w:trPr>
          <w:cantSplit/>
          <w:jc w:val="center"/>
        </w:trPr>
        <w:tc>
          <w:tcPr>
            <w:tcW w:w="336" w:type="pct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4DA26D6" w14:textId="77777777" w:rsidR="004D611B" w:rsidRDefault="00000000">
            <w:pPr>
              <w:pStyle w:val="Compact"/>
            </w:pPr>
            <w:r>
              <w:t>7</w:t>
            </w:r>
          </w:p>
        </w:tc>
        <w:tc>
          <w:tcPr>
            <w:tcW w:w="1605" w:type="pct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010CC04" w14:textId="77777777" w:rsidR="004D611B" w:rsidRDefault="00000000">
            <w:pPr>
              <w:pStyle w:val="Compact"/>
            </w:pPr>
            <w:r>
              <w:t>Variables</w:t>
            </w:r>
          </w:p>
        </w:tc>
        <w:tc>
          <w:tcPr>
            <w:tcW w:w="1157" w:type="pct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F6F7AFD" w14:textId="77777777" w:rsidR="004D611B" w:rsidRDefault="00000000">
            <w:pPr>
              <w:pStyle w:val="Compact"/>
            </w:pPr>
            <w:r>
              <w:t>Methods — Clinical nodal variables; Pathology, outcomes and statistics</w:t>
            </w:r>
          </w:p>
        </w:tc>
        <w:tc>
          <w:tcPr>
            <w:tcW w:w="1903" w:type="pct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2CE04F7" w14:textId="77777777" w:rsidR="004D611B" w:rsidRDefault="00000000">
            <w:pPr>
              <w:pStyle w:val="Compact"/>
            </w:pPr>
            <w:r>
              <w:t>Index tests, reference standard, MMR, and outcomes defined.</w:t>
            </w:r>
          </w:p>
        </w:tc>
      </w:tr>
      <w:tr w:rsidR="004D611B" w14:paraId="2E370566" w14:textId="77777777" w:rsidTr="00377577">
        <w:trPr>
          <w:cantSplit/>
          <w:jc w:val="center"/>
        </w:trPr>
        <w:tc>
          <w:tcPr>
            <w:tcW w:w="336" w:type="pct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C55B91D" w14:textId="77777777" w:rsidR="004D611B" w:rsidRDefault="00000000">
            <w:pPr>
              <w:pStyle w:val="Compact"/>
            </w:pPr>
            <w:r>
              <w:t>8</w:t>
            </w:r>
          </w:p>
        </w:tc>
        <w:tc>
          <w:tcPr>
            <w:tcW w:w="1605" w:type="pct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FAB7AEE" w14:textId="77777777" w:rsidR="004D611B" w:rsidRDefault="00000000">
            <w:pPr>
              <w:pStyle w:val="Compact"/>
            </w:pPr>
            <w:r>
              <w:t>Data sources/measurement</w:t>
            </w:r>
          </w:p>
        </w:tc>
        <w:tc>
          <w:tcPr>
            <w:tcW w:w="1157" w:type="pct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097DDCB" w14:textId="77777777" w:rsidR="004D611B" w:rsidRDefault="00000000">
            <w:pPr>
              <w:pStyle w:val="Compact"/>
            </w:pPr>
            <w:r>
              <w:t>Methods — Clinical nodal variables; ICG-guided SLNB and lymphatic mapping; Pathology, outcomes and statistics</w:t>
            </w:r>
          </w:p>
        </w:tc>
        <w:tc>
          <w:tcPr>
            <w:tcW w:w="1903" w:type="pct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D248CB6" w14:textId="77777777" w:rsidR="004D611B" w:rsidRDefault="00000000">
            <w:pPr>
              <w:pStyle w:val="Compact"/>
            </w:pPr>
            <w:r>
              <w:t>CT review, operative/ex-vivo assessment, ICG procedure, and pathology described.</w:t>
            </w:r>
          </w:p>
        </w:tc>
      </w:tr>
      <w:tr w:rsidR="004D611B" w14:paraId="25C6E867" w14:textId="77777777" w:rsidTr="00377577">
        <w:trPr>
          <w:cantSplit/>
          <w:jc w:val="center"/>
        </w:trPr>
        <w:tc>
          <w:tcPr>
            <w:tcW w:w="336" w:type="pct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FD6E775" w14:textId="77777777" w:rsidR="004D611B" w:rsidRDefault="00000000">
            <w:pPr>
              <w:pStyle w:val="Compact"/>
            </w:pPr>
            <w:r>
              <w:t>9</w:t>
            </w:r>
          </w:p>
        </w:tc>
        <w:tc>
          <w:tcPr>
            <w:tcW w:w="1605" w:type="pct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27A3F55" w14:textId="77777777" w:rsidR="004D611B" w:rsidRDefault="00000000">
            <w:pPr>
              <w:pStyle w:val="Compact"/>
            </w:pPr>
            <w:r>
              <w:t>Bias</w:t>
            </w:r>
          </w:p>
        </w:tc>
        <w:tc>
          <w:tcPr>
            <w:tcW w:w="1157" w:type="pct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6DC72D3" w14:textId="77777777" w:rsidR="004D611B" w:rsidRDefault="00000000">
            <w:pPr>
              <w:pStyle w:val="Compact"/>
            </w:pPr>
            <w:r>
              <w:t>Methods; Discussion</w:t>
            </w:r>
          </w:p>
        </w:tc>
        <w:tc>
          <w:tcPr>
            <w:tcW w:w="1903" w:type="pct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22DE56A" w14:textId="77777777" w:rsidR="004D611B" w:rsidRDefault="00000000">
            <w:pPr>
              <w:pStyle w:val="Compact"/>
            </w:pPr>
            <w:r>
              <w:t>Non-consecutive enrolment, incorporation bias, confounding, and measurement limitations disclosed.</w:t>
            </w:r>
          </w:p>
        </w:tc>
      </w:tr>
      <w:tr w:rsidR="004D611B" w14:paraId="2DF3CCA7" w14:textId="77777777" w:rsidTr="00377577">
        <w:trPr>
          <w:cantSplit/>
          <w:jc w:val="center"/>
        </w:trPr>
        <w:tc>
          <w:tcPr>
            <w:tcW w:w="336" w:type="pct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ACE898A" w14:textId="77777777" w:rsidR="004D611B" w:rsidRDefault="00000000">
            <w:pPr>
              <w:pStyle w:val="Compact"/>
            </w:pPr>
            <w:r>
              <w:t>10</w:t>
            </w:r>
          </w:p>
        </w:tc>
        <w:tc>
          <w:tcPr>
            <w:tcW w:w="1605" w:type="pct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07F4FF8" w14:textId="77777777" w:rsidR="004D611B" w:rsidRDefault="00000000">
            <w:pPr>
              <w:pStyle w:val="Compact"/>
            </w:pPr>
            <w:r>
              <w:t>Study size</w:t>
            </w:r>
          </w:p>
        </w:tc>
        <w:tc>
          <w:tcPr>
            <w:tcW w:w="1157" w:type="pct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F2BB8F4" w14:textId="77777777" w:rsidR="004D611B" w:rsidRDefault="00000000">
            <w:pPr>
              <w:pStyle w:val="Compact"/>
            </w:pPr>
            <w:r>
              <w:t>Methods — Study design and setting</w:t>
            </w:r>
          </w:p>
        </w:tc>
        <w:tc>
          <w:tcPr>
            <w:tcW w:w="1903" w:type="pct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B635D00" w14:textId="77777777" w:rsidR="004D611B" w:rsidRDefault="00000000">
            <w:pPr>
              <w:pStyle w:val="Compact"/>
            </w:pPr>
            <w:r>
              <w:t>No sample-size calculation; exploratory cohort stated.</w:t>
            </w:r>
          </w:p>
        </w:tc>
      </w:tr>
      <w:tr w:rsidR="004D611B" w14:paraId="6E284735" w14:textId="77777777" w:rsidTr="00377577">
        <w:trPr>
          <w:cantSplit/>
          <w:jc w:val="center"/>
        </w:trPr>
        <w:tc>
          <w:tcPr>
            <w:tcW w:w="336" w:type="pct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CFEDBAF" w14:textId="77777777" w:rsidR="004D611B" w:rsidRDefault="00000000">
            <w:pPr>
              <w:pStyle w:val="Compact"/>
            </w:pPr>
            <w:r>
              <w:t>11</w:t>
            </w:r>
          </w:p>
        </w:tc>
        <w:tc>
          <w:tcPr>
            <w:tcW w:w="1605" w:type="pct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83ED18B" w14:textId="77777777" w:rsidR="004D611B" w:rsidRDefault="00000000">
            <w:pPr>
              <w:pStyle w:val="Compact"/>
            </w:pPr>
            <w:r>
              <w:t>Quantitative variables</w:t>
            </w:r>
          </w:p>
        </w:tc>
        <w:tc>
          <w:tcPr>
            <w:tcW w:w="1157" w:type="pct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CF99CD5" w14:textId="77777777" w:rsidR="004D611B" w:rsidRDefault="00000000">
            <w:pPr>
              <w:pStyle w:val="Compact"/>
            </w:pPr>
            <w:r>
              <w:t>Methods — Pathology, outcomes and statistics; Table 1</w:t>
            </w:r>
          </w:p>
        </w:tc>
        <w:tc>
          <w:tcPr>
            <w:tcW w:w="1903" w:type="pct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F028155" w14:textId="77777777" w:rsidR="004D611B" w:rsidRDefault="00000000">
            <w:pPr>
              <w:pStyle w:val="Compact"/>
            </w:pPr>
            <w:r>
              <w:t>Handling and summaries of continuous variables stated.</w:t>
            </w:r>
          </w:p>
        </w:tc>
      </w:tr>
      <w:tr w:rsidR="004D611B" w14:paraId="6F92F7FF" w14:textId="77777777" w:rsidTr="00377577">
        <w:trPr>
          <w:cantSplit/>
          <w:jc w:val="center"/>
        </w:trPr>
        <w:tc>
          <w:tcPr>
            <w:tcW w:w="336" w:type="pct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A40B856" w14:textId="77777777" w:rsidR="004D611B" w:rsidRDefault="00000000">
            <w:pPr>
              <w:pStyle w:val="Compact"/>
            </w:pPr>
            <w:r>
              <w:lastRenderedPageBreak/>
              <w:t>12</w:t>
            </w:r>
          </w:p>
        </w:tc>
        <w:tc>
          <w:tcPr>
            <w:tcW w:w="1605" w:type="pct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FEC8D4A" w14:textId="77777777" w:rsidR="004D611B" w:rsidRDefault="00000000">
            <w:pPr>
              <w:pStyle w:val="Compact"/>
            </w:pPr>
            <w:r>
              <w:t>Statistical methods</w:t>
            </w:r>
          </w:p>
        </w:tc>
        <w:tc>
          <w:tcPr>
            <w:tcW w:w="1157" w:type="pct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0F525BF" w14:textId="77777777" w:rsidR="004D611B" w:rsidRDefault="00000000">
            <w:pPr>
              <w:pStyle w:val="Compact"/>
            </w:pPr>
            <w:r>
              <w:t>Methods — Pathology, outcomes and statistics; Additional file 1</w:t>
            </w:r>
          </w:p>
        </w:tc>
        <w:tc>
          <w:tcPr>
            <w:tcW w:w="1903" w:type="pct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7B616BD" w14:textId="77777777" w:rsidR="004D611B" w:rsidRDefault="00000000">
            <w:pPr>
              <w:pStyle w:val="Compact"/>
            </w:pPr>
            <w:r>
              <w:t>Fisher exact, Mann–Whitney U, Cohen kappa, Wilson intervals for proportions, Newcombe hybrid-score intervals for differences, and paired bootstrap. No multivariable adjustment, with the reason stated (13 nodal events). A post hoc Bonferroni sensitivity analysis across four comparisons is reported. All comparisons are labelled post hoc.</w:t>
            </w:r>
          </w:p>
        </w:tc>
      </w:tr>
      <w:tr w:rsidR="004D611B" w14:paraId="6FDD7053" w14:textId="77777777" w:rsidTr="00377577">
        <w:trPr>
          <w:cantSplit/>
          <w:jc w:val="center"/>
        </w:trPr>
        <w:tc>
          <w:tcPr>
            <w:tcW w:w="336" w:type="pct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440D956" w14:textId="77777777" w:rsidR="004D611B" w:rsidRDefault="00000000">
            <w:pPr>
              <w:pStyle w:val="Compact"/>
            </w:pPr>
            <w:r>
              <w:t>13</w:t>
            </w:r>
          </w:p>
        </w:tc>
        <w:tc>
          <w:tcPr>
            <w:tcW w:w="1605" w:type="pct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6DEA110" w14:textId="77777777" w:rsidR="004D611B" w:rsidRDefault="00000000">
            <w:pPr>
              <w:pStyle w:val="Compact"/>
            </w:pPr>
            <w:r>
              <w:t>Participants</w:t>
            </w:r>
          </w:p>
        </w:tc>
        <w:tc>
          <w:tcPr>
            <w:tcW w:w="1157" w:type="pct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5D5E782" w14:textId="77777777" w:rsidR="004D611B" w:rsidRDefault="00000000">
            <w:pPr>
              <w:pStyle w:val="Compact"/>
            </w:pPr>
            <w:r>
              <w:t>Figure 1; Results — Cohort and MMR distribution</w:t>
            </w:r>
          </w:p>
        </w:tc>
        <w:tc>
          <w:tcPr>
            <w:tcW w:w="1903" w:type="pct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A1F5A72" w14:textId="77777777" w:rsidR="004D611B" w:rsidRDefault="00000000">
            <w:pPr>
              <w:pStyle w:val="Compact"/>
            </w:pPr>
            <w:r>
              <w:t>145 resections, 42 enrolled, two exclusions, n=40/n=38/n=36 sets shown. Reasons and eligibility for 103 non-enrolled patients were not captured. Tumour sidedness and mismatch-repair status were both benchmarked against the 103 non-enrolled resections (sidedness 72.5% vs 62.1%, p = 0.33, and dMMR 36.8% vs 30.3%, p = 0.54).</w:t>
            </w:r>
          </w:p>
        </w:tc>
      </w:tr>
      <w:tr w:rsidR="004D611B" w14:paraId="2197A07B" w14:textId="77777777" w:rsidTr="00377577">
        <w:trPr>
          <w:cantSplit/>
          <w:jc w:val="center"/>
        </w:trPr>
        <w:tc>
          <w:tcPr>
            <w:tcW w:w="336" w:type="pct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D2B00BD" w14:textId="77777777" w:rsidR="004D611B" w:rsidRDefault="00000000">
            <w:pPr>
              <w:pStyle w:val="Compact"/>
            </w:pPr>
            <w:r>
              <w:t>14</w:t>
            </w:r>
          </w:p>
        </w:tc>
        <w:tc>
          <w:tcPr>
            <w:tcW w:w="1605" w:type="pct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5C80B62" w14:textId="77777777" w:rsidR="004D611B" w:rsidRDefault="00000000">
            <w:pPr>
              <w:pStyle w:val="Compact"/>
            </w:pPr>
            <w:r>
              <w:t>Descriptive data</w:t>
            </w:r>
          </w:p>
        </w:tc>
        <w:tc>
          <w:tcPr>
            <w:tcW w:w="1157" w:type="pct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6697556" w14:textId="77777777" w:rsidR="004D611B" w:rsidRDefault="00000000">
            <w:pPr>
              <w:pStyle w:val="Compact"/>
            </w:pPr>
            <w:r>
              <w:t>Results; Table 1</w:t>
            </w:r>
          </w:p>
        </w:tc>
        <w:tc>
          <w:tcPr>
            <w:tcW w:w="1903" w:type="pct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6C729B4" w14:textId="77777777" w:rsidR="004D611B" w:rsidRDefault="00000000">
            <w:pPr>
              <w:pStyle w:val="Compact"/>
            </w:pPr>
            <w:r>
              <w:t>Baseline characteristics and missing MMR status reported.</w:t>
            </w:r>
          </w:p>
        </w:tc>
      </w:tr>
      <w:tr w:rsidR="004D611B" w14:paraId="6E95FE48" w14:textId="77777777" w:rsidTr="00377577">
        <w:trPr>
          <w:cantSplit/>
          <w:jc w:val="center"/>
        </w:trPr>
        <w:tc>
          <w:tcPr>
            <w:tcW w:w="336" w:type="pct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0F44A1A" w14:textId="77777777" w:rsidR="004D611B" w:rsidRDefault="00000000">
            <w:pPr>
              <w:pStyle w:val="Compact"/>
            </w:pPr>
            <w:r>
              <w:t>15</w:t>
            </w:r>
          </w:p>
        </w:tc>
        <w:tc>
          <w:tcPr>
            <w:tcW w:w="1605" w:type="pct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6CBA2DC" w14:textId="77777777" w:rsidR="004D611B" w:rsidRDefault="00000000">
            <w:pPr>
              <w:pStyle w:val="Compact"/>
            </w:pPr>
            <w:r>
              <w:t>Outcome data</w:t>
            </w:r>
          </w:p>
        </w:tc>
        <w:tc>
          <w:tcPr>
            <w:tcW w:w="1157" w:type="pct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D339C7B" w14:textId="77777777" w:rsidR="004D611B" w:rsidRDefault="00000000">
            <w:pPr>
              <w:pStyle w:val="Compact"/>
            </w:pPr>
            <w:r>
              <w:t>Results; Tables 2–4</w:t>
            </w:r>
          </w:p>
        </w:tc>
        <w:tc>
          <w:tcPr>
            <w:tcW w:w="1903" w:type="pct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006C3E6" w14:textId="77777777" w:rsidR="004D611B" w:rsidRDefault="00000000">
            <w:pPr>
              <w:pStyle w:val="Compact"/>
            </w:pPr>
            <w:r>
              <w:t>Clinical nodal findings, ICG-SLNB, ultrastaging, and safety reported.</w:t>
            </w:r>
          </w:p>
        </w:tc>
      </w:tr>
      <w:tr w:rsidR="004D611B" w14:paraId="2D30A517" w14:textId="77777777" w:rsidTr="00377577">
        <w:trPr>
          <w:cantSplit/>
          <w:jc w:val="center"/>
        </w:trPr>
        <w:tc>
          <w:tcPr>
            <w:tcW w:w="336" w:type="pct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B49050C" w14:textId="77777777" w:rsidR="004D611B" w:rsidRDefault="00000000">
            <w:pPr>
              <w:pStyle w:val="Compact"/>
            </w:pPr>
            <w:r>
              <w:lastRenderedPageBreak/>
              <w:t>16</w:t>
            </w:r>
          </w:p>
        </w:tc>
        <w:tc>
          <w:tcPr>
            <w:tcW w:w="1605" w:type="pct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B535EA0" w14:textId="77777777" w:rsidR="004D611B" w:rsidRDefault="00000000">
            <w:pPr>
              <w:pStyle w:val="Compact"/>
            </w:pPr>
            <w:r>
              <w:t>Main results</w:t>
            </w:r>
          </w:p>
        </w:tc>
        <w:tc>
          <w:tcPr>
            <w:tcW w:w="1157" w:type="pct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861DB9F" w14:textId="77777777" w:rsidR="004D611B" w:rsidRDefault="00000000">
            <w:pPr>
              <w:pStyle w:val="Compact"/>
            </w:pPr>
            <w:r>
              <w:t>Results; Tables 2–4</w:t>
            </w:r>
          </w:p>
        </w:tc>
        <w:tc>
          <w:tcPr>
            <w:tcW w:w="1903" w:type="pct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D331EC7" w14:textId="77777777" w:rsidR="004D611B" w:rsidRDefault="00000000">
            <w:pPr>
              <w:pStyle w:val="Compact"/>
            </w:pPr>
            <w:r>
              <w:t>Counts, denominators and 95% confidence intervals reported throughout. Every main comparison carries an effect estimate with a Newcombe interval, including the non-significant MMR nodal-positivity contrast (risk difference +25.0 percentage points, 95% CI −5.6 to +51.6) and the two case-mix comparisons against the non-enrolled resections. Estimates are unadjusted throughout and the absence of multivariable adjustment is justified in Methods (13 nodal events).</w:t>
            </w:r>
          </w:p>
        </w:tc>
      </w:tr>
      <w:tr w:rsidR="004D611B" w14:paraId="60D055CF" w14:textId="77777777" w:rsidTr="00377577">
        <w:trPr>
          <w:cantSplit/>
          <w:jc w:val="center"/>
        </w:trPr>
        <w:tc>
          <w:tcPr>
            <w:tcW w:w="336" w:type="pct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E3A334E" w14:textId="77777777" w:rsidR="004D611B" w:rsidRDefault="00000000">
            <w:pPr>
              <w:pStyle w:val="Compact"/>
            </w:pPr>
            <w:r>
              <w:t>17</w:t>
            </w:r>
          </w:p>
        </w:tc>
        <w:tc>
          <w:tcPr>
            <w:tcW w:w="1605" w:type="pct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9CF09E8" w14:textId="77777777" w:rsidR="004D611B" w:rsidRDefault="00000000">
            <w:pPr>
              <w:pStyle w:val="Compact"/>
            </w:pPr>
            <w:r>
              <w:t>Other analyses</w:t>
            </w:r>
          </w:p>
        </w:tc>
        <w:tc>
          <w:tcPr>
            <w:tcW w:w="1157" w:type="pct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6BBE990" w14:textId="77777777" w:rsidR="004D611B" w:rsidRDefault="00000000">
            <w:pPr>
              <w:pStyle w:val="Compact"/>
            </w:pPr>
            <w:r>
              <w:t>Results; Additional file 1 (Tables S1–S3)</w:t>
            </w:r>
          </w:p>
        </w:tc>
        <w:tc>
          <w:tcPr>
            <w:tcW w:w="1903" w:type="pct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1FC22D0" w14:textId="77777777" w:rsidR="004D611B" w:rsidRDefault="00000000">
            <w:pPr>
              <w:pStyle w:val="Compact"/>
            </w:pPr>
            <w:r>
              <w:t>MMR-stratified analyses, the post hoc Bonferroni sensitivity analysis (Table S2), and post hoc restriction analyses holding tumour size and grade constant (Table S3). Restriction and intention-to-diagnose analyses reported.</w:t>
            </w:r>
          </w:p>
        </w:tc>
      </w:tr>
      <w:tr w:rsidR="004D611B" w14:paraId="50347756" w14:textId="77777777" w:rsidTr="00377577">
        <w:trPr>
          <w:cantSplit/>
          <w:jc w:val="center"/>
        </w:trPr>
        <w:tc>
          <w:tcPr>
            <w:tcW w:w="336" w:type="pct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378D4A5" w14:textId="77777777" w:rsidR="004D611B" w:rsidRDefault="00000000">
            <w:pPr>
              <w:pStyle w:val="Compact"/>
            </w:pPr>
            <w:r>
              <w:t>18</w:t>
            </w:r>
          </w:p>
        </w:tc>
        <w:tc>
          <w:tcPr>
            <w:tcW w:w="1605" w:type="pct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D828DBE" w14:textId="77777777" w:rsidR="004D611B" w:rsidRDefault="00000000">
            <w:pPr>
              <w:pStyle w:val="Compact"/>
            </w:pPr>
            <w:r>
              <w:t>Key results</w:t>
            </w:r>
          </w:p>
        </w:tc>
        <w:tc>
          <w:tcPr>
            <w:tcW w:w="1157" w:type="pct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48476A8" w14:textId="77777777" w:rsidR="004D611B" w:rsidRDefault="00000000">
            <w:pPr>
              <w:pStyle w:val="Compact"/>
            </w:pPr>
            <w:r>
              <w:t>Discussion, opening paragraph</w:t>
            </w:r>
          </w:p>
        </w:tc>
        <w:tc>
          <w:tcPr>
            <w:tcW w:w="1903" w:type="pct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8C8F38E" w14:textId="77777777" w:rsidR="004D611B" w:rsidRDefault="00000000">
            <w:pPr>
              <w:pStyle w:val="Compact"/>
            </w:pPr>
            <w:r>
              <w:t>Results summarised against objectives.</w:t>
            </w:r>
          </w:p>
        </w:tc>
      </w:tr>
      <w:tr w:rsidR="004D611B" w14:paraId="0924B04D" w14:textId="77777777" w:rsidTr="00377577">
        <w:trPr>
          <w:cantSplit/>
          <w:jc w:val="center"/>
        </w:trPr>
        <w:tc>
          <w:tcPr>
            <w:tcW w:w="336" w:type="pct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7D2F58A" w14:textId="77777777" w:rsidR="004D611B" w:rsidRDefault="00000000">
            <w:pPr>
              <w:pStyle w:val="Compact"/>
            </w:pPr>
            <w:r>
              <w:lastRenderedPageBreak/>
              <w:t>19</w:t>
            </w:r>
          </w:p>
        </w:tc>
        <w:tc>
          <w:tcPr>
            <w:tcW w:w="1605" w:type="pct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32253B3" w14:textId="77777777" w:rsidR="004D611B" w:rsidRDefault="00000000">
            <w:pPr>
              <w:pStyle w:val="Compact"/>
            </w:pPr>
            <w:r>
              <w:t>Limitations</w:t>
            </w:r>
          </w:p>
        </w:tc>
        <w:tc>
          <w:tcPr>
            <w:tcW w:w="1157" w:type="pct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6F1C615" w14:textId="77777777" w:rsidR="004D611B" w:rsidRDefault="00000000">
            <w:pPr>
              <w:pStyle w:val="Compact"/>
            </w:pPr>
            <w:r>
              <w:t>Discussion, terminal limitations paragraphs</w:t>
            </w:r>
          </w:p>
        </w:tc>
        <w:tc>
          <w:tcPr>
            <w:tcW w:w="1903" w:type="pct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448D51E" w14:textId="77777777" w:rsidR="004D611B" w:rsidRDefault="00000000">
            <w:pPr>
              <w:pStyle w:val="Compact"/>
            </w:pPr>
            <w:r>
              <w:t>Selection, size, confounding, measurement, incorporation bias, non-registration and the absence of follow-up reported, with the direction of bias stated. Restriction to a single stratum of size or grade did not abolish the CT-LAP association (Table S3), and this is reported alongside the residual-confounding caveat.</w:t>
            </w:r>
          </w:p>
        </w:tc>
      </w:tr>
      <w:tr w:rsidR="004D611B" w14:paraId="65E3C6C4" w14:textId="77777777" w:rsidTr="00377577">
        <w:trPr>
          <w:cantSplit/>
          <w:jc w:val="center"/>
        </w:trPr>
        <w:tc>
          <w:tcPr>
            <w:tcW w:w="336" w:type="pct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F8C29A0" w14:textId="77777777" w:rsidR="004D611B" w:rsidRDefault="00000000">
            <w:pPr>
              <w:pStyle w:val="Compact"/>
            </w:pPr>
            <w:r>
              <w:t>20</w:t>
            </w:r>
          </w:p>
        </w:tc>
        <w:tc>
          <w:tcPr>
            <w:tcW w:w="1605" w:type="pct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F25CD0C" w14:textId="77777777" w:rsidR="004D611B" w:rsidRDefault="00000000">
            <w:pPr>
              <w:pStyle w:val="Compact"/>
            </w:pPr>
            <w:r>
              <w:t>Interpretation</w:t>
            </w:r>
          </w:p>
        </w:tc>
        <w:tc>
          <w:tcPr>
            <w:tcW w:w="1157" w:type="pct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8380ABF" w14:textId="77777777" w:rsidR="004D611B" w:rsidRDefault="00000000">
            <w:pPr>
              <w:pStyle w:val="Compact"/>
            </w:pPr>
            <w:r>
              <w:t>Discussion; Conclusions</w:t>
            </w:r>
          </w:p>
        </w:tc>
        <w:tc>
          <w:tcPr>
            <w:tcW w:w="1903" w:type="pct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900FC81" w14:textId="77777777" w:rsidR="004D611B" w:rsidRDefault="00000000">
            <w:pPr>
              <w:pStyle w:val="Compact"/>
            </w:pPr>
            <w:r>
              <w:t>Cautious interpretation; multiplicity acknowledged; no causal or practice-changing claim. The unifying mechanism is carried into the Conclusions and is labelled a hypothesis that this cohort does not establish.</w:t>
            </w:r>
          </w:p>
        </w:tc>
      </w:tr>
      <w:tr w:rsidR="004D611B" w14:paraId="10F41196" w14:textId="77777777" w:rsidTr="00377577">
        <w:trPr>
          <w:cantSplit/>
          <w:jc w:val="center"/>
        </w:trPr>
        <w:tc>
          <w:tcPr>
            <w:tcW w:w="336" w:type="pct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E4D283D" w14:textId="77777777" w:rsidR="004D611B" w:rsidRDefault="00000000">
            <w:pPr>
              <w:pStyle w:val="Compact"/>
            </w:pPr>
            <w:r>
              <w:t>21</w:t>
            </w:r>
          </w:p>
        </w:tc>
        <w:tc>
          <w:tcPr>
            <w:tcW w:w="1605" w:type="pct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10DA09A" w14:textId="77777777" w:rsidR="004D611B" w:rsidRDefault="00000000">
            <w:pPr>
              <w:pStyle w:val="Compact"/>
            </w:pPr>
            <w:r>
              <w:t>Generalisability</w:t>
            </w:r>
          </w:p>
        </w:tc>
        <w:tc>
          <w:tcPr>
            <w:tcW w:w="1157" w:type="pct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2D6F1C3" w14:textId="77777777" w:rsidR="004D611B" w:rsidRPr="00377577" w:rsidRDefault="00000000">
            <w:pPr>
              <w:pStyle w:val="Compact"/>
              <w:rPr>
                <w:lang w:val="fr-FR"/>
              </w:rPr>
            </w:pPr>
            <w:r w:rsidRPr="00377577">
              <w:rPr>
                <w:lang w:val="fr-FR"/>
              </w:rPr>
              <w:t xml:space="preserve">Discussion, terminal limitations </w:t>
            </w:r>
            <w:proofErr w:type="spellStart"/>
            <w:proofErr w:type="gramStart"/>
            <w:r w:rsidRPr="00377577">
              <w:rPr>
                <w:lang w:val="fr-FR"/>
              </w:rPr>
              <w:t>paragraphs</w:t>
            </w:r>
            <w:proofErr w:type="spellEnd"/>
            <w:r w:rsidRPr="00377577">
              <w:rPr>
                <w:lang w:val="fr-FR"/>
              </w:rPr>
              <w:t>;</w:t>
            </w:r>
            <w:proofErr w:type="gramEnd"/>
            <w:r w:rsidRPr="00377577">
              <w:rPr>
                <w:lang w:val="fr-FR"/>
              </w:rPr>
              <w:t xml:space="preserve"> Conclusions</w:t>
            </w:r>
          </w:p>
        </w:tc>
        <w:tc>
          <w:tcPr>
            <w:tcW w:w="1903" w:type="pct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B059A10" w14:textId="77777777" w:rsidR="004D611B" w:rsidRDefault="00000000">
            <w:pPr>
              <w:pStyle w:val="Compact"/>
            </w:pPr>
            <w:r>
              <w:t>Stated as a standalone limit in both sections: the estimates describe a single-centre practice setting and should not be extrapolated to centres using different imaging thresholds or sentinel-node protocols.</w:t>
            </w:r>
          </w:p>
        </w:tc>
      </w:tr>
      <w:tr w:rsidR="004D611B" w14:paraId="6DB51E8B" w14:textId="77777777" w:rsidTr="00377577">
        <w:trPr>
          <w:cantSplit/>
          <w:jc w:val="center"/>
        </w:trPr>
        <w:tc>
          <w:tcPr>
            <w:tcW w:w="336" w:type="pct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E535CB0" w14:textId="77777777" w:rsidR="004D611B" w:rsidRDefault="00000000">
            <w:pPr>
              <w:pStyle w:val="Compact"/>
            </w:pPr>
            <w:r>
              <w:t>22</w:t>
            </w:r>
          </w:p>
        </w:tc>
        <w:tc>
          <w:tcPr>
            <w:tcW w:w="1605" w:type="pct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F17CACA" w14:textId="77777777" w:rsidR="004D611B" w:rsidRDefault="00000000">
            <w:pPr>
              <w:pStyle w:val="Compact"/>
            </w:pPr>
            <w:r>
              <w:t>Funding</w:t>
            </w:r>
          </w:p>
        </w:tc>
        <w:tc>
          <w:tcPr>
            <w:tcW w:w="1157" w:type="pct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ECB9527" w14:textId="77777777" w:rsidR="004D611B" w:rsidRDefault="00000000">
            <w:pPr>
              <w:pStyle w:val="Compact"/>
            </w:pPr>
            <w:r>
              <w:t>Declarations — Funding</w:t>
            </w:r>
          </w:p>
        </w:tc>
        <w:tc>
          <w:tcPr>
            <w:tcW w:w="1903" w:type="pct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325D6FA" w14:textId="77777777" w:rsidR="004D611B" w:rsidRDefault="00000000">
            <w:pPr>
              <w:pStyle w:val="Compact"/>
            </w:pPr>
            <w:r>
              <w:t>No specific grant funding.</w:t>
            </w:r>
          </w:p>
        </w:tc>
      </w:tr>
    </w:tbl>
    <w:p w14:paraId="5D317EE3" w14:textId="77777777" w:rsidR="00377577" w:rsidRDefault="00377577">
      <w:pPr>
        <w:spacing w:after="120"/>
        <w:rPr>
          <w:bCs/>
        </w:rPr>
      </w:pPr>
    </w:p>
    <w:p w14:paraId="58619FA6" w14:textId="301CD559" w:rsidR="004D611B" w:rsidRDefault="00000000">
      <w:pPr>
        <w:spacing w:after="120"/>
      </w:pPr>
      <w:r>
        <w:rPr>
          <w:bCs/>
        </w:rPr>
        <w:t>Summary: 21 of 22 items are fully reported. Item 13 is necessarily partial because eligibility and reasons for non-enrolment among the 103 non-enrolled resections were not recorded at the patient level; sidedness and mismatch-repair status were nevertheless compared against that group and are reported in the Limitations. Checklist regenerated 1 August 2026 against the current manuscript, which adds a post hoc size- and grade-restriction analysis (Additional file 1, Table S3) and states generalisability as a standalone limit in both the Limitations and the Conclusions.</w:t>
      </w:r>
      <w:bookmarkEnd w:id="0"/>
    </w:p>
    <w:sectPr w:rsidR="004D611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numRestart w:val="eachSect"/>
      </w:footnotePr>
      <w:pgSz w:w="12240" w:h="15840"/>
      <w:pgMar w:top="1440" w:right="1800" w:bottom="1440" w:left="1800" w:header="454" w:footer="45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4525740A" w14:textId="77777777" w:rsidR="008C57D6" w:rsidRDefault="008C57D6" w:rsidP="00377577">
      <w:pPr>
        <w:spacing w:line="240" w:lineRule="auto"/>
      </w:pPr>
      <w:r>
        <w:separator/>
      </w:r>
    </w:p>
  </w:endnote>
  <w:endnote w:type="continuationSeparator" w:id="0">
    <w:p w14:paraId="0FF30179" w14:textId="77777777" w:rsidR="008C57D6" w:rsidRDefault="008C57D6" w:rsidP="0037757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nsolas">
    <w:panose1 w:val="020B0609020204030204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961FD22" w14:textId="77777777" w:rsidR="00377577" w:rsidRDefault="003775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4CA66A0" w14:textId="77777777" w:rsidR="00377577" w:rsidRDefault="003775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964EE74" w14:textId="77777777" w:rsidR="00377577" w:rsidRDefault="003775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6A25BBCA" w14:textId="77777777" w:rsidR="008C57D6" w:rsidRDefault="008C57D6" w:rsidP="00377577">
      <w:pPr>
        <w:spacing w:line="240" w:lineRule="auto"/>
      </w:pPr>
      <w:r>
        <w:separator/>
      </w:r>
    </w:p>
  </w:footnote>
  <w:footnote w:type="continuationSeparator" w:id="0">
    <w:p w14:paraId="188CAC6F" w14:textId="77777777" w:rsidR="008C57D6" w:rsidRDefault="008C57D6" w:rsidP="0037757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04019F8" w14:textId="77777777" w:rsidR="00377577" w:rsidRDefault="003775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FFBCF85" w14:textId="77777777" w:rsidR="00377577" w:rsidRDefault="0037757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A0E078B" w14:textId="77777777" w:rsidR="00377577" w:rsidRDefault="003775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000A990"/>
    <w:multiLevelType w:val="multilevel"/>
    <w:tmpl w:val="1BBC51E4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" w16cid:durableId="522128745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67"/>
  <w:embedSystemFonts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611B"/>
    <w:rsid w:val="00377577"/>
    <w:rsid w:val="004D611B"/>
    <w:rsid w:val="0081329F"/>
    <w:rsid w:val="008414DA"/>
    <w:rsid w:val="008C57D6"/>
    <w:rsid w:val="00FD0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94C0BA1"/>
  <w15:docId w15:val="{46CAE7D3-659D-BC4E-A9AE-C7AA1BA754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pacing w:after="0" w:line="276" w:lineRule="auto"/>
    </w:pPr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qFormat/>
    <w:pPr>
      <w:spacing w:before="180" w:after="180"/>
    </w:pPr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10FD9"/>
    <w:rPr>
      <w:rFonts w:asciiTheme="majorHAnsi" w:eastAsiaTheme="majorEastAsia" w:hAnsiTheme="majorHAnsi" w:cstheme="majorBidi"/>
      <w:sz w:val="56"/>
      <w:szCs w:val="56"/>
    </w:rPr>
  </w:style>
  <w:style w:type="paragraph" w:styleId="Subtitle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10F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customStyle="1" w:styleId="Author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type="paragraph" w:styleId="Date">
    <w:name w:val="Date"/>
    <w:basedOn w:val="Title"/>
    <w:next w:val="BodyText"/>
    <w:qFormat/>
    <w:pPr>
      <w:keepNext/>
      <w:keepLines/>
    </w:pPr>
    <w:rPr>
      <w:sz w:val="24"/>
      <w:szCs w:val="24"/>
    </w:rPr>
  </w:style>
  <w:style w:type="paragraph" w:customStyle="1" w:styleId="AbstractTitle">
    <w:name w:val="Abstract Title"/>
    <w:basedOn w:val="Normal"/>
    <w:next w:val="Abstract"/>
    <w:qFormat/>
    <w:pPr>
      <w:keepNext/>
      <w:keepLines/>
      <w:spacing w:before="300"/>
      <w:jc w:val="center"/>
    </w:pPr>
    <w:rPr>
      <w:b/>
      <w:sz w:val="20"/>
      <w:szCs w:val="20"/>
    </w:rPr>
  </w:style>
  <w:style w:type="paragraph" w:customStyle="1" w:styleId="Abstract">
    <w:name w:val="Abstract"/>
    <w:basedOn w:val="Normal"/>
    <w:next w:val="BodyText"/>
    <w:qFormat/>
    <w:pPr>
      <w:keepNext/>
      <w:keepLines/>
      <w:spacing w:before="100" w:after="300"/>
    </w:pPr>
    <w:rPr>
      <w:sz w:val="20"/>
      <w:szCs w:val="20"/>
    </w:rPr>
  </w:style>
  <w:style w:type="paragraph" w:styleId="Bibliography">
    <w:name w:val="Bibliography"/>
    <w:basedOn w:val="Normal"/>
    <w:qFormat/>
  </w:style>
  <w:style w:type="character" w:customStyle="1" w:styleId="Heading1Char">
    <w:name w:val="Heading 1 Char"/>
    <w:basedOn w:val="DefaultParagraphFont"/>
    <w:link w:val="Heading1"/>
    <w:uiPriority w:val="9"/>
    <w:rsid w:val="00A10F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10F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10F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10FD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10FD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10FD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10FD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10FD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10FD9"/>
    <w:rPr>
      <w:rFonts w:eastAsiaTheme="majorEastAsia" w:cstheme="majorBidi"/>
      <w:color w:val="272727" w:themeColor="text1" w:themeTint="D8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left="480" w:right="480"/>
    </w:pPr>
  </w:style>
  <w:style w:type="paragraph" w:styleId="FootnoteText">
    <w:name w:val="footnote text"/>
    <w:basedOn w:val="Normal"/>
    <w:uiPriority w:val="9"/>
    <w:unhideWhenUsed/>
    <w:qFormat/>
  </w:style>
  <w:style w:type="paragraph" w:customStyle="1" w:styleId="FootnoteBlockText">
    <w:name w:val="Footnote Block Text"/>
    <w:basedOn w:val="FootnoteText"/>
    <w:next w:val="FootnoteText"/>
    <w:uiPriority w:val="9"/>
    <w:unhideWhenUsed/>
    <w:qFormat/>
    <w:pPr>
      <w:spacing w:before="100" w:after="100"/>
      <w:ind w:left="480" w:right="480"/>
    </w:pPr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Normal"/>
    <w:next w:val="Definition"/>
    <w:pPr>
      <w:keepNext/>
      <w:keepLines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CaptionChar"/>
    <w:pPr>
      <w:spacing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CaptionChar">
    <w:name w:val="Caption Char"/>
    <w:basedOn w:val="DefaultParagraphFont"/>
    <w:link w:val="Caption"/>
  </w:style>
  <w:style w:type="character" w:customStyle="1" w:styleId="VerbatimChar">
    <w:name w:val="Verbatim Char"/>
    <w:basedOn w:val="CaptionChar"/>
    <w:link w:val="SourceCode"/>
    <w:rPr>
      <w:rFonts w:ascii="Consolas" w:hAnsi="Consolas"/>
      <w:sz w:val="22"/>
    </w:rPr>
  </w:style>
  <w:style w:type="character" w:customStyle="1" w:styleId="SectionNumber">
    <w:name w:val="Section Number"/>
    <w:basedOn w:val="CaptionChar"/>
  </w:style>
  <w:style w:type="character" w:styleId="FootnoteReference">
    <w:name w:val="footnote reference"/>
    <w:basedOn w:val="CaptionChar"/>
    <w:rPr>
      <w:vertAlign w:val="superscript"/>
    </w:rPr>
  </w:style>
  <w:style w:type="character" w:styleId="Hyperlink">
    <w:name w:val="Hyperlink"/>
    <w:basedOn w:val="CaptionChar"/>
    <w:rPr>
      <w:color w:val="156082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</w:style>
  <w:style w:type="paragraph" w:customStyle="1" w:styleId="SourceCode">
    <w:name w:val="Source Code"/>
    <w:basedOn w:val="Normal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Pr>
      <w:rFonts w:ascii="Consolas" w:hAnsi="Consolas"/>
      <w:b/>
      <w:color w:val="008000"/>
      <w:sz w:val="22"/>
    </w:rPr>
  </w:style>
  <w:style w:type="character" w:customStyle="1" w:styleId="CommentTok">
    <w:name w:val="CommentTok"/>
    <w:basedOn w:val="VerbatimChar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Pr>
      <w:rFonts w:ascii="Consolas" w:hAnsi="Consolas"/>
      <w:color w:val="008000"/>
      <w:sz w:val="22"/>
    </w:rPr>
  </w:style>
  <w:style w:type="character" w:customStyle="1" w:styleId="ExtensionTok">
    <w:name w:val="ExtensionTok"/>
    <w:basedOn w:val="VerbatimChar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Pr>
      <w:rFonts w:ascii="Consolas" w:hAnsi="Consolas"/>
      <w:sz w:val="22"/>
    </w:rPr>
  </w:style>
  <w:style w:type="paragraph" w:styleId="Header">
    <w:name w:val="header"/>
    <w:basedOn w:val="Normal"/>
    <w:link w:val="HeaderChar"/>
    <w:rsid w:val="00377577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rsid w:val="00377577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rsid w:val="00377577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rsid w:val="00377577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67EDFC28-2DE1-924A-ADCA-524F825814E9}">
  <we:reference id="WA200010453" version="1.0.0.1" store="Omex" storeType="OMEX"/>
  <we:alternateReferences>
    <we:reference id="WA200010453" version="1.0.0.1" store="WA200010453" storeType="OMEX"/>
  </we:alternateReferences>
  <we:properties>
    <we:property name="claude.fileId" value="&quot;06b87daa-c923-4e5e-9f47-f4d237641ce3&quot;"/>
  </we:properties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733</Words>
  <Characters>4823</Characters>
  <Application>Microsoft Office Word</Application>
  <DocSecurity>0</DocSecurity>
  <Lines>229</Lines>
  <Paragraphs>111</Paragraphs>
  <ScaleCrop>false</ScaleCrop>
  <Company/>
  <LinksUpToDate>false</LinksUpToDate>
  <CharactersWithSpaces>5445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STROBE reporting checklist</dc:title>
  <dc:creator>Teodor Staněk</dc:creator>
  <cp:keywords/>
  <cp:lastModifiedBy>Teodor Staněk</cp:lastModifiedBy>
  <cp:revision>3</cp:revision>
  <dcterms:created xsi:type="dcterms:W3CDTF">2026-08-02T17:36:00Z</dcterms:created>
  <dcterms:modified xsi:type="dcterms:W3CDTF">2026-08-02T17:36:00Z</dcterms:modified>
</cp:coreProperties>
</file>