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5ACF99" w14:textId="77777777" w:rsidR="00E54CEB" w:rsidRDefault="00000000" w:rsidP="001F3172">
      <w:pPr>
        <w:spacing w:after="120"/>
        <w:jc w:val="center"/>
        <w:rPr>
          <w:b/>
          <w:sz w:val="32"/>
          <w:szCs w:val="28"/>
        </w:rPr>
      </w:pPr>
      <w:bookmarkStart w:id="0" w:name="stard-2015-reporting-checklist"/>
      <w:r w:rsidRPr="001F3172">
        <w:rPr>
          <w:b/>
          <w:sz w:val="32"/>
          <w:szCs w:val="28"/>
        </w:rPr>
        <w:t>STARD 2015 reporting checklist</w:t>
      </w:r>
    </w:p>
    <w:p w14:paraId="0D71576D" w14:textId="77777777" w:rsidR="001F3172" w:rsidRPr="001F3172" w:rsidRDefault="001F3172" w:rsidP="001F3172">
      <w:pPr>
        <w:spacing w:after="120"/>
        <w:jc w:val="center"/>
        <w:rPr>
          <w:sz w:val="28"/>
          <w:szCs w:val="28"/>
        </w:rPr>
      </w:pPr>
    </w:p>
    <w:p w14:paraId="6EDAD9E6" w14:textId="77777777" w:rsidR="00E54CEB" w:rsidRDefault="00000000">
      <w:pPr>
        <w:spacing w:after="120"/>
      </w:pPr>
      <w:r w:rsidRPr="001F3172">
        <w:rPr>
          <w:b/>
        </w:rPr>
        <w:t>Manuscript:</w:t>
      </w:r>
      <w:r>
        <w:rPr>
          <w:bCs/>
        </w:rPr>
        <w:t xml:space="preserve"> Clinical nodal findings and indocyanine green-guided sentinel-node mapping in non-metastatic colon cancer: an exploratory prospective cohort stratified by postoperative mismatch-repair status</w:t>
      </w:r>
    </w:p>
    <w:p w14:paraId="5CE64B08" w14:textId="77777777" w:rsidR="00E54CEB" w:rsidRDefault="00000000">
      <w:pPr>
        <w:spacing w:after="120"/>
      </w:pPr>
      <w:r w:rsidRPr="001F3172">
        <w:rPr>
          <w:b/>
        </w:rPr>
        <w:t>Diagnostic component:</w:t>
      </w:r>
      <w:r>
        <w:t xml:space="preserve"> Clinical nodal variables and ICG-SLNB versus final whole-specimen pathological nodal status within a prospective observational cohort.</w:t>
      </w:r>
    </w:p>
    <w:p w14:paraId="5B237CDA" w14:textId="77777777" w:rsidR="001F3172" w:rsidRDefault="001F3172">
      <w:pPr>
        <w:spacing w:after="120"/>
      </w:pPr>
    </w:p>
    <w:tbl>
      <w:tblPr>
        <w:tblStyle w:val="Table"/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80"/>
        <w:gridCol w:w="2773"/>
        <w:gridCol w:w="1999"/>
        <w:gridCol w:w="3288"/>
      </w:tblGrid>
      <w:tr w:rsidR="00E54CEB" w14:paraId="6B9E59A0" w14:textId="77777777" w:rsidTr="001F31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9D96320" w14:textId="77777777" w:rsidR="00E54CEB" w:rsidRDefault="00000000">
            <w:pPr>
              <w:pStyle w:val="Compact"/>
            </w:pPr>
            <w:r>
              <w:rPr>
                <w:b/>
              </w:rPr>
              <w:t>No.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3BC87B5" w14:textId="77777777" w:rsidR="00E54CEB" w:rsidRDefault="00000000">
            <w:pPr>
              <w:pStyle w:val="Compact"/>
            </w:pPr>
            <w:r>
              <w:rPr>
                <w:b/>
              </w:rPr>
              <w:t>STARD item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2AF16BA" w14:textId="77777777" w:rsidR="00E54CEB" w:rsidRDefault="00000000">
            <w:pPr>
              <w:pStyle w:val="Compact"/>
            </w:pPr>
            <w:r>
              <w:rPr>
                <w:b/>
              </w:rPr>
              <w:t>Status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207ADAB" w14:textId="77777777" w:rsidR="00E54CEB" w:rsidRDefault="00000000">
            <w:pPr>
              <w:pStyle w:val="Compact"/>
            </w:pPr>
            <w:r>
              <w:rPr>
                <w:b/>
              </w:rPr>
              <w:t>Reported in or explanation</w:t>
            </w:r>
          </w:p>
        </w:tc>
      </w:tr>
      <w:tr w:rsidR="00E54CEB" w14:paraId="4BE8FD9F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14D88" w14:textId="77777777" w:rsidR="00E54CEB" w:rsidRDefault="00000000">
            <w:pPr>
              <w:pStyle w:val="Compact"/>
            </w:pPr>
            <w:r>
              <w:t>1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81E5E" w14:textId="77777777" w:rsidR="00E54CEB" w:rsidRDefault="00000000">
            <w:pPr>
              <w:pStyle w:val="Compact"/>
            </w:pPr>
            <w:r>
              <w:t>Diagnostic accuracy identified with an accuracy measure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1CC53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84D44" w14:textId="77777777" w:rsidR="00E54CEB" w:rsidRDefault="00000000">
            <w:pPr>
              <w:pStyle w:val="Compact"/>
            </w:pPr>
            <w:r>
              <w:t>Abstract — sensitivity, specificity and negative predictive value. STARD 2015 places item 1 under “Title or abstract”. The title names the design rather than an accuracy measure because every diagnostic-accuracy estimate in this study is post hoc and exploratory; identification is therefore made in the Abstract.</w:t>
            </w:r>
          </w:p>
        </w:tc>
      </w:tr>
      <w:tr w:rsidR="00E54CEB" w14:paraId="1E99AB15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6A762" w14:textId="77777777" w:rsidR="00E54CEB" w:rsidRDefault="00000000">
            <w:pPr>
              <w:pStyle w:val="Compact"/>
            </w:pPr>
            <w:r>
              <w:t>2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046A6" w14:textId="77777777" w:rsidR="00E54CEB" w:rsidRDefault="00000000">
            <w:pPr>
              <w:pStyle w:val="Compact"/>
            </w:pPr>
            <w:r>
              <w:t>Structured abstract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3254C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AAA08" w14:textId="77777777" w:rsidR="00E54CEB" w:rsidRDefault="00000000">
            <w:pPr>
              <w:pStyle w:val="Compact"/>
            </w:pPr>
            <w:r>
              <w:t>Abstract.</w:t>
            </w:r>
          </w:p>
        </w:tc>
      </w:tr>
      <w:tr w:rsidR="00E54CEB" w14:paraId="0C42385E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5049F" w14:textId="77777777" w:rsidR="00E54CEB" w:rsidRDefault="00000000">
            <w:pPr>
              <w:pStyle w:val="Compact"/>
            </w:pPr>
            <w:r>
              <w:t>3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EFFE2" w14:textId="77777777" w:rsidR="00E54CEB" w:rsidRDefault="00000000">
            <w:pPr>
              <w:pStyle w:val="Compact"/>
            </w:pPr>
            <w:r>
              <w:t>Background, intended use, and clinical role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B5CD0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47DFD" w14:textId="77777777" w:rsidR="00E54CEB" w:rsidRDefault="00000000">
            <w:pPr>
              <w:pStyle w:val="Compact"/>
            </w:pPr>
            <w:r>
              <w:t>Background.</w:t>
            </w:r>
          </w:p>
        </w:tc>
      </w:tr>
      <w:tr w:rsidR="00E54CEB" w14:paraId="4FE6E541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91F60" w14:textId="77777777" w:rsidR="00E54CEB" w:rsidRDefault="00000000">
            <w:pPr>
              <w:pStyle w:val="Compact"/>
            </w:pPr>
            <w:r>
              <w:t>4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58CAD" w14:textId="77777777" w:rsidR="00E54CEB" w:rsidRDefault="00000000">
            <w:pPr>
              <w:pStyle w:val="Compact"/>
            </w:pPr>
            <w:r>
              <w:t>Objectives and hypotheses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2AAC8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E7DA5" w14:textId="77777777" w:rsidR="00E54CEB" w:rsidRDefault="00000000">
            <w:pPr>
              <w:pStyle w:val="Compact"/>
            </w:pPr>
            <w:r>
              <w:t>Background, final paragraph; exploratory objectives and no confirmatory hypothesis.</w:t>
            </w:r>
          </w:p>
        </w:tc>
      </w:tr>
      <w:tr w:rsidR="00E54CEB" w14:paraId="4258C98A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5BEEF" w14:textId="77777777" w:rsidR="00E54CEB" w:rsidRDefault="00000000">
            <w:pPr>
              <w:pStyle w:val="Compact"/>
            </w:pPr>
            <w:r>
              <w:t>5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ACC3C" w14:textId="77777777" w:rsidR="00E54CEB" w:rsidRDefault="00000000">
            <w:pPr>
              <w:pStyle w:val="Compact"/>
            </w:pPr>
            <w:r>
              <w:t>Prospective or retrospective data collection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A0BD7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4FC1D" w14:textId="77777777" w:rsidR="00E54CEB" w:rsidRDefault="00000000">
            <w:pPr>
              <w:pStyle w:val="Compact"/>
            </w:pPr>
            <w:r>
              <w:t>Methods — Study design and setting: prospective cohort; Clinical nodal variables: the CT index test was a retrospective study re-read.</w:t>
            </w:r>
          </w:p>
        </w:tc>
      </w:tr>
      <w:tr w:rsidR="00E54CEB" w14:paraId="5E17A4F0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88747" w14:textId="77777777" w:rsidR="00E54CEB" w:rsidRDefault="00000000">
            <w:pPr>
              <w:pStyle w:val="Compact"/>
            </w:pPr>
            <w:r>
              <w:t>6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A87F6" w14:textId="77777777" w:rsidR="00E54CEB" w:rsidRDefault="00000000">
            <w:pPr>
              <w:pStyle w:val="Compact"/>
            </w:pPr>
            <w:r>
              <w:t>Eligibility criteria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EA1B0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DB50D" w14:textId="77777777" w:rsidR="00E54CEB" w:rsidRDefault="00000000">
            <w:pPr>
              <w:pStyle w:val="Compact"/>
            </w:pPr>
            <w:r>
              <w:t>Methods — Participants and MMR status.</w:t>
            </w:r>
          </w:p>
        </w:tc>
      </w:tr>
      <w:tr w:rsidR="00E54CEB" w14:paraId="49A14E20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F76A2" w14:textId="77777777" w:rsidR="00E54CEB" w:rsidRDefault="00000000">
            <w:pPr>
              <w:pStyle w:val="Compact"/>
            </w:pPr>
            <w:r>
              <w:lastRenderedPageBreak/>
              <w:t>7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710D2" w14:textId="77777777" w:rsidR="00E54CEB" w:rsidRDefault="00000000">
            <w:pPr>
              <w:pStyle w:val="Compact"/>
            </w:pPr>
            <w:r>
              <w:t>Basis for identifying potentially eligible participants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D3EAE" w14:textId="77777777" w:rsidR="00E54CEB" w:rsidRDefault="00000000">
            <w:pPr>
              <w:pStyle w:val="Compact"/>
            </w:pPr>
            <w:r>
              <w:t>Partly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A4C62" w14:textId="77777777" w:rsidR="00E54CEB" w:rsidRDefault="00000000">
            <w:pPr>
              <w:pStyle w:val="Compact"/>
            </w:pPr>
            <w:r>
              <w:t>Methods — Study design and setting: elective colon-cancer resections; eligibility of non-enrolled patients was not prospectively captured.</w:t>
            </w:r>
          </w:p>
        </w:tc>
      </w:tr>
      <w:tr w:rsidR="00E54CEB" w14:paraId="13C084D1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F0B80" w14:textId="77777777" w:rsidR="00E54CEB" w:rsidRDefault="00000000">
            <w:pPr>
              <w:pStyle w:val="Compact"/>
            </w:pPr>
            <w:r>
              <w:t>8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8FA3A" w14:textId="77777777" w:rsidR="00E54CEB" w:rsidRDefault="00000000">
            <w:pPr>
              <w:pStyle w:val="Compact"/>
            </w:pPr>
            <w:r>
              <w:t>Where and when participants were identified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45CE9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D2852" w14:textId="77777777" w:rsidR="00E54CEB" w:rsidRDefault="00000000">
            <w:pPr>
              <w:pStyle w:val="Compact"/>
            </w:pPr>
            <w:r>
              <w:t>Methods — Study design and setting: Masaryk Memorial Cancer Institute, May 2024–March 2026.</w:t>
            </w:r>
          </w:p>
        </w:tc>
      </w:tr>
      <w:tr w:rsidR="00E54CEB" w14:paraId="2E47B385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41426" w14:textId="77777777" w:rsidR="00E54CEB" w:rsidRDefault="00000000">
            <w:pPr>
              <w:pStyle w:val="Compact"/>
            </w:pPr>
            <w:r>
              <w:t>9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5E7EC" w14:textId="77777777" w:rsidR="00E54CEB" w:rsidRDefault="00000000">
            <w:pPr>
              <w:pStyle w:val="Compact"/>
            </w:pPr>
            <w:r>
              <w:t>Consecutive, random, or convenience series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F14B7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A6B00" w14:textId="77777777" w:rsidR="00E54CEB" w:rsidRDefault="00000000">
            <w:pPr>
              <w:pStyle w:val="Compact"/>
            </w:pPr>
            <w:r>
              <w:t>Methods — Study design and setting: availability-based, non-consecutive enrolment.</w:t>
            </w:r>
          </w:p>
        </w:tc>
      </w:tr>
      <w:tr w:rsidR="00E54CEB" w14:paraId="064569B2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ECAF6" w14:textId="77777777" w:rsidR="00E54CEB" w:rsidRDefault="00000000">
            <w:pPr>
              <w:pStyle w:val="Compact"/>
            </w:pPr>
            <w:r>
              <w:t>10a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D0A73" w14:textId="77777777" w:rsidR="00E54CEB" w:rsidRDefault="00000000">
            <w:pPr>
              <w:pStyle w:val="Compact"/>
            </w:pPr>
            <w:r>
              <w:t>Index-test methods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69167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4FC07" w14:textId="77777777" w:rsidR="00E54CEB" w:rsidRDefault="00000000">
            <w:pPr>
              <w:pStyle w:val="Compact"/>
            </w:pPr>
            <w:r>
              <w:t>Methods — Clinical nodal variables; ICG-guided SLNB and lymphatic mapping.</w:t>
            </w:r>
          </w:p>
        </w:tc>
      </w:tr>
      <w:tr w:rsidR="00E54CEB" w14:paraId="7DEC8095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47A47" w14:textId="77777777" w:rsidR="00E54CEB" w:rsidRDefault="00000000">
            <w:pPr>
              <w:pStyle w:val="Compact"/>
            </w:pPr>
            <w:r>
              <w:t>10b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3BA80" w14:textId="77777777" w:rsidR="00E54CEB" w:rsidRDefault="00000000">
            <w:pPr>
              <w:pStyle w:val="Compact"/>
            </w:pPr>
            <w:r>
              <w:t>Reference-standard methods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6AFFF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A87E7" w14:textId="77777777" w:rsidR="00E54CEB" w:rsidRDefault="00000000">
            <w:pPr>
              <w:pStyle w:val="Compact"/>
            </w:pPr>
            <w:r>
              <w:t>Methods — Pathology, outcomes and statistics.</w:t>
            </w:r>
          </w:p>
        </w:tc>
      </w:tr>
      <w:tr w:rsidR="00E54CEB" w14:paraId="0130A06B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DC1E5" w14:textId="77777777" w:rsidR="00E54CEB" w:rsidRDefault="00000000">
            <w:pPr>
              <w:pStyle w:val="Compact"/>
            </w:pPr>
            <w:r>
              <w:t>11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47271" w14:textId="77777777" w:rsidR="00E54CEB" w:rsidRDefault="00000000">
            <w:pPr>
              <w:pStyle w:val="Compact"/>
            </w:pPr>
            <w:r>
              <w:t>Rationale for reference standard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72375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80124" w14:textId="77777777" w:rsidR="00E54CEB" w:rsidRDefault="00000000">
            <w:pPr>
              <w:pStyle w:val="Compact"/>
            </w:pPr>
            <w:r>
              <w:t>Final whole-specimen pN is the clinical staging standard.</w:t>
            </w:r>
          </w:p>
        </w:tc>
      </w:tr>
      <w:tr w:rsidR="00E54CEB" w14:paraId="2EA6B918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6D049" w14:textId="77777777" w:rsidR="00E54CEB" w:rsidRDefault="00000000">
            <w:pPr>
              <w:pStyle w:val="Compact"/>
            </w:pPr>
            <w:r>
              <w:t>12a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148D3" w14:textId="77777777" w:rsidR="00E54CEB" w:rsidRDefault="00000000">
            <w:pPr>
              <w:pStyle w:val="Compact"/>
            </w:pPr>
            <w:r>
              <w:t>Index cut-offs/categories and prespecification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3B6D2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96CFB" w14:textId="77777777" w:rsidR="00E54CEB" w:rsidRDefault="00000000">
            <w:pPr>
              <w:pStyle w:val="Compact"/>
            </w:pPr>
            <w:r>
              <w:t>Methods — Clinical nodal variables (prespecified CT criteria); ICG-guided SLNB and lymphatic mapping; Pathology, outcomes and statistics (SLN positivity classification).</w:t>
            </w:r>
          </w:p>
        </w:tc>
      </w:tr>
      <w:tr w:rsidR="00E54CEB" w14:paraId="159744FC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79460" w14:textId="77777777" w:rsidR="00E54CEB" w:rsidRDefault="00000000">
            <w:pPr>
              <w:pStyle w:val="Compact"/>
            </w:pPr>
            <w:r>
              <w:t>12b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40BBB" w14:textId="77777777" w:rsidR="00E54CEB" w:rsidRDefault="00000000">
            <w:pPr>
              <w:pStyle w:val="Compact"/>
            </w:pPr>
            <w:r>
              <w:t>Reference-standard cut-offs/categories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2CB24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8057C" w14:textId="77777777" w:rsidR="00E54CEB" w:rsidRDefault="00000000">
            <w:pPr>
              <w:pStyle w:val="Compact"/>
            </w:pPr>
            <w:r>
              <w:t>UICC eighth edition; ITC remain pN0(i+).</w:t>
            </w:r>
          </w:p>
        </w:tc>
      </w:tr>
      <w:tr w:rsidR="00E54CEB" w14:paraId="37C093CC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E3057" w14:textId="77777777" w:rsidR="00E54CEB" w:rsidRDefault="00000000">
            <w:pPr>
              <w:pStyle w:val="Compact"/>
            </w:pPr>
            <w:r>
              <w:t>13a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16DAB" w14:textId="77777777" w:rsidR="00E54CEB" w:rsidRDefault="00000000">
            <w:pPr>
              <w:pStyle w:val="Compact"/>
            </w:pPr>
            <w:r>
              <w:t>Clinical/reference information available to index-test readers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920D3" w14:textId="77777777" w:rsidR="00E54CEB" w:rsidRDefault="00000000">
            <w:pPr>
              <w:pStyle w:val="Compact"/>
            </w:pPr>
            <w:r>
              <w:t>Partly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D011E" w14:textId="77777777" w:rsidR="00E54CEB" w:rsidRDefault="00000000">
            <w:pPr>
              <w:pStyle w:val="Compact"/>
            </w:pPr>
            <w:r>
              <w:t>CT reader blinded to final pN/MMR; surgeons were not blinded to CT.</w:t>
            </w:r>
          </w:p>
        </w:tc>
      </w:tr>
      <w:tr w:rsidR="00E54CEB" w14:paraId="66BC9C5C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2BFEA" w14:textId="77777777" w:rsidR="00E54CEB" w:rsidRDefault="00000000">
            <w:pPr>
              <w:pStyle w:val="Compact"/>
            </w:pPr>
            <w:r>
              <w:t>13b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966CD" w14:textId="77777777" w:rsidR="00E54CEB" w:rsidRDefault="00000000">
            <w:pPr>
              <w:pStyle w:val="Compact"/>
            </w:pPr>
            <w:r>
              <w:t>Clinical/index information available to reference assessors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98470" w14:textId="77777777" w:rsidR="00E54CEB" w:rsidRDefault="00000000">
            <w:pPr>
              <w:pStyle w:val="Compact"/>
            </w:pPr>
            <w:r>
              <w:t>Partly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A9ED8" w14:textId="77777777" w:rsidR="00E54CEB" w:rsidRDefault="00000000">
            <w:pPr>
              <w:pStyle w:val="Compact"/>
            </w:pPr>
            <w:r>
              <w:t>Detailed pathology blinding was unavailable; sentinel designation was known.</w:t>
            </w:r>
          </w:p>
        </w:tc>
      </w:tr>
      <w:tr w:rsidR="00E54CEB" w14:paraId="3AD22677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751BB" w14:textId="77777777" w:rsidR="00E54CEB" w:rsidRDefault="00000000">
            <w:pPr>
              <w:pStyle w:val="Compact"/>
            </w:pPr>
            <w:r>
              <w:lastRenderedPageBreak/>
              <w:t>14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76ABF" w14:textId="77777777" w:rsidR="00E54CEB" w:rsidRDefault="00000000">
            <w:pPr>
              <w:pStyle w:val="Compact"/>
            </w:pPr>
            <w:r>
              <w:t>Methods for estimating/comparing accuracy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6E5F3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05679" w14:textId="77777777" w:rsidR="00E54CEB" w:rsidRDefault="00000000">
            <w:pPr>
              <w:pStyle w:val="Compact"/>
            </w:pPr>
            <w:r>
              <w:t>Methods — Pathology, outcomes and statistics (Wilson 95% CIs, analysis-specific denominators, post hoc Bonferroni sensitivity analysis).</w:t>
            </w:r>
          </w:p>
        </w:tc>
      </w:tr>
      <w:tr w:rsidR="00E54CEB" w14:paraId="5205D900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A7A26" w14:textId="77777777" w:rsidR="00E54CEB" w:rsidRDefault="00000000">
            <w:pPr>
              <w:pStyle w:val="Compact"/>
            </w:pPr>
            <w:r>
              <w:t>15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CD241" w14:textId="77777777" w:rsidR="00E54CEB" w:rsidRDefault="00000000">
            <w:pPr>
              <w:pStyle w:val="Compact"/>
            </w:pPr>
            <w:r>
              <w:t>Handling indeterminate index/reference results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AE846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D850B" w14:textId="77777777" w:rsidR="00E54CEB" w:rsidRDefault="00000000">
            <w:pPr>
              <w:pStyle w:val="Compact"/>
            </w:pPr>
            <w:r>
              <w:t>Both sentinel detection failures (one pN-negative, one pN-positive dMMR) reported as non-informative and excluded from the evaluable set; the conditional analysis (n = 36) is the primary accuracy analysis, with an attempted-procedure sensitivity of 46.2% (6/13) reported alongside it.</w:t>
            </w:r>
          </w:p>
        </w:tc>
      </w:tr>
      <w:tr w:rsidR="00E54CEB" w14:paraId="2D1CCFCC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2C551" w14:textId="77777777" w:rsidR="00E54CEB" w:rsidRDefault="00000000">
            <w:pPr>
              <w:pStyle w:val="Compact"/>
            </w:pPr>
            <w:r>
              <w:t>16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898FA" w14:textId="77777777" w:rsidR="00E54CEB" w:rsidRDefault="00000000">
            <w:pPr>
              <w:pStyle w:val="Compact"/>
            </w:pPr>
            <w:r>
              <w:t>Handling missing index/reference data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1A5E3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59AB4" w14:textId="77777777" w:rsidR="00E54CEB" w:rsidRDefault="00000000">
            <w:pPr>
              <w:pStyle w:val="Compact"/>
            </w:pPr>
            <w:r>
              <w:t>Analysis-specific denominators reported; reference pN complete; two pTis excluded from diagnostic sets.</w:t>
            </w:r>
          </w:p>
        </w:tc>
      </w:tr>
      <w:tr w:rsidR="00E54CEB" w14:paraId="2B42BA6F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C87DF" w14:textId="77777777" w:rsidR="00E54CEB" w:rsidRDefault="00000000">
            <w:pPr>
              <w:pStyle w:val="Compact"/>
            </w:pPr>
            <w:r>
              <w:t>17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549C9" w14:textId="77777777" w:rsidR="00E54CEB" w:rsidRDefault="00000000">
            <w:pPr>
              <w:pStyle w:val="Compact"/>
            </w:pPr>
            <w:r>
              <w:t>Variability analyses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C5A57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2AFE4" w14:textId="77777777" w:rsidR="00E54CEB" w:rsidRDefault="00000000">
            <w:pPr>
              <w:pStyle w:val="Compact"/>
            </w:pPr>
            <w:r>
              <w:t>MMR strata and the post hoc four-comparison Bonferroni sensitivity analysis are identified at the claim site. Additional file 1 Tables S1–S3, including the size- and grade-restriction analysis.</w:t>
            </w:r>
          </w:p>
        </w:tc>
      </w:tr>
      <w:tr w:rsidR="00E54CEB" w14:paraId="12980E46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710DD" w14:textId="77777777" w:rsidR="00E54CEB" w:rsidRDefault="00000000">
            <w:pPr>
              <w:pStyle w:val="Compact"/>
            </w:pPr>
            <w:r>
              <w:t>18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EAE46" w14:textId="77777777" w:rsidR="00E54CEB" w:rsidRDefault="00000000">
            <w:pPr>
              <w:pStyle w:val="Compact"/>
            </w:pPr>
            <w:r>
              <w:t>Intended sample size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091EB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A99B9" w14:textId="77777777" w:rsidR="00E54CEB" w:rsidRDefault="00000000">
            <w:pPr>
              <w:pStyle w:val="Compact"/>
            </w:pPr>
            <w:r>
              <w:t>No sample-size calculation; exploratory cohort.</w:t>
            </w:r>
          </w:p>
        </w:tc>
      </w:tr>
      <w:tr w:rsidR="00E54CEB" w14:paraId="3AA65A31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85284" w14:textId="77777777" w:rsidR="00E54CEB" w:rsidRDefault="00000000">
            <w:pPr>
              <w:pStyle w:val="Compact"/>
            </w:pPr>
            <w:r>
              <w:t>19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28FE9" w14:textId="77777777" w:rsidR="00E54CEB" w:rsidRDefault="00000000">
            <w:pPr>
              <w:pStyle w:val="Compact"/>
            </w:pPr>
            <w:r>
              <w:t>Participant flow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79E29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B4D6E" w14:textId="77777777" w:rsidR="00E54CEB" w:rsidRDefault="00000000">
            <w:pPr>
              <w:pStyle w:val="Compact"/>
            </w:pPr>
            <w:r>
              <w:t>Figure 1.</w:t>
            </w:r>
          </w:p>
        </w:tc>
      </w:tr>
      <w:tr w:rsidR="00E54CEB" w14:paraId="643F2EA4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ECC7D" w14:textId="77777777" w:rsidR="00E54CEB" w:rsidRDefault="00000000">
            <w:pPr>
              <w:pStyle w:val="Compact"/>
            </w:pPr>
            <w:r>
              <w:t>20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7A436" w14:textId="77777777" w:rsidR="00E54CEB" w:rsidRDefault="00000000">
            <w:pPr>
              <w:pStyle w:val="Compact"/>
            </w:pPr>
            <w:r>
              <w:t>Baseline characteristics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38C6C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EFF26" w14:textId="77777777" w:rsidR="00E54CEB" w:rsidRDefault="00000000">
            <w:pPr>
              <w:pStyle w:val="Compact"/>
            </w:pPr>
            <w:r>
              <w:t>Table 1.</w:t>
            </w:r>
          </w:p>
        </w:tc>
      </w:tr>
      <w:tr w:rsidR="00E54CEB" w14:paraId="2B414FC3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D419C" w14:textId="77777777" w:rsidR="00E54CEB" w:rsidRDefault="00000000">
            <w:pPr>
              <w:pStyle w:val="Compact"/>
            </w:pPr>
            <w:r>
              <w:t>21a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AFD6D" w14:textId="77777777" w:rsidR="00E54CEB" w:rsidRDefault="00000000">
            <w:pPr>
              <w:pStyle w:val="Compact"/>
            </w:pPr>
            <w:r>
              <w:t>Distribution of target-condition severity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90CD2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DC669" w14:textId="77777777" w:rsidR="00E54CEB" w:rsidRDefault="00000000">
            <w:pPr>
              <w:pStyle w:val="Compact"/>
            </w:pPr>
            <w:r>
              <w:t>Results/Table 1; pT, pN, and false-negative burden.</w:t>
            </w:r>
          </w:p>
        </w:tc>
      </w:tr>
      <w:tr w:rsidR="00E54CEB" w14:paraId="0D5039D7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DA65D" w14:textId="77777777" w:rsidR="00E54CEB" w:rsidRDefault="00000000">
            <w:pPr>
              <w:pStyle w:val="Compact"/>
            </w:pPr>
            <w:r>
              <w:lastRenderedPageBreak/>
              <w:t>21b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402F1" w14:textId="77777777" w:rsidR="00E54CEB" w:rsidRDefault="00000000">
            <w:pPr>
              <w:pStyle w:val="Compact"/>
            </w:pPr>
            <w:r>
              <w:t>Alternative diagnoses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1CA7D" w14:textId="77777777" w:rsidR="00E54CEB" w:rsidRDefault="00000000">
            <w:pPr>
              <w:pStyle w:val="Compact"/>
            </w:pPr>
            <w:r>
              <w:t>No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20FAE" w14:textId="77777777" w:rsidR="00E54CEB" w:rsidRDefault="00000000">
            <w:pPr>
              <w:pStyle w:val="Compact"/>
            </w:pPr>
            <w:r>
              <w:t>Not reportable. No histology of the enlarged tumour-free nodes was obtained, so the alternative diagnoses underlying CT-positive/pN-negative findings are unknown. Disclosed in the Discussion, where it also bounds the proposed mechanism.</w:t>
            </w:r>
          </w:p>
        </w:tc>
      </w:tr>
      <w:tr w:rsidR="00E54CEB" w14:paraId="116B22C2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7A659" w14:textId="77777777" w:rsidR="00E54CEB" w:rsidRDefault="00000000">
            <w:pPr>
              <w:pStyle w:val="Compact"/>
            </w:pPr>
            <w:r>
              <w:t>22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59BD7" w14:textId="77777777" w:rsidR="00E54CEB" w:rsidRDefault="00000000">
            <w:pPr>
              <w:pStyle w:val="Compact"/>
            </w:pPr>
            <w:r>
              <w:t>Interval/interventions between index and reference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87C72" w14:textId="77777777" w:rsidR="00E54CEB" w:rsidRDefault="00000000">
            <w:pPr>
              <w:pStyle w:val="Compact"/>
            </w:pPr>
            <w:r>
              <w:t>Partly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AE61F" w14:textId="77777777" w:rsidR="00E54CEB" w:rsidRDefault="00000000">
            <w:pPr>
              <w:pStyle w:val="Compact"/>
            </w:pPr>
            <w:r>
              <w:t>Operative and pathology sequence described; the CT-to-resection interval was not recorded per patient and this is disclosed as a limitation.</w:t>
            </w:r>
          </w:p>
        </w:tc>
      </w:tr>
      <w:tr w:rsidR="00E54CEB" w14:paraId="5833B609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12ABE" w14:textId="77777777" w:rsidR="00E54CEB" w:rsidRDefault="00000000">
            <w:pPr>
              <w:pStyle w:val="Compact"/>
            </w:pPr>
            <w:r>
              <w:t>23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192B0" w14:textId="77777777" w:rsidR="00E54CEB" w:rsidRDefault="00000000">
            <w:pPr>
              <w:pStyle w:val="Compact"/>
            </w:pPr>
            <w:r>
              <w:t>Index × reference cross-tabulation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557B6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29891" w14:textId="77777777" w:rsidR="00E54CEB" w:rsidRDefault="00000000">
            <w:pPr>
              <w:pStyle w:val="Compact"/>
            </w:pPr>
            <w:r>
              <w:t>Tables 2–4 and Figure 1; TP/FP/FN/TN shown.</w:t>
            </w:r>
          </w:p>
        </w:tc>
      </w:tr>
      <w:tr w:rsidR="00E54CEB" w14:paraId="3D62D347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B5C6C" w14:textId="77777777" w:rsidR="00E54CEB" w:rsidRDefault="00000000">
            <w:pPr>
              <w:pStyle w:val="Compact"/>
            </w:pPr>
            <w:r>
              <w:t>24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57D51" w14:textId="77777777" w:rsidR="00E54CEB" w:rsidRDefault="00000000">
            <w:pPr>
              <w:pStyle w:val="Compact"/>
            </w:pPr>
            <w:r>
              <w:t>Accuracy estimates and precision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55D59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AFFC3" w14:textId="77777777" w:rsidR="00E54CEB" w:rsidRDefault="00000000">
            <w:pPr>
              <w:pStyle w:val="Compact"/>
            </w:pPr>
            <w:r>
              <w:t>Tables 2–4; Wilson 95% CIs.</w:t>
            </w:r>
          </w:p>
        </w:tc>
      </w:tr>
      <w:tr w:rsidR="00E54CEB" w14:paraId="0F374224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012CD" w14:textId="77777777" w:rsidR="00E54CEB" w:rsidRDefault="00000000">
            <w:pPr>
              <w:pStyle w:val="Compact"/>
            </w:pPr>
            <w:r>
              <w:t>25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E0B4F" w14:textId="77777777" w:rsidR="00E54CEB" w:rsidRDefault="00000000">
            <w:pPr>
              <w:pStyle w:val="Compact"/>
            </w:pPr>
            <w:r>
              <w:t>Adverse events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47818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FF283" w14:textId="77777777" w:rsidR="00E54CEB" w:rsidRDefault="00000000">
            <w:pPr>
              <w:pStyle w:val="Compact"/>
            </w:pPr>
            <w:r>
              <w:t>Results — no ICG-related adverse event reported.</w:t>
            </w:r>
          </w:p>
        </w:tc>
      </w:tr>
      <w:tr w:rsidR="00E54CEB" w14:paraId="4CC08AE8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11B8B" w14:textId="77777777" w:rsidR="00E54CEB" w:rsidRDefault="00000000">
            <w:pPr>
              <w:pStyle w:val="Compact"/>
            </w:pPr>
            <w:r>
              <w:t>26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A93BE" w14:textId="77777777" w:rsidR="00E54CEB" w:rsidRDefault="00000000">
            <w:pPr>
              <w:pStyle w:val="Compact"/>
            </w:pPr>
            <w:r>
              <w:t>Study limitations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29740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120B4" w14:textId="77777777" w:rsidR="00E54CEB" w:rsidRDefault="00000000">
            <w:pPr>
              <w:pStyle w:val="Compact"/>
            </w:pPr>
            <w:r>
              <w:t>Discussion, terminal limitations paragraphs, covering selection, imprecision, incorporation bias and generalisability.</w:t>
            </w:r>
          </w:p>
        </w:tc>
      </w:tr>
      <w:tr w:rsidR="00E54CEB" w14:paraId="6B7A8D22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DC73E" w14:textId="77777777" w:rsidR="00E54CEB" w:rsidRDefault="00000000">
            <w:pPr>
              <w:pStyle w:val="Compact"/>
            </w:pPr>
            <w:r>
              <w:t>27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14AA5" w14:textId="77777777" w:rsidR="00E54CEB" w:rsidRDefault="00000000">
            <w:pPr>
              <w:pStyle w:val="Compact"/>
            </w:pPr>
            <w:r>
              <w:t>Clinical implications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993D3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8F777" w14:textId="77777777" w:rsidR="00E54CEB" w:rsidRDefault="00000000">
            <w:pPr>
              <w:pStyle w:val="Compact"/>
            </w:pPr>
            <w:r>
              <w:t>Discussion and Conclusions; the sentinel-node results are stated not to support ICG-SLNB as a stand-alone staging strategy.</w:t>
            </w:r>
          </w:p>
        </w:tc>
      </w:tr>
      <w:tr w:rsidR="00E54CEB" w14:paraId="52B0D774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549C3" w14:textId="77777777" w:rsidR="00E54CEB" w:rsidRDefault="00000000">
            <w:pPr>
              <w:pStyle w:val="Compact"/>
            </w:pPr>
            <w:r>
              <w:lastRenderedPageBreak/>
              <w:t>28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B93C9" w14:textId="77777777" w:rsidR="00E54CEB" w:rsidRDefault="00000000">
            <w:pPr>
              <w:pStyle w:val="Compact"/>
            </w:pPr>
            <w:r>
              <w:t>Registration number and registry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1469B" w14:textId="77777777" w:rsidR="00E54CEB" w:rsidRDefault="00000000">
            <w:pPr>
              <w:pStyle w:val="Compact"/>
            </w:pPr>
            <w:r>
              <w:t>No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E982E" w14:textId="77777777" w:rsidR="00E54CEB" w:rsidRDefault="00000000">
            <w:pPr>
              <w:pStyle w:val="Compact"/>
            </w:pPr>
            <w:r>
              <w:t>Abstract and Declarations — trial registration not applicable (single-cohort diagnostic-accuracy study without a health-outcome intervention); Ethics states the study was not entered in a public trials registry and gives the rationale. The Discussion limitations paragraph frames non-registration as a limitation.</w:t>
            </w:r>
          </w:p>
        </w:tc>
      </w:tr>
      <w:tr w:rsidR="00E54CEB" w14:paraId="634F4B5D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66690" w14:textId="77777777" w:rsidR="00E54CEB" w:rsidRDefault="00000000">
            <w:pPr>
              <w:pStyle w:val="Compact"/>
            </w:pPr>
            <w:r>
              <w:t>29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991F4" w14:textId="77777777" w:rsidR="00E54CEB" w:rsidRDefault="00000000">
            <w:pPr>
              <w:pStyle w:val="Compact"/>
            </w:pPr>
            <w:r>
              <w:t>Protocol access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13035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330AD" w14:textId="77777777" w:rsidR="00E54CEB" w:rsidRDefault="00000000">
            <w:pPr>
              <w:pStyle w:val="Compact"/>
            </w:pPr>
            <w:r>
              <w:t>Declarations — Availability of data and materials: the Ethics Committee-approved protocol (ref. 2024/1287/MOU) is available on request. It was not deposited in a public registry or repository before enrolment.</w:t>
            </w:r>
          </w:p>
        </w:tc>
      </w:tr>
      <w:tr w:rsidR="00E54CEB" w14:paraId="520441E1" w14:textId="77777777" w:rsidTr="001F3172">
        <w:trPr>
          <w:cantSplit/>
          <w:jc w:val="center"/>
        </w:trPr>
        <w:tc>
          <w:tcPr>
            <w:tcW w:w="5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B2BEA" w14:textId="77777777" w:rsidR="00E54CEB" w:rsidRDefault="00000000">
            <w:pPr>
              <w:pStyle w:val="Compact"/>
            </w:pPr>
            <w:r>
              <w:t>30</w:t>
            </w:r>
          </w:p>
        </w:tc>
        <w:tc>
          <w:tcPr>
            <w:tcW w:w="2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096E2" w14:textId="77777777" w:rsidR="00E54CEB" w:rsidRDefault="00000000">
            <w:pPr>
              <w:pStyle w:val="Compact"/>
            </w:pPr>
            <w:r>
              <w:t>Funding/support and role of funders</w:t>
            </w:r>
          </w:p>
        </w:tc>
        <w:tc>
          <w:tcPr>
            <w:tcW w:w="19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94514" w14:textId="77777777" w:rsidR="00E54CEB" w:rsidRDefault="00000000">
            <w:pPr>
              <w:pStyle w:val="Compact"/>
            </w:pPr>
            <w:r>
              <w:t>Yes</w:t>
            </w:r>
          </w:p>
        </w:tc>
        <w:tc>
          <w:tcPr>
            <w:tcW w:w="328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BD62C" w14:textId="77777777" w:rsidR="00E54CEB" w:rsidRDefault="00000000">
            <w:pPr>
              <w:pStyle w:val="Compact"/>
            </w:pPr>
            <w:r>
              <w:t>Declarations — no specific grant funding.</w:t>
            </w:r>
          </w:p>
        </w:tc>
      </w:tr>
    </w:tbl>
    <w:p w14:paraId="3A976C5D" w14:textId="77777777" w:rsidR="001F3172" w:rsidRDefault="001F3172">
      <w:pPr>
        <w:spacing w:after="120"/>
        <w:rPr>
          <w:bCs/>
        </w:rPr>
      </w:pPr>
    </w:p>
    <w:p w14:paraId="08604429" w14:textId="59CA226C" w:rsidR="00E54CEB" w:rsidRDefault="00000000">
      <w:pPr>
        <w:spacing w:after="120"/>
      </w:pPr>
      <w:r w:rsidRPr="001F3172">
        <w:rPr>
          <w:b/>
        </w:rPr>
        <w:t xml:space="preserve">Diagnostic-analysis note: </w:t>
      </w:r>
      <w:r>
        <w:rPr>
          <w:bCs/>
        </w:rPr>
        <w:t>The primary ICG-SLNB accuracy analysis is the conditional analysis of the 36 diagnostically evaluable patients (TP 6, FP 0, FN 6, TN 24; sensitivity 50.0%, negative predictive value 80.0%), with an attempted-procedure sensitivity reported alongside so non-detection is not absorbed. Specificity and positive predictive value are not presented for ICG-SLNB because a metastatic sentinel node contributes to final pN, making a false positive structurally impossible. Two items are not reportable from this cohort: the distribution of alternative diagnoses in pN-negative patients (item 21b, no nodal histology) and the per-patient CT-to-resection interval (item 22). The study was not registered (item 28); the reasoning is given in the Declarations. Checklist regenerated 1 August 2026 against the current manuscript. Item numbering follows STARD 2015 as published (Bossuyt et al. BMJ 2015;351:h5527).</w:t>
      </w:r>
      <w:bookmarkEnd w:id="0"/>
    </w:p>
    <w:sectPr w:rsidR="00E54C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800" w:bottom="1440" w:left="1800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677AE5" w14:textId="77777777" w:rsidR="00DB1634" w:rsidRDefault="00DB1634" w:rsidP="001F3172">
      <w:pPr>
        <w:spacing w:line="240" w:lineRule="auto"/>
      </w:pPr>
      <w:r>
        <w:separator/>
      </w:r>
    </w:p>
  </w:endnote>
  <w:endnote w:type="continuationSeparator" w:id="0">
    <w:p w14:paraId="3D672519" w14:textId="77777777" w:rsidR="00DB1634" w:rsidRDefault="00DB1634" w:rsidP="001F31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EBD3B1" w14:textId="77777777" w:rsidR="001F3172" w:rsidRDefault="001F31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2CD595" w14:textId="77777777" w:rsidR="001F3172" w:rsidRDefault="001F31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A1F139" w14:textId="77777777" w:rsidR="001F3172" w:rsidRDefault="001F3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39818B" w14:textId="77777777" w:rsidR="00DB1634" w:rsidRDefault="00DB1634" w:rsidP="001F3172">
      <w:pPr>
        <w:spacing w:line="240" w:lineRule="auto"/>
      </w:pPr>
      <w:r>
        <w:separator/>
      </w:r>
    </w:p>
  </w:footnote>
  <w:footnote w:type="continuationSeparator" w:id="0">
    <w:p w14:paraId="1A5FB884" w14:textId="77777777" w:rsidR="00DB1634" w:rsidRDefault="00DB1634" w:rsidP="001F31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A8B578" w14:textId="77777777" w:rsidR="001F3172" w:rsidRDefault="001F31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AC5379" w14:textId="77777777" w:rsidR="001F3172" w:rsidRDefault="001F31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BB06BB" w14:textId="77777777" w:rsidR="001F3172" w:rsidRDefault="001F31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574C7F1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1175295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EB"/>
    <w:rsid w:val="001F3172"/>
    <w:rsid w:val="00C03643"/>
    <w:rsid w:val="00DB1634"/>
    <w:rsid w:val="00E54CEB"/>
    <w:rsid w:val="00FD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0D0BAC"/>
  <w15:docId w15:val="{46CAE7D3-659D-BC4E-A9AE-C7AA1BA7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0" w:line="276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1F317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1F317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rsid w:val="001F317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F317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B75179-11D5-7247-BFCD-BFFB97662A5D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d873fffc-e4d3-4230-bc46-cbeb19f46a6d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848</Words>
  <Characters>5572</Characters>
  <Application>Microsoft Office Word</Application>
  <DocSecurity>0</DocSecurity>
  <Lines>278</Lines>
  <Paragraphs>164</Paragraphs>
  <ScaleCrop>false</ScaleCrop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 reporting checklist</dc:title>
  <dc:creator>Teodor Staněk</dc:creator>
  <cp:keywords/>
  <cp:lastModifiedBy>Teodor Staněk</cp:lastModifiedBy>
  <cp:revision>2</cp:revision>
  <dcterms:created xsi:type="dcterms:W3CDTF">2026-08-02T17:38:00Z</dcterms:created>
  <dcterms:modified xsi:type="dcterms:W3CDTF">2026-08-02T17:38:00Z</dcterms:modified>
</cp:coreProperties>
</file>