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rPr>
          <w:b/>
          <w:bCs/>
          <w:color w:val="000000"/>
        </w:rPr>
        <w:t xml:space="preserve">Supplementary Information</w:t>
      </w:r>
    </w:p>
    <w:p>
      <w:pPr>
        <w:spacing w:after="260"/>
        <w:jc w:val="center"/>
      </w:pPr>
      <w:r>
        <w:rPr>
          <w:color w:val="000000"/>
        </w:rPr>
        <w:t>Genome-guided prioritization of rifabutin MIC testing among rifampicin high-MIC Mycobacterium tuberculosis isolates: a retrospective development and internal evaluation study</w:t>
      </w:r>
    </w:p>
    <w:p>
      <w:pPr>
        <w:pStyle w:val="Heading1"/>
        <w:keepNext/>
      </w:pPr>
      <w:r>
        <w:rPr>
          <w:b/>
          <w:bCs/>
          <w:color w:val="000000"/>
        </w:rPr>
        <w:t xml:space="preserve">Contents</w:t>
      </w:r>
    </w:p>
    <w:p>
      <w:pPr>
        <w:keepLines w:val="false"/>
        <w:widowControl/>
        <w:spacing w:after="100" w:line="276" w:lineRule="auto"/>
        <w:jc w:val="both"/>
      </w:pPr>
      <w:r>
        <w:rPr>
          <w:color w:val="000000"/>
        </w:rPr>
        <w:t xml:space="preserve">Supplementary Methods; Supplementary Figures S1–S11; Supplementary Tables S1–S16.</w:t>
      </w:r>
    </w:p>
    <w:p>
      <w:pPr>
        <w:pStyle w:val="Heading1"/>
        <w:keepNext/>
        <w:keepLines/>
        <w:pageBreakBefore/>
        <w:spacing w:after="120" w:before="280"/>
      </w:pPr>
      <w:r>
        <w:rPr>
          <w:b/>
          <w:bCs/>
          <w:color w:val="000000"/>
          <w:sz w:val="26"/>
          <w:szCs w:val="26"/>
        </w:rPr>
        <w:t xml:space="preserve">Supplementary Methods</w:t>
      </w:r>
    </w:p>
    <w:p>
      <w:pPr>
        <w:pStyle w:val="Heading2"/>
        <w:keepNext/>
        <w:keepLines/>
        <w:spacing w:after="110" w:before="220"/>
      </w:pPr>
      <w:r>
        <w:rPr>
          <w:b/>
          <w:bCs/>
          <w:color w:val="000000"/>
          <w:sz w:val="23"/>
          <w:szCs w:val="23"/>
        </w:rPr>
        <w:t xml:space="preserve">Data harmonisation and cohort construction</w:t>
      </w:r>
    </w:p>
    <w:p>
      <w:pPr>
        <w:keepLines w:val="false"/>
        <w:widowControl/>
        <w:spacing w:after="100" w:line="276" w:lineRule="auto"/>
        <w:ind w:firstLine="360"/>
        <w:jc w:val="both"/>
      </w:pPr>
      <w:r>
        <w:rPr>
          <w:color w:val="000000"/>
        </w:rPr>
        <w:t xml:space="preserve">Phenotypic records were reconstructed from CRyPTIC Release 3.4.0 DST_SAMPLES, DST_MEASUREMENTS, UKMYC_PHENOTYPES, UKMYC_PLATES and PLATE_LAYOUT tables. Joins used available isolate, plate and layout identifiers rather than row order. The workflow rejected non-identical duplicates, conflicting official binary phenotypes, conflicting MICs, discrepancies between MIC-derived and official ECOFF categories and ambiguous plate joins. The primary analysis retained only high-quality phenotypes. A separate high-plus-medium-quality resource was generated for sensitivity work; the high-quality cohort defined the primary endpoint.</w:t>
      </w:r>
    </w:p>
    <w:p>
      <w:pPr>
        <w:keepLines w:val="false"/>
        <w:widowControl/>
        <w:spacing w:after="100" w:line="276" w:lineRule="auto"/>
        <w:ind w:firstLine="360"/>
        <w:jc w:val="both"/>
      </w:pPr>
      <w:r>
        <w:rPr>
          <w:color w:val="000000"/>
        </w:rPr>
        <w:t xml:space="preserve">The membership table records the inclusion stratum for every linked isolate. The harmonised flow contained 11,939 locally matched isolates, of which 11,936 had official consensus and 10,497 entered the high-quality set. Paired analysis required both rifampicin and rifabutin phenotypes. The conditional analysis then retained paired isolates with rifampicin MIC above 0.5 mg/L. Rifabutin MIC at or below 0.12 mg/L defined the positive low-MIC outcome. These values are CRyPTIC research ECOFFs rather than treatment breakpoints. Missing endpoints were not imputed. The conditional cohort contained 3466 isolates from 3397 subjects; 42 subjects contributed more than one isolate and the maximum was five. Because eligibility required a measured rifampicin MIC, this cohort is narrower than RR-TB populations defined only by Xpert, targeted sequencing or WGS.</w:t>
      </w:r>
    </w:p>
    <w:p>
      <w:pPr>
        <w:pStyle w:val="Heading2"/>
        <w:keepNext/>
        <w:keepLines/>
        <w:spacing w:after="110" w:before="220"/>
      </w:pPr>
      <w:r>
        <w:rPr>
          <w:b/>
          <w:bCs/>
          <w:color w:val="000000"/>
          <w:sz w:val="23"/>
          <w:szCs w:val="23"/>
        </w:rPr>
        <w:t xml:space="preserve">Mutation-event inputs</w:t>
      </w:r>
    </w:p>
    <w:p>
      <w:pPr>
        <w:keepLines w:val="false"/>
        <w:widowControl/>
        <w:spacing w:after="100" w:line="276" w:lineRule="auto"/>
        <w:ind w:firstLine="360"/>
        <w:jc w:val="both"/>
      </w:pPr>
      <w:r>
        <w:rPr>
          <w:color w:val="000000"/>
        </w:rPr>
        <w:t xml:space="preserve">Each isolate was represented by an unordered collection of mutation events. Event fields comprised gene, annotation, event type, genomic-position bin, reference allele and alternate allele. Events were deterministically ordered by genomic coordinate only to make batching reproducible. Neural sequences were truncated to 128 events under a fixed priority that did not use WHO catalogue confidence. Logistic regression used complete sparse binary mutation-token indicators without the neural event cap. WHO confidence was excluded from discovery-eligible models and retained only for comparator analyses.</w:t>
      </w:r>
    </w:p>
    <w:p>
      <w:pPr>
        <w:keepLines w:val="false"/>
        <w:widowControl/>
        <w:spacing w:after="100" w:line="276" w:lineRule="auto"/>
        <w:ind w:firstLine="360"/>
        <w:jc w:val="both"/>
      </w:pPr>
      <w:r>
        <w:rPr>
          <w:color w:val="000000"/>
        </w:rPr>
        <w:t xml:space="preserve">Categorical fields were mapped through fixed vocabularies with unknown tokens. The clean baseline used learned categorical embeddings. Alternative fixed gene-level representations were ESM-2 and ESMC embeddings. Because those vectors described the reference gene rather than the amino-acid change, they were evaluated as optional representations and not as mutation-level mechanistic features.</w:t>
      </w:r>
    </w:p>
    <w:p>
      <w:pPr>
        <w:pStyle w:val="Heading2"/>
        <w:keepNext/>
        <w:keepLines/>
        <w:spacing w:after="110" w:before="220"/>
      </w:pPr>
      <w:r>
        <w:rPr>
          <w:b/>
          <w:bCs/>
          <w:color w:val="000000"/>
          <w:sz w:val="23"/>
          <w:szCs w:val="23"/>
        </w:rPr>
        <w:t xml:space="preserve">Candidate model family and training</w:t>
      </w:r>
    </w:p>
    <w:p>
      <w:pPr>
        <w:keepLines w:val="false"/>
        <w:widowControl/>
        <w:spacing w:after="100" w:line="276" w:lineRule="auto"/>
        <w:ind w:firstLine="360"/>
        <w:jc w:val="both"/>
      </w:pPr>
      <w:r>
        <w:rPr>
          <w:color w:val="000000"/>
        </w:rPr>
        <w:t xml:space="preserve">The candidate family used a drug-conditioned mutation-event encoder. Categorical fields were embedded into 96-dimensional vectors. Prespecified configurations varied additive versus residual fusion, attention-based event contextualisation, drug-conditioned pooling, lineage modulation and an auxiliary MIC objective. The attention encoder contained two layers and four heads.</w:t>
      </w:r>
    </w:p>
    <w:p>
      <w:pPr>
        <w:keepLines w:val="false"/>
        <w:widowControl/>
        <w:spacing w:after="100" w:line="276" w:lineRule="auto"/>
        <w:ind w:firstLine="360"/>
        <w:jc w:val="both"/>
      </w:pPr>
      <w:r>
        <w:rPr>
          <w:color w:val="000000"/>
        </w:rPr>
        <w:t xml:space="preserve">The primary classification loss was class-balanced binary cross-entropy computed in paired rifampicin high-MIC training isolates. Within each training fold, the class weight for class c was N/(2N_c), capped at 12. Auxiliary phenotype and MIC objectives had a combined weight of 0.10. MIC values were standardised separately by drug using training-fold parameters. Three development seeds (1, 7 and 42) and five final seeds (1, 7, 13, 21 and 42) were locked in the computational protocol.</w:t>
      </w:r>
    </w:p>
    <w:p>
      <w:pPr>
        <w:pStyle w:val="Heading2"/>
        <w:keepNext/>
        <w:keepLines/>
        <w:spacing w:after="110" w:before="220"/>
      </w:pPr>
      <w:r>
        <w:rPr>
          <w:b/>
          <w:bCs/>
          <w:color w:val="000000"/>
          <w:sz w:val="23"/>
          <w:szCs w:val="23"/>
        </w:rPr>
        <w:t xml:space="preserve">Nested selection and calibration</w:t>
      </w:r>
    </w:p>
    <w:p>
      <w:pPr>
        <w:keepLines w:val="false"/>
        <w:widowControl/>
        <w:spacing w:after="100" w:line="276" w:lineRule="auto"/>
        <w:ind w:firstLine="360"/>
        <w:jc w:val="both"/>
      </w:pPr>
      <w:r>
        <w:rPr>
          <w:color w:val="000000"/>
        </w:rPr>
        <w:t xml:space="preserve">The subject-grouped profile used five outer and five inner folds. Records sharing SUBJID were assigned to one group. Within each outer-development set, the inner procedure controlled preprocessing, class weights, configuration selection, epoch selection, calibration and threshold definition. The primary inner metric was AUPRC for rifabutin low MIC among rifampicin high-MIC isolates. For each candidate configuration and inner fold, predictions from development seeds 1, 7 and 42 were averaged before metric calculation. The one-standard-error rule chose the least complex configuration whose mean inner AUPRC was within one standard error of the maximum. The fixed epoch for the selected outer-fold model was the rounded median of its inner-fold best epochs.</w:t>
      </w:r>
    </w:p>
    <w:p>
      <w:pPr>
        <w:keepLines w:val="false"/>
        <w:widowControl/>
        <w:spacing w:after="100" w:line="276" w:lineRule="auto"/>
        <w:ind w:firstLine="360"/>
        <w:jc w:val="both"/>
      </w:pPr>
      <w:r>
        <w:rPr>
          <w:color w:val="000000"/>
        </w:rPr>
        <w:t xml:space="preserve">The five outer folds retained fold-specific model and epoch selections. Table S2 provides the configuration, epoch, Platt coefficients and two operating thresholds learned independently from each outer-development partition.</w:t>
      </w:r>
    </w:p>
    <w:p>
      <w:pPr>
        <w:keepNext/>
        <w:spacing w:after="50" w:before="110"/>
      </w:pPr>
      <w:r>
        <w:rPr>
          <w:b/>
          <w:bCs/>
          <w:color w:val="000000"/>
          <w:sz w:val="19"/>
          <w:szCs w:val="19"/>
        </w:rPr>
        <w:t xml:space="preserve">Supplementary Table S2 | </w:t>
      </w:r>
      <w:r>
        <w:rPr>
          <w:color w:val="000000"/>
          <w:sz w:val="19"/>
          <w:szCs w:val="19"/>
        </w:rPr>
        <w:t xml:space="preserve">Outer-fold-specific locked model, epoch, calibration and threshold selections</w:t>
      </w:r>
    </w:p>
    <w:tbl>
      <w:tblPr>
        <w:tblW w:type="dxa" w:w="10206"/>
        <w:tblBorders>
          <w:top w:val="single" w:color="auto" w:sz="4"/>
          <w:left w:val="single" w:color="auto" w:sz="4"/>
          <w:bottom w:val="single" w:color="auto" w:sz="4"/>
          <w:right w:val="single" w:color="auto" w:sz="4"/>
          <w:insideH w:val="single" w:color="auto" w:sz="4"/>
          <w:insideV w:val="single" w:color="auto" w:sz="4"/>
        </w:tblBorders>
      </w:tblPr>
      <w:tblGrid>
        <w:gridCol w:w="1050"/>
        <w:gridCol w:w="2050"/>
        <w:gridCol w:w="750"/>
        <w:gridCol w:w="1200"/>
        <w:gridCol w:w="950"/>
        <w:gridCol w:w="2050"/>
        <w:gridCol w:w="2156"/>
      </w:tblGrid>
      <w:tr>
        <w:trPr>
          <w:cantSplit/>
          <w:tblHeader/>
        </w:trPr>
        <w:tc>
          <w:tcPr>
            <w:tcW w:type="dxa" w:w="10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Outer fold</w:t>
            </w:r>
          </w:p>
        </w:tc>
        <w:tc>
          <w:tcPr>
            <w:tcW w:type="dxa" w:w="20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Selected configuration</w:t>
            </w:r>
          </w:p>
        </w:tc>
        <w:tc>
          <w:tcPr>
            <w:tcW w:type="dxa" w:w="7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Epoch</w:t>
            </w:r>
          </w:p>
        </w:tc>
        <w:tc>
          <w:tcPr>
            <w:tcW w:type="dxa" w:w="12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Platt intercept</w:t>
            </w:r>
          </w:p>
        </w:tc>
        <w:tc>
          <w:tcPr>
            <w:tcW w:type="dxa" w:w="9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Platt slope</w:t>
            </w:r>
          </w:p>
        </w:tc>
        <w:tc>
          <w:tcPr>
            <w:tcW w:type="dxa" w:w="20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Threshold targeting specificity</w:t>
            </w:r>
          </w:p>
        </w:tc>
        <w:tc>
          <w:tcPr>
            <w:tcW w:type="dxa" w:w="2156"/>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Threshold targeting sensitivity</w:t>
            </w:r>
          </w:p>
        </w:tc>
      </w:tr>
      <w:tr>
        <w:trPr>
          <w:cantSplit/>
          <w:tblHeader w:val="false"/>
        </w:trPr>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w:t>
            </w:r>
          </w:p>
        </w:tc>
        <w:tc>
          <w:tcPr>
            <w:tcW w:type="dxa" w:w="2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C1_clean_categorical</w:t>
            </w:r>
          </w:p>
        </w:tc>
        <w:tc>
          <w:tcPr>
            <w:tcW w:type="dxa" w:w="7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9</w:t>
            </w:r>
          </w:p>
        </w:tc>
        <w:tc>
          <w:tcPr>
            <w:tcW w:type="dxa" w:w="12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−1.979966</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0.629371</w:t>
            </w:r>
          </w:p>
        </w:tc>
        <w:tc>
          <w:tcPr>
            <w:tcW w:type="dxa" w:w="2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0.250629</w:t>
            </w:r>
          </w:p>
        </w:tc>
        <w:tc>
          <w:tcPr>
            <w:tcW w:type="dxa" w:w="21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0.125758</w:t>
            </w:r>
          </w:p>
        </w:tc>
      </w:tr>
      <w:tr>
        <w:trPr>
          <w:cantSplit/>
          <w:tblHeader w:val="false"/>
        </w:trPr>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w:t>
            </w:r>
          </w:p>
        </w:tc>
        <w:tc>
          <w:tcPr>
            <w:tcW w:type="dxa" w:w="2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M1_clean_baseline</w:t>
            </w:r>
          </w:p>
        </w:tc>
        <w:tc>
          <w:tcPr>
            <w:tcW w:type="dxa" w:w="7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9</w:t>
            </w:r>
          </w:p>
        </w:tc>
        <w:tc>
          <w:tcPr>
            <w:tcW w:type="dxa" w:w="12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−1.959109</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0.670171</w:t>
            </w:r>
          </w:p>
        </w:tc>
        <w:tc>
          <w:tcPr>
            <w:tcW w:type="dxa" w:w="2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0.278840</w:t>
            </w:r>
          </w:p>
        </w:tc>
        <w:tc>
          <w:tcPr>
            <w:tcW w:type="dxa" w:w="21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0.104677</w:t>
            </w:r>
          </w:p>
        </w:tc>
      </w:tr>
      <w:tr>
        <w:trPr>
          <w:cantSplit/>
          <w:tblHeader w:val="false"/>
        </w:trPr>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w:t>
            </w:r>
          </w:p>
        </w:tc>
        <w:tc>
          <w:tcPr>
            <w:tcW w:type="dxa" w:w="2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M1_clean_baseline</w:t>
            </w:r>
          </w:p>
        </w:tc>
        <w:tc>
          <w:tcPr>
            <w:tcW w:type="dxa" w:w="7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w:t>
            </w:r>
          </w:p>
        </w:tc>
        <w:tc>
          <w:tcPr>
            <w:tcW w:type="dxa" w:w="12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−2.031922</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0.648526</w:t>
            </w:r>
          </w:p>
        </w:tc>
        <w:tc>
          <w:tcPr>
            <w:tcW w:type="dxa" w:w="2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0.265922</w:t>
            </w:r>
          </w:p>
        </w:tc>
        <w:tc>
          <w:tcPr>
            <w:tcW w:type="dxa" w:w="21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0.138359</w:t>
            </w:r>
          </w:p>
        </w:tc>
      </w:tr>
      <w:tr>
        <w:trPr>
          <w:cantSplit/>
          <w:tblHeader w:val="false"/>
        </w:trPr>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w:t>
            </w:r>
          </w:p>
        </w:tc>
        <w:tc>
          <w:tcPr>
            <w:tcW w:type="dxa" w:w="2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C1_clean_categorical</w:t>
            </w:r>
          </w:p>
        </w:tc>
        <w:tc>
          <w:tcPr>
            <w:tcW w:type="dxa" w:w="7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w:t>
            </w:r>
          </w:p>
        </w:tc>
        <w:tc>
          <w:tcPr>
            <w:tcW w:type="dxa" w:w="12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−2.008305</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0.649882</w:t>
            </w:r>
          </w:p>
        </w:tc>
        <w:tc>
          <w:tcPr>
            <w:tcW w:type="dxa" w:w="2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0.266819</w:t>
            </w:r>
          </w:p>
        </w:tc>
        <w:tc>
          <w:tcPr>
            <w:tcW w:type="dxa" w:w="21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0.090336</w:t>
            </w:r>
          </w:p>
        </w:tc>
      </w:tr>
      <w:tr>
        <w:trPr>
          <w:cantSplit/>
          <w:tblHeader w:val="false"/>
        </w:trPr>
        <w:tc>
          <w:tcPr>
            <w:tcW w:type="dxa" w:w="10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w:t>
            </w:r>
          </w:p>
        </w:tc>
        <w:tc>
          <w:tcPr>
            <w:tcW w:type="dxa" w:w="20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M1_clean_baseline</w:t>
            </w:r>
          </w:p>
        </w:tc>
        <w:tc>
          <w:tcPr>
            <w:tcW w:type="dxa" w:w="7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w:t>
            </w:r>
          </w:p>
        </w:tc>
        <w:tc>
          <w:tcPr>
            <w:tcW w:type="dxa" w:w="12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−2.079522</w:t>
            </w:r>
          </w:p>
        </w:tc>
        <w:tc>
          <w:tcPr>
            <w:tcW w:type="dxa" w:w="9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0.622350</w:t>
            </w:r>
          </w:p>
        </w:tc>
        <w:tc>
          <w:tcPr>
            <w:tcW w:type="dxa" w:w="20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0.314825</w:t>
            </w:r>
          </w:p>
        </w:tc>
        <w:tc>
          <w:tcPr>
            <w:tcW w:type="dxa" w:w="2156"/>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0.143284</w:t>
            </w:r>
          </w:p>
        </w:tc>
      </w:tr>
    </w:tbl>
    <w:p>
      <w:pPr>
        <w:keepLines/>
        <w:spacing w:after="100" w:before="45" w:line="220"/>
      </w:pPr>
      <w:r>
        <w:rPr>
          <w:color w:val="000000"/>
          <w:sz w:val="17"/>
          <w:szCs w:val="17"/>
        </w:rPr>
        <w:t xml:space="preserve">Every row was learned from the corresponding outer-development partition; no outer-test observation contributed to selection, calibration or threshold definition.</w:t>
      </w:r>
    </w:p>
    <w:p>
      <w:pPr>
        <w:keepLines w:val="false"/>
        <w:widowControl/>
        <w:spacing w:after="100" w:line="276" w:lineRule="auto"/>
        <w:ind w:firstLine="360"/>
        <w:jc w:val="both"/>
      </w:pPr>
      <w:r>
        <w:rPr>
          <w:color w:val="000000"/>
        </w:rPr>
        <w:t xml:space="preserve">For each outer fold, the validation procedure was:</w:t>
      </w:r>
    </w:p>
    <w:p>
      <w:pPr>
        <w:pStyle w:val="ListParagraph"/>
        <w:numPr>
          <w:ilvl w:val="0"/>
          <w:numId w:val="2"/>
        </w:numPr>
        <w:spacing w:after="70" w:line="260"/>
      </w:pPr>
      <w:r>
        <w:rPr>
          <w:color w:val="000000"/>
        </w:rPr>
        <w:t xml:space="preserve">Hold out every isolate assigned to the outer test fold.</w:t>
      </w:r>
    </w:p>
    <w:p>
      <w:pPr>
        <w:pStyle w:val="ListParagraph"/>
        <w:numPr>
          <w:ilvl w:val="0"/>
          <w:numId w:val="2"/>
        </w:numPr>
        <w:spacing w:after="70" w:line="260"/>
      </w:pPr>
      <w:r>
        <w:rPr>
          <w:color w:val="000000"/>
        </w:rPr>
        <w:t xml:space="preserve">Fit vocabularies, MIC scaling and class weights using the outer-development partition only.</w:t>
      </w:r>
    </w:p>
    <w:p>
      <w:pPr>
        <w:pStyle w:val="ListParagraph"/>
        <w:numPr>
          <w:ilvl w:val="0"/>
          <w:numId w:val="2"/>
        </w:numPr>
        <w:spacing w:after="70" w:line="260"/>
      </w:pPr>
      <w:r>
        <w:rPr>
          <w:color w:val="000000"/>
        </w:rPr>
        <w:t xml:space="preserve">Run subject-grouped inner cross-validation for every eligible configuration and development seed.</w:t>
      </w:r>
    </w:p>
    <w:p>
      <w:pPr>
        <w:pStyle w:val="ListParagraph"/>
        <w:numPr>
          <w:ilvl w:val="0"/>
          <w:numId w:val="2"/>
        </w:numPr>
        <w:spacing w:after="70" w:line="260"/>
      </w:pPr>
      <w:r>
        <w:rPr>
          <w:color w:val="000000"/>
        </w:rPr>
        <w:t xml:space="preserve">Average seed predictions within each inner validation fold and calculate inner AUPRC.</w:t>
      </w:r>
    </w:p>
    <w:p>
      <w:pPr>
        <w:pStyle w:val="ListParagraph"/>
        <w:numPr>
          <w:ilvl w:val="0"/>
          <w:numId w:val="2"/>
        </w:numPr>
        <w:spacing w:after="70" w:line="260"/>
      </w:pPr>
      <w:r>
        <w:rPr>
          <w:color w:val="000000"/>
        </w:rPr>
        <w:t xml:space="preserve">Apply the one-standard-error rule, then derive the selected fixed epoch from inner training histories.</w:t>
      </w:r>
    </w:p>
    <w:p>
      <w:pPr>
        <w:pStyle w:val="ListParagraph"/>
        <w:numPr>
          <w:ilvl w:val="0"/>
          <w:numId w:val="2"/>
        </w:numPr>
        <w:spacing w:after="70" w:line="260"/>
      </w:pPr>
      <w:r>
        <w:rPr>
          <w:color w:val="000000"/>
        </w:rPr>
        <w:t xml:space="preserve">Concatenate selected inner out-of-fold predictions; fit Platt calibration and derive the two operating thresholds from those predictions only.</w:t>
      </w:r>
    </w:p>
    <w:p>
      <w:pPr>
        <w:pStyle w:val="ListParagraph"/>
        <w:numPr>
          <w:ilvl w:val="0"/>
          <w:numId w:val="2"/>
        </w:numPr>
        <w:spacing w:after="70" w:line="260"/>
      </w:pPr>
      <w:r>
        <w:rPr>
          <w:color w:val="000000"/>
        </w:rPr>
        <w:t xml:space="preserve">Fit the selected configuration for the locked epoch on the full outer-development partition for seeds 1, 7 and 42.</w:t>
      </w:r>
    </w:p>
    <w:p>
      <w:pPr>
        <w:pStyle w:val="ListParagraph"/>
        <w:numPr>
          <w:ilvl w:val="0"/>
          <w:numId w:val="2"/>
        </w:numPr>
        <w:spacing w:after="70" w:line="260"/>
      </w:pPr>
      <w:r>
        <w:rPr>
          <w:color w:val="000000"/>
        </w:rPr>
        <w:t xml:space="preserve">Average the three outer-test predictions, apply the fold-specific calibrator and evaluate the untouched outer test fold once.</w:t>
      </w:r>
    </w:p>
    <w:p>
      <w:pPr>
        <w:pStyle w:val="ListParagraph"/>
        <w:numPr>
          <w:ilvl w:val="0"/>
          <w:numId w:val="2"/>
        </w:numPr>
        <w:spacing w:after="70" w:line="260"/>
      </w:pPr>
      <w:r>
        <w:rPr>
          <w:color w:val="000000"/>
        </w:rPr>
        <w:t xml:space="preserve">Retain the fold identifier, selected configuration, epoch, calibration parameters and thresholds with every OOF prediction.</w:t>
      </w:r>
    </w:p>
    <w:p>
      <w:pPr>
        <w:keepLines w:val="false"/>
        <w:widowControl/>
        <w:spacing w:after="100" w:line="276" w:lineRule="auto"/>
        <w:ind w:firstLine="360"/>
        <w:jc w:val="both"/>
      </w:pPr>
      <w:r>
        <w:rPr>
          <w:color w:val="000000"/>
        </w:rPr>
        <w:t xml:space="preserve">Platt scaling was fitted to inner out-of-fold predictions from the outer-development data and applied once to the outer-test predictions. A non-positive fitted slope triggered a prespecified identity fallback rather than reversal of rank. Raw scores were used for discrimination; calibrated probabilities were used for Brier, calibration and threshold analyses. Performance reporting used only predictions from untouched outer-test folds.</w:t>
      </w:r>
    </w:p>
    <w:p>
      <w:pPr>
        <w:pStyle w:val="Heading2"/>
        <w:keepNext/>
        <w:keepLines/>
        <w:spacing w:after="110" w:before="220"/>
      </w:pPr>
      <w:r>
        <w:rPr>
          <w:b/>
          <w:bCs/>
          <w:color w:val="000000"/>
          <w:sz w:val="23"/>
          <w:szCs w:val="23"/>
        </w:rPr>
        <w:t xml:space="preserve">Blocked and holdout validation</w:t>
      </w:r>
    </w:p>
    <w:p>
      <w:pPr>
        <w:keepLines w:val="false"/>
        <w:widowControl/>
        <w:spacing w:after="100" w:line="276" w:lineRule="auto"/>
        <w:ind w:firstLine="360"/>
        <w:jc w:val="both"/>
      </w:pPr>
      <w:r>
        <w:rPr>
          <w:color w:val="000000"/>
        </w:rPr>
        <w:t xml:space="preserve">The final blocked sensitivity formed connected components on a bipartite graph linking SUBJID to the supplied source-sublineage label. Every isolate belonging to a connected subject–sublineage component was assigned to one group. The map contained 10,497 isolates, 10,189 subjects, 253 source sublineages and 224 connected components; 41 subjects (110 isolates) linked more than one source sublineage. The largest component contained 5939 isolates (56.6%), so three outer and three inner folds were the largest feasible nested profile with events in every held-out fold. Actual joint-blocked outer test folds contained 750/41, 2085/128 and 631/41 isolates/events. No subject, source sublineage or connected component crossed an outer fold.</w:t>
      </w:r>
    </w:p>
    <w:p>
      <w:pPr>
        <w:keepLines w:val="false"/>
        <w:widowControl/>
        <w:spacing w:after="100" w:line="276" w:lineRule="auto"/>
        <w:ind w:firstLine="360"/>
        <w:jc w:val="both"/>
      </w:pPr>
      <w:r>
        <w:rPr>
          <w:color w:val="000000"/>
        </w:rPr>
        <w:t xml:space="preserve">Every outer fold retained separate neural-procedure selection and calibration. Raw scores assessed discrimination, and testing-budget ranking was performed within each outer test fold before counts were aggregated. We report both pooled OOF and macro mean-fold AUPRC because the event prevalence and fold sizes were heterogeneous. The connected-component definition was used consistently for the neural procedure, XGBoost, a separate fixed-C all-token logistic comparator and five nested-C </w:t>
      </w:r>
      <w:r>
        <w:rPr>
          <w:i/>
          <w:iCs/>
          <w:color w:val="000000"/>
        </w:rPr>
        <w:t xml:space="preserve">rpoB</w:t>
      </w:r>
      <w:r>
        <w:rPr>
          <w:color w:val="000000"/>
        </w:rPr>
        <w:t xml:space="preserve"> simplification variants. The fixed-C comparator used scikit-learn's C=1.0 after outer-development vectorisation. Each </w:t>
      </w:r>
      <w:r>
        <w:rPr>
          <w:i/>
          <w:iCs/>
          <w:color w:val="000000"/>
        </w:rPr>
        <w:t xml:space="preserve">rpoB</w:t>
      </w:r>
      <w:r>
        <w:rPr>
          <w:color w:val="000000"/>
        </w:rPr>
        <w:t xml:space="preserve"> variant instead selected C inside the corresponding joint outer-development partition.</w:t>
      </w:r>
    </w:p>
    <w:p>
      <w:pPr>
        <w:keepLines w:val="false"/>
        <w:widowControl/>
        <w:spacing w:after="100" w:line="276" w:lineRule="auto"/>
        <w:ind w:firstLine="360"/>
        <w:jc w:val="both"/>
      </w:pPr>
      <w:r>
        <w:rPr>
          <w:color w:val="000000"/>
        </w:rPr>
        <w:t xml:space="preserve">For joint-blocked budgets, fold-specific recall is reported alongside the aggregate estimate. At 10%, aggregate recall was 68.8% for the neural procedure, 69.7% for XGBoost and 67.1% for the selected carrier≥10 procedure. The carrier≥10 procedure's outer-fold recall ranged from 61.4% to 74.7%. Every point is the exact uniform expectation within the fold-specific boundary tie. Connected components were highly imbalanced across only three outer folds, including one component of 2076 isolates; component-bootstrap intervals are therefore interpreted as conditional robustness intervals for this locked split.</w:t>
      </w:r>
    </w:p>
    <w:p>
      <w:pPr>
        <w:keepLines w:val="false"/>
        <w:widowControl/>
        <w:spacing w:after="100" w:line="276" w:lineRule="auto"/>
        <w:ind w:firstLine="360"/>
        <w:jc w:val="both"/>
      </w:pPr>
      <w:r>
        <w:rPr>
          <w:color w:val="000000"/>
        </w:rPr>
        <w:t xml:space="preserve">Leave-one-lineage-out and leave-one-site-out analyses were restricted to groups with at least 10 positive and 10 negative isolates for the conditional endpoint. Five training seeds were used for the neural analysis. All-token logistic regression, XGBoost and the carrier≥10 </w:t>
      </w:r>
      <w:r>
        <w:rPr>
          <w:i/>
          <w:iCs/>
          <w:color w:val="000000"/>
        </w:rPr>
        <w:t xml:space="preserve">rpoB</w:t>
      </w:r>
      <w:r>
        <w:rPr>
          <w:color w:val="000000"/>
        </w:rPr>
        <w:t xml:space="preserve"> logistic procedure were fitted on each complementary training partition, and results were reported for every eligible held-out group rather than only as group means. Outputs include held-out sample size, event count, prevalence, AUROC, AUPRC and fold-local 10%-budget recall, PPV and tests per low-MIC isolate detected. Subject-cluster percentile intervals used 1000 replicates within each held-out group for the original model set; the carrier≥10 procedure is reported with original-sample group estimates.</w:t>
      </w:r>
    </w:p>
    <w:p>
      <w:pPr>
        <w:pStyle w:val="Heading2"/>
        <w:keepNext/>
        <w:keepLines/>
        <w:spacing w:after="110" w:before="220"/>
      </w:pPr>
      <w:r>
        <w:rPr>
          <w:b/>
          <w:bCs/>
          <w:color w:val="000000"/>
          <w:sz w:val="23"/>
          <w:szCs w:val="23"/>
        </w:rPr>
        <w:t xml:space="preserve">Targeted concentration and phenotype-quality analyses</w:t>
      </w:r>
    </w:p>
    <w:p>
      <w:pPr>
        <w:keepLines w:val="false"/>
        <w:widowControl/>
        <w:spacing w:after="100" w:line="276" w:lineRule="auto"/>
        <w:ind w:firstLine="360"/>
        <w:jc w:val="both"/>
      </w:pPr>
      <w:r>
        <w:rPr>
          <w:color w:val="000000"/>
        </w:rPr>
        <w:t xml:space="preserve">The endpoint concentration analysis counted events by site and lineage before model fitting. Three subject-grouped five-fold analyses then removed PER|05, Lineage 4 or both and refitted logistic regression, XGBoost and the selected carrier≥10 procedure within the retained cohort. Fold-local budgets were applied after exclusion, and estimates were calculated only among retained isolates. These analyses quantify dependence on dominant groups.</w:t>
      </w:r>
    </w:p>
    <w:p>
      <w:pPr>
        <w:keepLines w:val="false"/>
        <w:widowControl/>
        <w:spacing w:after="100" w:line="276" w:lineRule="auto"/>
        <w:ind w:firstLine="360"/>
        <w:jc w:val="both"/>
      </w:pPr>
      <w:r>
        <w:rPr>
          <w:color w:val="000000"/>
        </w:rPr>
        <w:t xml:space="preserve">The primary configuration required high-quality phenotypes (`high_quality_only=true`). A separate sensitivity analysis admitted high- and medium-quality paired phenotypes (`high_quality_only=false`) and regenerated subject-grouped five-fold assignments. This expanded the conditional cohort to 4266 isolates with 258 RFB-lowMIC events; the neural, XGBoost, all-token logistic and selected carrier≥10 procedures were refitted, while the high-quality cohort remained primary.</w:t>
      </w:r>
    </w:p>
    <w:p>
      <w:pPr>
        <w:pStyle w:val="Heading2"/>
        <w:keepNext/>
        <w:keepLines/>
        <w:spacing w:after="110" w:before="220"/>
      </w:pPr>
      <w:r>
        <w:rPr>
          <w:b/>
          <w:bCs/>
          <w:color w:val="000000"/>
          <w:sz w:val="23"/>
          <w:szCs w:val="23"/>
        </w:rPr>
        <w:t xml:space="preserve">Event-cap sensitivity, logistic simplification and full-cohort refit</w:t>
      </w:r>
    </w:p>
    <w:p>
      <w:pPr>
        <w:keepLines w:val="false"/>
        <w:widowControl/>
        <w:spacing w:after="100" w:line="276" w:lineRule="auto"/>
        <w:ind w:firstLine="360"/>
        <w:jc w:val="both"/>
      </w:pPr>
      <w:r>
        <w:rPr>
          <w:color w:val="000000"/>
        </w:rPr>
        <w:t xml:space="preserve">The neural rank sensitivity analysis repeated the subject-grouped five-fold fit with maximum sequence lengths of 64, 128 and 256 events. Of 3466 primary isolates, 45 (1.30%) exceeded 64 events, two (0.058%) exceeded 128 and one (0.029%) exceeded 256; the maximum was 486 events. The 64-, 128- and 256-event settings discarded 784, 418 and 230 events in total, respectively. These runs emitted uncalibrated neural scores (`probability=raw score`); interpretation was therefore restricted to AUPRC, AUROC and fold-local budget ranking.</w:t>
      </w:r>
    </w:p>
    <w:p>
      <w:pPr>
        <w:keepLines w:val="false"/>
        <w:widowControl/>
        <w:spacing w:after="100" w:line="276" w:lineRule="auto"/>
        <w:ind w:firstLine="360"/>
        <w:jc w:val="both"/>
      </w:pPr>
      <w:r>
        <w:rPr>
          <w:color w:val="000000"/>
        </w:rPr>
        <w:t xml:space="preserve">The logistic sensitivity used scikit-learn `LogisticRegression` with liblinear optimisation, L2 penalty, balanced class weights and maximum 5000 iterations. Within each outer-development partition, C was selected from 0.0001, 0.001, 0.01, 0.1, 1, 10 and 100. Initial variants used the complete mutation-token matrix, minimum development-carrier filters or unrestricted </w:t>
      </w:r>
      <w:r>
        <w:rPr>
          <w:i/>
          <w:iCs/>
          <w:color w:val="000000"/>
        </w:rPr>
        <w:t xml:space="preserve">rpoB</w:t>
      </w:r>
      <w:r>
        <w:rPr>
          <w:color w:val="000000"/>
        </w:rPr>
        <w:t xml:space="preserve"> tokens. The classical-closure analysis then compared five </w:t>
      </w:r>
      <w:r>
        <w:rPr>
          <w:i/>
          <w:iCs/>
          <w:color w:val="000000"/>
        </w:rPr>
        <w:t xml:space="preserve">rpoB</w:t>
      </w:r>
      <w:r>
        <w:rPr>
          <w:color w:val="000000"/>
        </w:rPr>
        <w:t xml:space="preserve"> variants: unrestricted mutation tokens, token carrier thresholds of 5 and 10, and protein-change carrier thresholds of 5 and 10. Every carrier filter and C selection was fitted inside the relevant outer-development partition.</w:t>
      </w:r>
    </w:p>
    <w:p>
      <w:pPr>
        <w:keepLines w:val="false"/>
        <w:widowControl/>
        <w:spacing w:after="100" w:line="276" w:lineRule="auto"/>
        <w:ind w:firstLine="360"/>
        <w:jc w:val="both"/>
      </w:pPr>
      <w:r>
        <w:rPr>
          <w:color w:val="000000"/>
        </w:rPr>
        <w:t xml:space="preserve">A post-comparison parsimony rule retained variants whose pooled OOF AUPRC was within 0.02 of the best primary and 0.03 of the best joint result and whose 10%-budget recall was within 0.05 of the best result in both profiles. Eligible variants were ordered by median feature count and then by joint and primary pooled AUPRC. The carrier≥10 mutation-token variant and the carrier≥5 protein-change variant met all four criteria; the former was selected because its outer-fold models used a median of 33.5 versus 60.0 features. Confidence intervals reported for this selected procedure are conditional descriptive intervals and do not adjust for the selection step.</w:t>
      </w:r>
    </w:p>
    <w:p>
      <w:pPr>
        <w:keepLines w:val="false"/>
        <w:widowControl/>
        <w:spacing w:after="100" w:line="276" w:lineRule="auto"/>
        <w:ind w:firstLine="360"/>
        <w:jc w:val="both"/>
      </w:pPr>
      <w:r>
        <w:rPr>
          <w:color w:val="000000"/>
        </w:rPr>
        <w:t xml:space="preserve">The selected variant was refitted on all 3466 primary isolates. The frozen model uses 37 recurrent </w:t>
      </w:r>
      <w:r>
        <w:rPr>
          <w:i/>
          <w:iCs/>
          <w:color w:val="000000"/>
        </w:rPr>
        <w:t xml:space="preserve">rpoB</w:t>
      </w:r>
      <w:r>
        <w:rPr>
          <w:color w:val="000000"/>
        </w:rPr>
        <w:t xml:space="preserve"> mutation tokens, C=0.1 and a fixed intercept of 0.7838316512; its model SHA-256 is `7fa515b381935d9186ed17d937013052f0e3357859f9c4f5d7c74dfd0e4f629c`. Unknown tokens are ignored, and an isolate without a recognised token receives the intercept-only score. The supplied specification, coefficient table, carrier table and prediction function reproduce the serialised scikit-learn model. Performance estimates come from cross-validated OOF predictions, not this full-cohort refit.</w:t>
      </w:r>
    </w:p>
    <w:p>
      <w:pPr>
        <w:keepLines w:val="false"/>
        <w:widowControl/>
        <w:spacing w:after="100" w:line="276" w:lineRule="auto"/>
        <w:ind w:firstLine="360"/>
        <w:jc w:val="both"/>
      </w:pPr>
      <w:r>
        <w:rPr>
          <w:color w:val="000000"/>
        </w:rPr>
        <w:t xml:space="preserve">The class-weighted output is interpreted as a relative prioritisation score. It is not an absolute RFB-lowMIC probability and should not be used with a fixed probability threshold without local calibration.</w:t>
      </w:r>
    </w:p>
    <w:p>
      <w:pPr>
        <w:pStyle w:val="Heading2"/>
        <w:keepNext/>
        <w:keepLines/>
        <w:spacing w:after="110" w:before="220"/>
      </w:pPr>
      <w:r>
        <w:rPr>
          <w:b/>
          <w:bCs/>
          <w:color w:val="000000"/>
          <w:sz w:val="23"/>
          <w:szCs w:val="23"/>
        </w:rPr>
        <w:t xml:space="preserve">Comparators and operating policies</w:t>
      </w:r>
    </w:p>
    <w:p>
      <w:pPr>
        <w:keepLines w:val="false"/>
        <w:widowControl/>
        <w:spacing w:after="100" w:line="276" w:lineRule="auto"/>
        <w:ind w:firstLine="360"/>
        <w:jc w:val="both"/>
      </w:pPr>
      <w:r>
        <w:rPr>
          <w:color w:val="000000"/>
        </w:rPr>
        <w:t xml:space="preserve">Comparators were a WHO-catalogue rule, class-balanced logistic regression, class-balanced XGBoost and a transparent four-variant rule prioritising </w:t>
      </w:r>
      <w:r>
        <w:rPr>
          <w:i/>
          <w:iCs/>
          <w:color w:val="000000"/>
        </w:rPr>
        <w:t xml:space="preserve">rpoB</w:t>
      </w:r>
      <w:r>
        <w:rPr>
          <w:color w:val="000000"/>
        </w:rPr>
        <w:t xml:space="preserve"> D435V, D435Y, H445L or L430P. Trainable comparators used only outer-development data and identical fold assignments. Categorical, ESM-2 and ESMC representation comparisons also used the same endpoint and folds.</w:t>
      </w:r>
    </w:p>
    <w:p>
      <w:pPr>
        <w:keepLines w:val="false"/>
        <w:widowControl/>
        <w:spacing w:after="100" w:line="276" w:lineRule="auto"/>
        <w:ind w:firstLine="360"/>
        <w:jc w:val="both"/>
      </w:pPr>
      <w:r>
        <w:rPr>
          <w:color w:val="000000"/>
        </w:rPr>
        <w:t xml:space="preserve">Testing-budget policies selected the highest-ranked 5%, 10%, 15% or 20% separately inside each held-out outer test fold. The number selected in a fold was the ceiling of the fold size multiplied by the nominal budget. Confusion counts were summed across outer folds before calculating event recall, PPV, NPV, specificity and tests per low-MIC isolate detected. The primary analysis ranked isolates within each outer test fold because scores produced by different fitted models and calibrators are not guaranteed to be directly comparable. Global top-k ranking of pooled OOF scores was examined only as a sensitivity analysis. The endpoint and AUPRC model-selection rule were protocol defined; the 10% emphasis and parsimony envelope were post-comparison operational choices used to define an exploratory candidate for future evaluation.</w:t>
      </w:r>
    </w:p>
    <w:p>
      <w:pPr>
        <w:keepLines w:val="false"/>
        <w:widowControl/>
        <w:spacing w:after="100" w:line="276" w:lineRule="auto"/>
        <w:ind w:firstLine="360"/>
        <w:jc w:val="both"/>
      </w:pPr>
      <w:r>
        <w:rPr>
          <w:color w:val="000000"/>
        </w:rPr>
        <w:t xml:space="preserve">The WHO-catalogue and four-variant comparators generate large tied score groups, and learned-model scores may also be quantised at a budget boundary. The operating-policy procedure retained all scores strictly above the boundary and assigned the remaining slots uniformly within the boundary tie group. Final point estimates use the exact expected event count under this policy, so identifiers and input-row order cannot influence the result. At a 10% budget, expected recall was 71.9% for the nested procedure, 74.5% for full all-token logistic regression, 71.5% for the cross-validated carrier≥10 procedure, 75.9% for XGBoost, 46.2% for the four-</w:t>
      </w:r>
      <w:r>
        <w:rPr>
          <w:i/>
          <w:iCs/>
          <w:color w:val="000000"/>
        </w:rPr>
        <w:t xml:space="preserve">rpoB</w:t>
      </w:r>
      <w:r>
        <w:rPr>
          <w:color w:val="000000"/>
        </w:rPr>
        <w:t xml:space="preserve"> rule and 11.8% for the WHO comparator.</w:t>
      </w:r>
    </w:p>
    <w:p>
      <w:pPr>
        <w:keepLines w:val="false"/>
        <w:widowControl/>
        <w:spacing w:after="100" w:line="276" w:lineRule="auto"/>
        <w:ind w:firstLine="360"/>
        <w:jc w:val="both"/>
      </w:pPr>
      <w:r>
        <w:rPr>
          <w:color w:val="000000"/>
        </w:rPr>
        <w:t xml:space="preserve">Two fold-locked thresholds targeted approximately 95% specificity and 80% sensitivity using inner calibrated predictions. They were then applied without modification to the corresponding outer-test fold.</w:t>
      </w:r>
    </w:p>
    <w:p>
      <w:pPr>
        <w:pStyle w:val="Heading2"/>
        <w:keepNext/>
        <w:keepLines/>
        <w:spacing w:after="110" w:before="220"/>
      </w:pPr>
      <w:r>
        <w:rPr>
          <w:b/>
          <w:bCs/>
          <w:color w:val="000000"/>
          <w:sz w:val="23"/>
          <w:szCs w:val="23"/>
        </w:rPr>
        <w:t xml:space="preserve">Statistical analysis</w:t>
      </w:r>
    </w:p>
    <w:p>
      <w:pPr>
        <w:keepLines w:val="false"/>
        <w:widowControl/>
        <w:spacing w:after="100" w:line="276" w:lineRule="auto"/>
        <w:ind w:firstLine="360"/>
        <w:jc w:val="both"/>
      </w:pPr>
      <w:r>
        <w:rPr>
          <w:color w:val="000000"/>
        </w:rPr>
        <w:t xml:space="preserve">AUPRC was the primary metric because the positive class was uncommon and its no-information value equals event prevalence. Secondary measures were AUROC, Brier score, Brier skill against a constant-prevalence prediction, calibration intercept and slope, log loss, sensitivity, specificity, PPV, NPV and tests per low-MIC isolate detected. Primary discrimination, calibration and paired differences used 2000 subject-cluster bootstrap replicates. Joint carrier≥10-procedure discrimination and paired differences used 2000 resamples of the locked subject–sublineage connected components. Point estimates were calculated on the original held-out sample, and a paired comparison was considered resolved only when its 95% confidence interval excluded zero.</w:t>
      </w:r>
    </w:p>
    <w:p>
      <w:pPr>
        <w:keepLines w:val="false"/>
        <w:widowControl/>
        <w:spacing w:after="100" w:line="276" w:lineRule="auto"/>
        <w:ind w:firstLine="360"/>
        <w:jc w:val="both"/>
      </w:pPr>
      <w:r>
        <w:rPr>
          <w:color w:val="000000"/>
        </w:rPr>
        <w:t xml:space="preserve">Logistic-regression and XGBoost comparator values were raw class-weighted scores rather than probabilities passed through fold-specific Platt calibration. Their AUPRC and AUROC support ranking comparisons, while Brier skill and reliability summaries are raw-score diagnostics. They were displayed separately from the calibrated nested-procedure curve.</w:t>
      </w:r>
    </w:p>
    <w:p>
      <w:pPr>
        <w:keepLines w:val="false"/>
        <w:widowControl/>
        <w:spacing w:after="100" w:line="276" w:lineRule="auto"/>
        <w:ind w:firstLine="360"/>
        <w:jc w:val="both"/>
      </w:pPr>
      <w:r>
        <w:rPr>
          <w:color w:val="000000"/>
        </w:rPr>
        <w:t xml:space="preserve">For budget analyses, the resampling unit was SUBJID. Subjects were sampled with replacement separately within each outer test fold, and all isolates from each selected subject were retained. Fold-local top-k selection and exact uniform boundary-tie expectations were recalculated in each of 2000 bootstrap samples. Confusion counts were aggregated across folds, and percentile intervals were reported for recall, PPV, tests per low-MIC isolate detected, detected events, missed events and paired model differences. This procedure captures within-subject correlation while preserving the fitted outer-fold structure.</w:t>
      </w:r>
    </w:p>
    <w:p>
      <w:pPr>
        <w:keepLines w:val="false"/>
        <w:widowControl/>
        <w:spacing w:after="100" w:line="276" w:lineRule="auto"/>
        <w:ind w:firstLine="360"/>
        <w:jc w:val="both"/>
      </w:pPr>
      <w:r>
        <w:rPr>
          <w:color w:val="000000"/>
        </w:rPr>
        <w:t xml:space="preserve">The endpoint sensitivity excluded 134 isolates at the nominal 0.12-mg/L dilution, identified as numeric values within ±0.0005 mg/L of 0.12 (the source representation was 0.119908014916). This left 3332 isolates from 3263 subjects and 76 low-MIC events. Archived OOF ranking scores were retained without refitting. Discrimination and fold-local budget metrics were recomputed with 2000 SUBJID-cluster bootstrap replicates within the locked outer folds. This fixed-score analysis tests ranking behaviour after removal of the ECOFF-boundary dilution rather than estimating a newly trained grey-zone model.</w:t>
      </w:r>
    </w:p>
    <w:p>
      <w:pPr>
        <w:keepLines w:val="false"/>
        <w:widowControl/>
        <w:spacing w:after="100" w:line="276" w:lineRule="auto"/>
        <w:ind w:firstLine="360"/>
        <w:jc w:val="both"/>
      </w:pPr>
      <w:r>
        <w:rPr>
          <w:color w:val="000000"/>
        </w:rPr>
        <w:t xml:space="preserve">Mutation associations were evaluated in the paired rifampicin high-MIC cohort. The workflow calculated carrier counts, low-MIC proportions and 95% binomial intervals, Fisher exact tests with Benjamini–Hochberg correction and Firth bias-reduced logistic regression. Adjustment variables were lineage, site, country and burden of other nonsynonymous </w:t>
      </w:r>
      <w:r>
        <w:rPr>
          <w:i/>
          <w:iCs/>
          <w:color w:val="000000"/>
        </w:rPr>
        <w:t xml:space="preserve">rpoB</w:t>
      </w:r>
      <w:r>
        <w:rPr>
          <w:color w:val="000000"/>
        </w:rPr>
        <w:t xml:space="preserve"> events when estimable. Single-</w:t>
      </w:r>
      <w:r>
        <w:rPr>
          <w:i/>
          <w:iCs/>
          <w:color w:val="000000"/>
        </w:rPr>
        <w:t xml:space="preserve">rpoB</w:t>
      </w:r>
      <w:r>
        <w:rPr>
          <w:color w:val="000000"/>
        </w:rPr>
        <w:t xml:space="preserve"> and compound-</w:t>
      </w:r>
      <w:r>
        <w:rPr>
          <w:i/>
          <w:iCs/>
          <w:color w:val="000000"/>
        </w:rPr>
        <w:t xml:space="preserve">rpoB</w:t>
      </w:r>
      <w:r>
        <w:rPr>
          <w:color w:val="000000"/>
        </w:rPr>
        <w:t xml:space="preserve"> contexts were examined where sample sizes permitted.</w:t>
      </w:r>
    </w:p>
    <w:p>
      <w:pPr>
        <w:keepLines w:val="false"/>
        <w:widowControl/>
        <w:spacing w:after="100" w:line="276" w:lineRule="auto"/>
        <w:ind w:firstLine="360"/>
        <w:jc w:val="both"/>
      </w:pPr>
      <w:r>
        <w:rPr>
          <w:color w:val="000000"/>
        </w:rPr>
        <w:t xml:space="preserve">Cross-fitted direction stability was evaluated across outer folds. Token-deletion effects were calculated only for isolates not used to train the corresponding model. Tokens with identical carrier sets were collapsed to one deterministic representative. Prespecified candidate gates covered carrier count, Firth evidence, effect interval, cross-fit stability, subgroup consistency, harmonised MIC evidence, token-deletion support, independent external replication and experimental support. Only candidates passing every required gate could be labelled validation-ready.</w:t>
      </w:r>
    </w:p>
    <w:p>
      <w:pPr>
        <w:pStyle w:val="Heading2"/>
        <w:keepNext/>
        <w:keepLines/>
        <w:spacing w:after="110" w:before="220"/>
      </w:pPr>
      <w:r>
        <w:rPr>
          <w:b/>
          <w:bCs/>
          <w:color w:val="000000"/>
          <w:sz w:val="23"/>
          <w:szCs w:val="23"/>
        </w:rPr>
        <w:t xml:space="preserve">Software and reproducibility</w:t>
      </w:r>
    </w:p>
    <w:p>
      <w:pPr>
        <w:keepLines w:val="false"/>
        <w:widowControl/>
        <w:spacing w:after="100" w:line="276" w:lineRule="auto"/>
        <w:ind w:firstLine="360"/>
        <w:jc w:val="both"/>
      </w:pPr>
      <w:r>
        <w:rPr>
          <w:color w:val="000000"/>
        </w:rPr>
        <w:t>Analyses used Python 3.10.20, NumPy 2.2.6, pandas 2.3.3, SciPy 1.15.3, scikit-learn 1.7.2, statsmodels 0.14.6, PyTorch 2.6.0 with CUDA 12.4, XGBoost 3.2.0, pyarrow 22.0.0 and matplotlib 3.10.9. The reproducibility package retains cohort membership, folds, model selections, calibration, operating-policy outputs and file hashes; the accompanying reproducibility archive is provided as Additional file 2.</w:t>
      </w:r>
    </w:p>
    <w:p>
      <w:pPr>
        <w:keepNext/>
        <w:pageBreakBefore/>
        <w:spacing w:after="120" w:before="0"/>
      </w:pPr>
      <w:r>
        <w:rPr>
          <w:rFonts w:ascii="Times New Roman" w:cs="Times New Roman" w:eastAsia="Times New Roman" w:hAnsi="Times New Roman"/>
          <w:b/>
          <w:bCs/>
          <w:color w:val="000000"/>
          <w:sz w:val="26"/>
          <w:szCs w:val="26"/>
        </w:rPr>
        <w:t xml:space="preserve">Supplementary Figure S1</w:t>
      </w:r>
    </w:p>
    <w:p>
      <w:pPr>
        <w:keepNext/>
        <w:spacing w:after="0" w:before="120"/>
        <w:jc w:val="center"/>
      </w:pPr>
      <w:r>
        <w:rPr>
          <w:color w:val="000000"/>
        </w:rPr>
        <w:drawing>
          <wp:inline distT="0" distB="0" distL="0" distR="0">
            <wp:extent cx="6477000" cy="3238500"/>
            <wp:effectExtent t="0" r="0" b="0" l="0"/>
            <wp:docPr id="1" name="Supplementary Figure S1" descr="Supplementary Figure S1" title="Supplementary Figure 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6477000" cy="3238500"/>
                    </a:xfrm>
                    <a:prstGeom prst="rect">
                      <a:avLst/>
                    </a:prstGeom>
                  </pic:spPr>
                </pic:pic>
              </a:graphicData>
            </a:graphic>
          </wp:inline>
        </w:drawing>
      </w:r>
    </w:p>
    <w:p>
      <w:pPr>
        <w:keepLines/>
        <w:spacing w:after="150" w:before="70" w:line="240"/>
        <w:jc w:val="both"/>
      </w:pPr>
      <w:r>
        <w:rPr>
          <w:b/>
          <w:bCs/>
          <w:color w:val="000000"/>
          <w:sz w:val="18"/>
          <w:szCs w:val="18"/>
        </w:rPr>
        <w:t xml:space="preserve">Supplementary Figure S1 | </w:t>
      </w:r>
      <w:r>
        <w:rPr>
          <w:color w:val="000000"/>
          <w:sz w:val="18"/>
          <w:szCs w:val="18"/>
        </w:rPr>
        <w:t xml:space="preserve">Phenotype harmonization summary. Phenotype record distributions by site, drug, and broth-microdilution plate method.</w:t>
      </w:r>
    </w:p>
    <w:p>
      <w:pPr>
        <w:keepNext/>
        <w:pageBreakBefore/>
        <w:spacing w:after="120" w:before="0"/>
      </w:pPr>
      <w:r>
        <w:rPr>
          <w:rFonts w:ascii="Times New Roman" w:cs="Times New Roman" w:eastAsia="Times New Roman" w:hAnsi="Times New Roman"/>
          <w:b/>
          <w:bCs/>
          <w:color w:val="000000"/>
          <w:sz w:val="26"/>
          <w:szCs w:val="26"/>
        </w:rPr>
        <w:t xml:space="preserve">Supplementary Figure S2</w:t>
      </w:r>
    </w:p>
    <w:p>
      <w:pPr>
        <w:keepNext/>
        <w:spacing w:after="0" w:before="120"/>
        <w:jc w:val="center"/>
      </w:pPr>
      <w:r>
        <w:rPr>
          <w:color w:val="000000"/>
        </w:rPr>
        <w:drawing>
          <wp:inline distT="0" distB="0" distL="0" distR="0">
            <wp:extent cx="6477000" cy="3124200"/>
            <wp:effectExtent t="0" r="0" b="0" l="0"/>
            <wp:docPr id="1" name="Supplementary Figure S2" descr="Supplementary Figure S2" title="Supplementary Figure 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6477000" cy="3124200"/>
                    </a:xfrm>
                    <a:prstGeom prst="rect">
                      <a:avLst/>
                    </a:prstGeom>
                  </pic:spPr>
                </pic:pic>
              </a:graphicData>
            </a:graphic>
          </wp:inline>
        </w:drawing>
      </w:r>
    </w:p>
    <w:p>
      <w:pPr>
        <w:keepLines/>
        <w:spacing w:after="150" w:before="70" w:line="240"/>
        <w:jc w:val="both"/>
      </w:pPr>
      <w:r>
        <w:rPr>
          <w:b/>
          <w:bCs/>
          <w:color w:val="000000"/>
          <w:sz w:val="18"/>
          <w:szCs w:val="18"/>
        </w:rPr>
        <w:t xml:space="preserve">Supplementary Figure S2 | </w:t>
      </w:r>
      <w:r>
        <w:rPr>
          <w:color w:val="000000"/>
          <w:sz w:val="18"/>
          <w:szCs w:val="18"/>
        </w:rPr>
        <w:t xml:space="preserve">Subject-grouped outer-fold heterogeneity. Independent points show fold-specific discrimination and prevalence; bars show fold-specific cohort and event counts. Fold numbers are arbitrary labels and are not connected as a sequence.</w:t>
      </w:r>
    </w:p>
    <w:p>
      <w:pPr>
        <w:keepNext/>
        <w:pageBreakBefore/>
        <w:spacing w:after="120" w:before="0"/>
      </w:pPr>
      <w:r>
        <w:rPr>
          <w:rFonts w:ascii="Times New Roman" w:cs="Times New Roman" w:eastAsia="Times New Roman" w:hAnsi="Times New Roman"/>
          <w:b/>
          <w:bCs/>
          <w:color w:val="000000"/>
          <w:sz w:val="26"/>
          <w:szCs w:val="26"/>
        </w:rPr>
        <w:t xml:space="preserve">Supplementary Figure S3</w:t>
      </w:r>
    </w:p>
    <w:p>
      <w:pPr>
        <w:keepNext/>
        <w:spacing w:after="0" w:before="120"/>
        <w:jc w:val="center"/>
      </w:pPr>
      <w:r>
        <w:rPr>
          <w:color w:val="000000"/>
        </w:rPr>
        <w:drawing>
          <wp:inline distT="0" distB="0" distL="0" distR="0">
            <wp:extent cx="6477000" cy="3581400"/>
            <wp:effectExtent t="0" r="0" b="0" l="0"/>
            <wp:docPr id="1" name="Supplementary Figure S3" descr="Supplementary Figure S3" title="Supplementary Figure 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6477000" cy="3581400"/>
                    </a:xfrm>
                    <a:prstGeom prst="rect">
                      <a:avLst/>
                    </a:prstGeom>
                  </pic:spPr>
                </pic:pic>
              </a:graphicData>
            </a:graphic>
          </wp:inline>
        </w:drawing>
      </w:r>
    </w:p>
    <w:p>
      <w:pPr>
        <w:keepLines/>
        <w:spacing w:after="150" w:before="70" w:line="240"/>
        <w:jc w:val="both"/>
      </w:pPr>
      <w:r>
        <w:rPr>
          <w:b/>
          <w:bCs/>
          <w:color w:val="000000"/>
          <w:sz w:val="18"/>
          <w:szCs w:val="18"/>
        </w:rPr>
        <w:t xml:space="preserve">Supplementary Figure S3 | </w:t>
      </w:r>
      <w:r>
        <w:rPr>
          <w:color w:val="000000"/>
          <w:sz w:val="18"/>
          <w:szCs w:val="18"/>
        </w:rPr>
        <w:t xml:space="preserve">One-standard-error model selection. Inner-fold AUPRC means and standard errors; the minimum-complexity eligible model is highlighted.</w:t>
      </w:r>
    </w:p>
    <w:p>
      <w:pPr>
        <w:keepNext/>
        <w:pageBreakBefore/>
        <w:spacing w:after="120" w:before="0"/>
      </w:pPr>
      <w:r>
        <w:rPr>
          <w:rFonts w:ascii="Times New Roman" w:cs="Times New Roman" w:eastAsia="Times New Roman" w:hAnsi="Times New Roman"/>
          <w:b/>
          <w:bCs/>
          <w:color w:val="000000"/>
          <w:sz w:val="26"/>
          <w:szCs w:val="26"/>
        </w:rPr>
        <w:t xml:space="preserve">Supplementary Figure S4</w:t>
      </w:r>
    </w:p>
    <w:p>
      <w:pPr>
        <w:keepNext/>
        <w:spacing w:after="0" w:before="120"/>
        <w:jc w:val="center"/>
      </w:pPr>
      <w:r>
        <w:rPr>
          <w:color w:val="000000"/>
        </w:rPr>
        <w:drawing>
          <wp:inline distT="0" distB="0" distL="0" distR="0">
            <wp:extent cx="6477000" cy="3924300"/>
            <wp:effectExtent t="0" r="0" b="0" l="0"/>
            <wp:docPr id="1" name="Supplementary Figure S4" descr="Supplementary Figure S4" title="Supplementary Figure 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6477000" cy="3924300"/>
                    </a:xfrm>
                    <a:prstGeom prst="rect">
                      <a:avLst/>
                    </a:prstGeom>
                  </pic:spPr>
                </pic:pic>
              </a:graphicData>
            </a:graphic>
          </wp:inline>
        </w:drawing>
      </w:r>
    </w:p>
    <w:p>
      <w:pPr>
        <w:keepLines/>
        <w:spacing w:after="150" w:before="70" w:line="240"/>
        <w:jc w:val="both"/>
      </w:pPr>
      <w:r>
        <w:rPr>
          <w:b/>
          <w:bCs/>
          <w:color w:val="000000"/>
          <w:sz w:val="18"/>
          <w:szCs w:val="18"/>
        </w:rPr>
        <w:t xml:space="preserve">Supplementary Figure S4 | </w:t>
      </w:r>
      <w:r>
        <w:rPr>
          <w:color w:val="000000"/>
          <w:sz w:val="18"/>
          <w:szCs w:val="18"/>
        </w:rPr>
        <w:t xml:space="preserve">Group-specific lineage and site holdouts. Panel a shows AUPRC for every eligible holdout under the nested procedure, full logistic regression, carrier≥10 </w:t>
      </w:r>
      <w:r>
        <w:rPr>
          <w:i/>
          <w:iCs/>
          <w:color w:val="000000"/>
          <w:sz w:val="18"/>
          <w:szCs w:val="18"/>
        </w:rPr>
        <w:t xml:space="preserve">rpoB</w:t>
      </w:r>
      <w:r>
        <w:rPr>
          <w:color w:val="000000"/>
          <w:sz w:val="18"/>
          <w:szCs w:val="18"/>
        </w:rPr>
        <w:t xml:space="preserve"> logistic procedure and XGBoost, with held-out prevalence as open diamonds. Panel b shows fold-local 10%-budget recall for the classical procedures; the dashed line is random-ranking expectation.</w:t>
      </w:r>
    </w:p>
    <w:p>
      <w:pPr>
        <w:keepNext/>
        <w:pageBreakBefore/>
        <w:spacing w:after="120" w:before="0"/>
      </w:pPr>
      <w:r>
        <w:rPr>
          <w:rFonts w:ascii="Times New Roman" w:cs="Times New Roman" w:eastAsia="Times New Roman" w:hAnsi="Times New Roman"/>
          <w:b/>
          <w:bCs/>
          <w:color w:val="000000"/>
          <w:sz w:val="26"/>
          <w:szCs w:val="26"/>
        </w:rPr>
        <w:t xml:space="preserve">Supplementary Figure S5</w:t>
      </w:r>
    </w:p>
    <w:p>
      <w:pPr>
        <w:keepNext/>
        <w:spacing w:after="0" w:before="120"/>
        <w:jc w:val="center"/>
      </w:pPr>
      <w:r>
        <w:rPr>
          <w:color w:val="000000"/>
        </w:rPr>
        <w:drawing>
          <wp:inline distT="0" distB="0" distL="0" distR="0">
            <wp:extent cx="6477000" cy="3429000"/>
            <wp:effectExtent t="0" r="0" b="0" l="0"/>
            <wp:docPr id="1" name="Supplementary Figure S5" descr="Supplementary Figure S5" title="Supplementary Figure S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6477000" cy="3429000"/>
                    </a:xfrm>
                    <a:prstGeom prst="rect">
                      <a:avLst/>
                    </a:prstGeom>
                  </pic:spPr>
                </pic:pic>
              </a:graphicData>
            </a:graphic>
          </wp:inline>
        </w:drawing>
      </w:r>
    </w:p>
    <w:p>
      <w:pPr>
        <w:keepLines/>
        <w:spacing w:after="150" w:before="70" w:line="240"/>
        <w:jc w:val="both"/>
      </w:pPr>
      <w:r>
        <w:rPr>
          <w:b/>
          <w:bCs/>
          <w:color w:val="000000"/>
          <w:sz w:val="18"/>
          <w:szCs w:val="18"/>
        </w:rPr>
        <w:t xml:space="preserve">Supplementary Figure S5 | </w:t>
      </w:r>
      <w:r>
        <w:rPr>
          <w:color w:val="000000"/>
          <w:sz w:val="18"/>
          <w:szCs w:val="18"/>
        </w:rPr>
        <w:t xml:space="preserve">Joint subject-plus-sublineage connected-component sensitivity. Panel a shows fold-specific, pooled OOF and macro mean-fold AUPRC for the nested procedure, carrier≥10 </w:t>
      </w:r>
      <w:r>
        <w:rPr>
          <w:i/>
          <w:iCs/>
          <w:color w:val="000000"/>
          <w:sz w:val="18"/>
          <w:szCs w:val="18"/>
        </w:rPr>
        <w:t xml:space="preserve">rpoB</w:t>
      </w:r>
      <w:r>
        <w:rPr>
          <w:color w:val="000000"/>
          <w:sz w:val="18"/>
          <w:szCs w:val="18"/>
        </w:rPr>
        <w:t xml:space="preserve"> logistic procedure, fixed-C full logistic comparator and XGBoost; panel b shows fold-local recall using exact uniform boundary-tie expectations. No subject, source sublineage or connected component crossed outer folds.</w:t>
      </w:r>
    </w:p>
    <w:p>
      <w:pPr>
        <w:keepNext/>
        <w:pageBreakBefore/>
        <w:spacing w:after="120" w:before="0"/>
      </w:pPr>
      <w:r>
        <w:rPr>
          <w:rFonts w:ascii="Times New Roman" w:cs="Times New Roman" w:eastAsia="Times New Roman" w:hAnsi="Times New Roman"/>
          <w:b/>
          <w:bCs/>
          <w:color w:val="000000"/>
          <w:sz w:val="26"/>
          <w:szCs w:val="26"/>
        </w:rPr>
        <w:t xml:space="preserve">Supplementary Figure S6</w:t>
      </w:r>
    </w:p>
    <w:p>
      <w:pPr>
        <w:keepNext/>
        <w:spacing w:after="0" w:before="120"/>
        <w:jc w:val="center"/>
      </w:pPr>
      <w:r>
        <w:rPr>
          <w:color w:val="000000"/>
        </w:rPr>
        <w:drawing>
          <wp:inline distT="0" distB="0" distL="0" distR="0">
            <wp:extent cx="6477000" cy="4714875"/>
            <wp:effectExtent t="0" r="0" b="0" l="0"/>
            <wp:docPr id="1" name="Supplementary Figure S6" descr="Supplementary Figure S6" title="Supplementary Figure 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6477000" cy="4714875"/>
                    </a:xfrm>
                    <a:prstGeom prst="rect">
                      <a:avLst/>
                    </a:prstGeom>
                  </pic:spPr>
                </pic:pic>
              </a:graphicData>
            </a:graphic>
          </wp:inline>
        </w:drawing>
      </w:r>
    </w:p>
    <w:p>
      <w:pPr>
        <w:keepLines/>
        <w:spacing w:after="150" w:before="70" w:line="240"/>
        <w:jc w:val="both"/>
      </w:pPr>
      <w:r>
        <w:rPr>
          <w:b/>
          <w:bCs/>
          <w:color w:val="000000"/>
          <w:sz w:val="18"/>
          <w:szCs w:val="18"/>
        </w:rPr>
        <w:t xml:space="preserve">Supplementary Figure S6 | </w:t>
      </w:r>
      <w:r>
        <w:rPr>
          <w:color w:val="000000"/>
          <w:sz w:val="18"/>
          <w:szCs w:val="18"/>
        </w:rPr>
        <w:t xml:space="preserve">Candidate evidence assessment. Gate outcomes for the first 20 prioritized variants.</w:t>
      </w:r>
    </w:p>
    <w:p>
      <w:pPr>
        <w:keepNext/>
        <w:pageBreakBefore/>
        <w:spacing w:after="120" w:before="0"/>
      </w:pPr>
      <w:r>
        <w:rPr>
          <w:rFonts w:ascii="Times New Roman" w:cs="Times New Roman" w:eastAsia="Times New Roman" w:hAnsi="Times New Roman"/>
          <w:b/>
          <w:bCs/>
          <w:color w:val="000000"/>
          <w:sz w:val="26"/>
          <w:szCs w:val="26"/>
        </w:rPr>
        <w:t xml:space="preserve">Supplementary Figure S7</w:t>
      </w:r>
    </w:p>
    <w:p>
      <w:pPr>
        <w:keepNext/>
        <w:spacing w:after="0" w:before="120"/>
        <w:jc w:val="center"/>
      </w:pPr>
      <w:r>
        <w:rPr>
          <w:color w:val="000000"/>
        </w:rPr>
        <w:drawing>
          <wp:inline distT="0" distB="0" distL="0" distR="0">
            <wp:extent cx="6477000" cy="3752850"/>
            <wp:effectExtent t="0" r="0" b="0" l="0"/>
            <wp:docPr id="1" name="Supplementary Figure S7" descr="Supplementary Figure S7" title="Supplementary Figure 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cstate="none"/>
                    <a:srcRect/>
                    <a:stretch>
                      <a:fillRect/>
                    </a:stretch>
                  </pic:blipFill>
                  <pic:spPr bwMode="auto">
                    <a:xfrm>
                      <a:off x="0" y="0"/>
                      <a:ext cx="6477000" cy="3752850"/>
                    </a:xfrm>
                    <a:prstGeom prst="rect">
                      <a:avLst/>
                    </a:prstGeom>
                  </pic:spPr>
                </pic:pic>
              </a:graphicData>
            </a:graphic>
          </wp:inline>
        </w:drawing>
      </w:r>
    </w:p>
    <w:p>
      <w:pPr>
        <w:keepLines/>
        <w:spacing w:after="150" w:before="70" w:line="240"/>
        <w:jc w:val="both"/>
      </w:pPr>
      <w:r>
        <w:rPr>
          <w:b/>
          <w:bCs/>
          <w:color w:val="000000"/>
          <w:sz w:val="18"/>
          <w:szCs w:val="18"/>
        </w:rPr>
        <w:t xml:space="preserve">Supplementary Figure S7 | </w:t>
      </w:r>
      <w:r>
        <w:rPr>
          <w:color w:val="000000"/>
          <w:sz w:val="18"/>
          <w:szCs w:val="18"/>
        </w:rPr>
        <w:t xml:space="preserve">Carrier-set redundancy and </w:t>
      </w:r>
      <w:r>
        <w:rPr>
          <w:i/>
          <w:iCs/>
          <w:color w:val="000000"/>
          <w:sz w:val="18"/>
          <w:szCs w:val="18"/>
        </w:rPr>
        <w:t xml:space="preserve">rpoB</w:t>
      </w:r>
      <w:r>
        <w:rPr>
          <w:color w:val="000000"/>
          <w:sz w:val="18"/>
          <w:szCs w:val="18"/>
        </w:rPr>
        <w:t xml:space="preserve"> context. Exact carrier-set multiplicity and additional nonsynonymous-</w:t>
      </w:r>
      <w:r>
        <w:rPr>
          <w:i/>
          <w:iCs/>
          <w:color w:val="000000"/>
          <w:sz w:val="18"/>
          <w:szCs w:val="18"/>
        </w:rPr>
        <w:t xml:space="preserve">rpoB</w:t>
      </w:r>
      <w:r>
        <w:rPr>
          <w:color w:val="000000"/>
          <w:sz w:val="18"/>
          <w:szCs w:val="18"/>
        </w:rPr>
        <w:t xml:space="preserve"> burden.</w:t>
      </w:r>
    </w:p>
    <w:p>
      <w:pPr>
        <w:keepNext/>
        <w:pageBreakBefore/>
        <w:spacing w:after="120" w:before="0"/>
      </w:pPr>
      <w:r>
        <w:rPr>
          <w:rFonts w:ascii="Times New Roman" w:cs="Times New Roman" w:eastAsia="Times New Roman" w:hAnsi="Times New Roman"/>
          <w:b/>
          <w:bCs/>
          <w:color w:val="000000"/>
          <w:sz w:val="26"/>
          <w:szCs w:val="26"/>
        </w:rPr>
        <w:t xml:space="preserve">Supplementary Figure S8</w:t>
      </w:r>
    </w:p>
    <w:p>
      <w:pPr>
        <w:keepNext/>
        <w:spacing w:after="0" w:before="120"/>
        <w:jc w:val="center"/>
      </w:pPr>
      <w:r>
        <w:rPr>
          <w:color w:val="000000"/>
        </w:rPr>
        <w:drawing>
          <wp:inline distT="0" distB="0" distL="0" distR="0">
            <wp:extent cx="6477000" cy="3829050"/>
            <wp:effectExtent t="0" r="0" b="0" l="0"/>
            <wp:docPr id="1" name="Supplementary Figure S8" descr="Supplementary Figure S8" title="Supplementary Figure S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cstate="none"/>
                    <a:srcRect/>
                    <a:stretch>
                      <a:fillRect/>
                    </a:stretch>
                  </pic:blipFill>
                  <pic:spPr bwMode="auto">
                    <a:xfrm>
                      <a:off x="0" y="0"/>
                      <a:ext cx="6477000" cy="3829050"/>
                    </a:xfrm>
                    <a:prstGeom prst="rect">
                      <a:avLst/>
                    </a:prstGeom>
                  </pic:spPr>
                </pic:pic>
              </a:graphicData>
            </a:graphic>
          </wp:inline>
        </w:drawing>
      </w:r>
    </w:p>
    <w:p>
      <w:pPr>
        <w:keepLines/>
        <w:spacing w:after="150" w:before="70" w:line="240"/>
        <w:jc w:val="both"/>
      </w:pPr>
      <w:r>
        <w:rPr>
          <w:b/>
          <w:bCs/>
          <w:color w:val="000000"/>
          <w:sz w:val="18"/>
          <w:szCs w:val="18"/>
        </w:rPr>
        <w:t xml:space="preserve">Supplementary Figure S8 | </w:t>
      </w:r>
      <w:r>
        <w:rPr>
          <w:color w:val="000000"/>
          <w:sz w:val="18"/>
          <w:szCs w:val="18"/>
        </w:rPr>
        <w:t xml:space="preserve">Token-deletion diagnostics. Out-of-fold mean changes in predicted RFB low-MIC probability with between-run standard deviations.</w:t>
      </w:r>
    </w:p>
    <w:p>
      <w:pPr>
        <w:keepNext/>
        <w:pageBreakBefore/>
        <w:spacing w:after="120" w:before="0"/>
      </w:pPr>
      <w:r>
        <w:rPr>
          <w:rFonts w:ascii="Times New Roman" w:cs="Times New Roman" w:eastAsia="Times New Roman" w:hAnsi="Times New Roman"/>
          <w:b/>
          <w:bCs/>
          <w:color w:val="000000"/>
          <w:sz w:val="26"/>
          <w:szCs w:val="26"/>
        </w:rPr>
        <w:t xml:space="preserve">Supplementary Figure S9</w:t>
      </w:r>
    </w:p>
    <w:p>
      <w:pPr>
        <w:keepNext/>
        <w:spacing w:after="0" w:before="120"/>
        <w:jc w:val="center"/>
      </w:pPr>
      <w:r>
        <w:rPr>
          <w:color w:val="000000"/>
        </w:rPr>
        <w:drawing>
          <wp:inline distT="0" distB="0" distL="0" distR="0">
            <wp:extent cx="6477000" cy="3343275"/>
            <wp:effectExtent t="0" r="0" b="0" l="0"/>
            <wp:docPr id="1" name="Supplementary Figure S9" descr="Supplementary Figure S9" title="Supplementary Figure S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cstate="none"/>
                    <a:srcRect/>
                    <a:stretch>
                      <a:fillRect/>
                    </a:stretch>
                  </pic:blipFill>
                  <pic:spPr bwMode="auto">
                    <a:xfrm>
                      <a:off x="0" y="0"/>
                      <a:ext cx="6477000" cy="3343275"/>
                    </a:xfrm>
                    <a:prstGeom prst="rect">
                      <a:avLst/>
                    </a:prstGeom>
                  </pic:spPr>
                </pic:pic>
              </a:graphicData>
            </a:graphic>
          </wp:inline>
        </w:drawing>
      </w:r>
    </w:p>
    <w:p>
      <w:pPr>
        <w:keepLines/>
        <w:spacing w:after="150" w:before="70" w:line="240"/>
        <w:jc w:val="both"/>
      </w:pPr>
      <w:r>
        <w:rPr>
          <w:b/>
          <w:bCs/>
          <w:color w:val="000000"/>
          <w:sz w:val="18"/>
          <w:szCs w:val="18"/>
        </w:rPr>
        <w:t xml:space="preserve">Supplementary Figure S9 | </w:t>
      </w:r>
      <w:r>
        <w:rPr>
          <w:color w:val="000000"/>
          <w:sz w:val="18"/>
          <w:szCs w:val="18"/>
        </w:rPr>
        <w:t xml:space="preserve">Targeted concentration, phenotype-quality and event-cap sensitivities. Panel a shows fold-local 10%-budget recall for the carrier≥10 </w:t>
      </w:r>
      <w:r>
        <w:rPr>
          <w:i/>
          <w:iCs/>
          <w:color w:val="000000"/>
          <w:sz w:val="18"/>
          <w:szCs w:val="18"/>
        </w:rPr>
        <w:t xml:space="preserve">rpoB</w:t>
      </w:r>
      <w:r>
        <w:rPr>
          <w:color w:val="000000"/>
          <w:sz w:val="18"/>
          <w:szCs w:val="18"/>
        </w:rPr>
        <w:t xml:space="preserve"> logistic procedure after excluding PER|05, Lineage 4 or both; labels above bars are tests per low-MIC isolate detected. Panel b compares high-plus-medium-quality and high-quality primary recalls. Panel c shows neural rank sensitivity at 64-, 128- and 256-event caps on an explicitly zoomed 60-80% y-axis; truncation-run scores were uncalibrated.</w:t>
      </w:r>
    </w:p>
    <w:p>
      <w:pPr>
        <w:keepNext/>
        <w:pageBreakBefore/>
        <w:spacing w:after="120" w:before="0"/>
      </w:pPr>
      <w:r>
        <w:rPr>
          <w:rFonts w:ascii="Times New Roman" w:cs="Times New Roman" w:eastAsia="Times New Roman" w:hAnsi="Times New Roman"/>
          <w:b/>
          <w:bCs/>
          <w:color w:val="000000"/>
          <w:sz w:val="26"/>
          <w:szCs w:val="26"/>
        </w:rPr>
        <w:t xml:space="preserve">Supplementary Figure S10</w:t>
      </w:r>
    </w:p>
    <w:p>
      <w:pPr>
        <w:keepNext/>
        <w:spacing w:after="0" w:before="120"/>
        <w:jc w:val="center"/>
      </w:pPr>
      <w:r>
        <w:rPr>
          <w:color w:val="000000"/>
        </w:rPr>
        <w:drawing>
          <wp:inline distT="0" distB="0" distL="0" distR="0">
            <wp:extent cx="6477000" cy="3476625"/>
            <wp:effectExtent t="0" r="0" b="0" l="0"/>
            <wp:docPr id="1" name="Supplementary Figure S10" descr="Supplementary Figure S10" title="Supplementary Figure 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cstate="none"/>
                    <a:srcRect/>
                    <a:stretch>
                      <a:fillRect/>
                    </a:stretch>
                  </pic:blipFill>
                  <pic:spPr bwMode="auto">
                    <a:xfrm>
                      <a:off x="0" y="0"/>
                      <a:ext cx="6477000" cy="3476625"/>
                    </a:xfrm>
                    <a:prstGeom prst="rect">
                      <a:avLst/>
                    </a:prstGeom>
                  </pic:spPr>
                </pic:pic>
              </a:graphicData>
            </a:graphic>
          </wp:inline>
        </w:drawing>
      </w:r>
    </w:p>
    <w:p>
      <w:pPr>
        <w:keepLines/>
        <w:spacing w:after="150" w:before="70" w:line="240"/>
        <w:jc w:val="both"/>
      </w:pPr>
      <w:r>
        <w:rPr>
          <w:b/>
          <w:bCs/>
          <w:color w:val="000000"/>
          <w:sz w:val="18"/>
          <w:szCs w:val="18"/>
        </w:rPr>
        <w:t xml:space="preserve">Supplementary Figure S10 | </w:t>
      </w:r>
      <w:r>
        <w:rPr>
          <w:color w:val="000000"/>
          <w:sz w:val="18"/>
          <w:szCs w:val="18"/>
        </w:rPr>
        <w:t xml:space="preserve">Reliability diagnostics. Panel a shows the fold-Platt-calibrated nested procedure. Panel b displays logistic-regression and XGBoost relative-score patterns as shape diagnostics.</w:t>
      </w:r>
    </w:p>
    <w:p>
      <w:pPr>
        <w:keepNext/>
        <w:pageBreakBefore/>
        <w:spacing w:after="120" w:before="0"/>
      </w:pPr>
      <w:r>
        <w:rPr>
          <w:rFonts w:ascii="Times New Roman" w:cs="Times New Roman" w:eastAsia="Times New Roman" w:hAnsi="Times New Roman"/>
          <w:b/>
          <w:bCs/>
          <w:color w:val="000000"/>
          <w:sz w:val="26"/>
          <w:szCs w:val="26"/>
        </w:rPr>
        <w:t xml:space="preserve">Supplementary Figure S11</w:t>
      </w:r>
    </w:p>
    <w:p>
      <w:pPr>
        <w:keepNext/>
        <w:spacing w:after="0" w:before="120"/>
        <w:jc w:val="center"/>
      </w:pPr>
      <w:r>
        <w:rPr>
          <w:color w:val="000000"/>
        </w:rPr>
        <w:drawing>
          <wp:inline distT="0" distB="0" distL="0" distR="0">
            <wp:extent cx="6477000" cy="4886325"/>
            <wp:effectExtent t="0" r="0" b="0" l="0"/>
            <wp:docPr id="1" name="Supplementary Figure S11" descr="Supplementary Figure S11" title="Supplementary Figure S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cstate="none"/>
                    <a:srcRect/>
                    <a:stretch>
                      <a:fillRect/>
                    </a:stretch>
                  </pic:blipFill>
                  <pic:spPr bwMode="auto">
                    <a:xfrm>
                      <a:off x="0" y="0"/>
                      <a:ext cx="6477000" cy="4886325"/>
                    </a:xfrm>
                    <a:prstGeom prst="rect">
                      <a:avLst/>
                    </a:prstGeom>
                  </pic:spPr>
                </pic:pic>
              </a:graphicData>
            </a:graphic>
          </wp:inline>
        </w:drawing>
      </w:r>
    </w:p>
    <w:p>
      <w:pPr>
        <w:keepLines/>
        <w:spacing w:after="150" w:before="70" w:line="240"/>
        <w:jc w:val="both"/>
      </w:pPr>
      <w:r>
        <w:rPr>
          <w:b/>
          <w:bCs/>
          <w:color w:val="000000"/>
          <w:sz w:val="18"/>
          <w:szCs w:val="18"/>
        </w:rPr>
        <w:t xml:space="preserve">Supplementary Figure S11 | </w:t>
      </w:r>
      <w:r>
        <w:rPr>
          <w:color w:val="000000"/>
          <w:sz w:val="18"/>
          <w:szCs w:val="18"/>
        </w:rPr>
        <w:t xml:space="preserve">Selection of a carrier-filtered procedure and characterisation of its separate full-cohort refit. Panel a shows primary and joint pooled OOF AUPRC across five post-comparison </w:t>
      </w:r>
      <w:r>
        <w:rPr>
          <w:i/>
          <w:iCs/>
          <w:color w:val="000000"/>
          <w:sz w:val="18"/>
          <w:szCs w:val="18"/>
        </w:rPr>
        <w:t xml:space="preserve">rpoB</w:t>
      </w:r>
      <w:r>
        <w:rPr>
          <w:color w:val="000000"/>
          <w:sz w:val="18"/>
          <w:szCs w:val="18"/>
        </w:rPr>
        <w:t xml:space="preserve"> simplification variants; panel b shows 10%-budget recall; panel c shows the ten largest mean absolute coefficients across outer fits with carrier counts; panel d summarises the frozen 37-feature full-cohort specification.</w:t>
      </w:r>
    </w:p>
    <w:p>
      <w:pPr>
        <w:pStyle w:val="Heading1"/>
        <w:keepNext/>
        <w:pageBreakBefore/>
      </w:pPr>
      <w:r>
        <w:rPr>
          <w:b/>
          <w:bCs/>
          <w:color w:val="000000"/>
        </w:rPr>
        <w:t xml:space="preserve">Supplementary Tables</w:t>
      </w:r>
    </w:p>
    <w:p>
      <w:pPr>
        <w:keepNext/>
        <w:spacing w:after="50" w:before="110"/>
      </w:pPr>
      <w:r>
        <w:rPr>
          <w:b/>
          <w:bCs/>
          <w:color w:val="000000"/>
          <w:sz w:val="19"/>
          <w:szCs w:val="19"/>
        </w:rPr>
        <w:t xml:space="preserve">Supplementary Table S1 | </w:t>
      </w:r>
      <w:r>
        <w:rPr>
          <w:color w:val="000000"/>
          <w:sz w:val="19"/>
          <w:szCs w:val="19"/>
        </w:rPr>
        <w:t xml:space="preserve">Drug-specific cohort summary</w:t>
      </w:r>
    </w:p>
    <w:tbl>
      <w:tblPr>
        <w:tblW w:type="dxa" w:w="10206"/>
        <w:tblBorders>
          <w:top w:val="single" w:color="auto" w:sz="4"/>
          <w:left w:val="single" w:color="auto" w:sz="4"/>
          <w:bottom w:val="single" w:color="auto" w:sz="4"/>
          <w:right w:val="single" w:color="auto" w:sz="4"/>
          <w:insideH w:val="single" w:color="auto" w:sz="4"/>
          <w:insideV w:val="single" w:color="auto" w:sz="4"/>
        </w:tblBorders>
      </w:tblPr>
      <w:tblGrid>
        <w:gridCol w:w="1700"/>
        <w:gridCol w:w="2100"/>
        <w:gridCol w:w="2200"/>
        <w:gridCol w:w="2200"/>
        <w:gridCol w:w="2006"/>
      </w:tblGrid>
      <w:tr>
        <w:trPr>
          <w:cantSplit/>
          <w:tblHeader/>
        </w:trPr>
        <w:tc>
          <w:tcPr>
            <w:tcW w:type="dxa" w:w="17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Drug</w:t>
            </w:r>
          </w:p>
        </w:tc>
        <w:tc>
          <w:tcPr>
            <w:tcW w:type="dxa" w:w="21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Rows</w:t>
            </w:r>
          </w:p>
        </w:tc>
        <w:tc>
          <w:tcPr>
            <w:tcW w:type="dxa" w:w="22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Isolates</w:t>
            </w:r>
          </w:p>
        </w:tc>
        <w:tc>
          <w:tcPr>
            <w:tcW w:type="dxa" w:w="22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Resistant</w:t>
            </w:r>
          </w:p>
        </w:tc>
        <w:tc>
          <w:tcPr>
            <w:tcW w:type="dxa" w:w="2006"/>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MIC missing</w:t>
            </w:r>
          </w:p>
        </w:tc>
      </w:tr>
      <w:tr>
        <w:trPr>
          <w:cantSplit/>
          <w:tblHeader w:val="false"/>
        </w:trPr>
        <w:tc>
          <w:tcPr>
            <w:tcW w:type="dxa" w:w="17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RFB</w:t>
            </w:r>
          </w:p>
        </w:tc>
        <w:tc>
          <w:tcPr>
            <w:tcW w:type="dxa" w:w="2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10,165</w:t>
            </w:r>
          </w:p>
        </w:tc>
        <w:tc>
          <w:tcPr>
            <w:tcW w:type="dxa" w:w="22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10,165</w:t>
            </w:r>
          </w:p>
        </w:tc>
        <w:tc>
          <w:tcPr>
            <w:tcW w:type="dxa" w:w="22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3,428</w:t>
            </w:r>
          </w:p>
        </w:tc>
        <w:tc>
          <w:tcPr>
            <w:tcW w:type="dxa" w:w="20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w:t>
            </w:r>
          </w:p>
        </w:tc>
      </w:tr>
      <w:tr>
        <w:trPr>
          <w:cantSplit/>
          <w:tblHeader w:val="false"/>
        </w:trPr>
        <w:tc>
          <w:tcPr>
            <w:tcW w:type="dxa" w:w="17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RIF</w:t>
            </w:r>
          </w:p>
        </w:tc>
        <w:tc>
          <w:tcPr>
            <w:tcW w:type="dxa" w:w="21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9,741</w:t>
            </w:r>
          </w:p>
        </w:tc>
        <w:tc>
          <w:tcPr>
            <w:tcW w:type="dxa" w:w="22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9,741</w:t>
            </w:r>
          </w:p>
        </w:tc>
        <w:tc>
          <w:tcPr>
            <w:tcW w:type="dxa" w:w="22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3,650</w:t>
            </w:r>
          </w:p>
        </w:tc>
        <w:tc>
          <w:tcPr>
            <w:tcW w:type="dxa" w:w="2006"/>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w:t>
            </w:r>
          </w:p>
        </w:tc>
      </w:tr>
    </w:tbl>
    <w:p>
      <w:pPr>
        <w:spacing w:after="100"/>
      </w:pPr>
    </w:p>
    <w:p>
      <w:pPr>
        <w:keepNext/>
        <w:spacing w:after="50" w:before="110"/>
      </w:pPr>
      <w:r>
        <w:rPr>
          <w:b/>
          <w:bCs/>
          <w:color w:val="000000"/>
          <w:sz w:val="19"/>
          <w:szCs w:val="19"/>
        </w:rPr>
        <w:t xml:space="preserve">Supplementary Table S3 | </w:t>
      </w:r>
      <w:r>
        <w:rPr>
          <w:color w:val="000000"/>
          <w:sz w:val="19"/>
          <w:szCs w:val="19"/>
        </w:rPr>
        <w:t xml:space="preserve">One-standard-error model-selection summary</w:t>
      </w:r>
    </w:p>
    <w:tbl>
      <w:tblPr>
        <w:tblW w:type="dxa" w:w="10206"/>
        <w:tblBorders>
          <w:top w:val="single" w:color="auto" w:sz="4"/>
          <w:left w:val="single" w:color="auto" w:sz="4"/>
          <w:bottom w:val="single" w:color="auto" w:sz="4"/>
          <w:right w:val="single" w:color="auto" w:sz="4"/>
          <w:insideH w:val="single" w:color="auto" w:sz="4"/>
          <w:insideV w:val="single" w:color="auto" w:sz="4"/>
        </w:tblBorders>
      </w:tblPr>
      <w:tblGrid>
        <w:gridCol w:w="3000"/>
        <w:gridCol w:w="1600"/>
        <w:gridCol w:w="1200"/>
        <w:gridCol w:w="1700"/>
        <w:gridCol w:w="1300"/>
        <w:gridCol w:w="1406"/>
      </w:tblGrid>
      <w:tr>
        <w:trPr>
          <w:cantSplit/>
          <w:tblHeader/>
        </w:trPr>
        <w:tc>
          <w:tcPr>
            <w:tcW w:type="dxa" w:w="30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Configuration</w:t>
            </w:r>
          </w:p>
        </w:tc>
        <w:tc>
          <w:tcPr>
            <w:tcW w:type="dxa" w:w="16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Mean AUPRC</w:t>
            </w:r>
          </w:p>
        </w:tc>
        <w:tc>
          <w:tcPr>
            <w:tcW w:type="dxa" w:w="12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SE</w:t>
            </w:r>
          </w:p>
        </w:tc>
        <w:tc>
          <w:tcPr>
            <w:tcW w:type="dxa" w:w="17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One-SE cutoff</w:t>
            </w:r>
          </w:p>
        </w:tc>
        <w:tc>
          <w:tcPr>
            <w:tcW w:type="dxa" w:w="13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Eligible</w:t>
            </w:r>
          </w:p>
        </w:tc>
        <w:tc>
          <w:tcPr>
            <w:tcW w:type="dxa" w:w="1406"/>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Selected</w:t>
            </w:r>
          </w:p>
        </w:tc>
      </w:tr>
      <w:tr>
        <w:trPr>
          <w:cantSplit/>
          <w:tblHeader w:val="false"/>
        </w:trPr>
        <w:tc>
          <w:tcPr>
            <w:tcW w:type="dxa" w:w="3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M5_full_no_film</w:t>
            </w:r>
          </w:p>
        </w:tc>
        <w:tc>
          <w:tcPr>
            <w:tcW w:type="dxa" w:w="16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0.496</w:t>
            </w:r>
          </w:p>
        </w:tc>
        <w:tc>
          <w:tcPr>
            <w:tcW w:type="dxa" w:w="12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0.015</w:t>
            </w:r>
          </w:p>
        </w:tc>
        <w:tc>
          <w:tcPr>
            <w:tcW w:type="dxa" w:w="17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0.481</w:t>
            </w:r>
          </w:p>
        </w:tc>
        <w:tc>
          <w:tcPr>
            <w:tcW w:type="dxa" w:w="13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True</w:t>
            </w:r>
          </w:p>
        </w:tc>
        <w:tc>
          <w:tcPr>
            <w:tcW w:type="dxa" w:w="14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False</w:t>
            </w:r>
          </w:p>
        </w:tc>
      </w:tr>
      <w:tr>
        <w:trPr>
          <w:cantSplit/>
          <w:tblHeader w:val="false"/>
        </w:trPr>
        <w:tc>
          <w:tcPr>
            <w:tcW w:type="dxa" w:w="3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M4_full</w:t>
            </w:r>
          </w:p>
        </w:tc>
        <w:tc>
          <w:tcPr>
            <w:tcW w:type="dxa" w:w="16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0.494</w:t>
            </w:r>
          </w:p>
        </w:tc>
        <w:tc>
          <w:tcPr>
            <w:tcW w:type="dxa" w:w="12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0.013</w:t>
            </w:r>
          </w:p>
        </w:tc>
        <w:tc>
          <w:tcPr>
            <w:tcW w:type="dxa" w:w="17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0.481</w:t>
            </w:r>
          </w:p>
        </w:tc>
        <w:tc>
          <w:tcPr>
            <w:tcW w:type="dxa" w:w="13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True</w:t>
            </w:r>
          </w:p>
        </w:tc>
        <w:tc>
          <w:tcPr>
            <w:tcW w:type="dxa" w:w="14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False</w:t>
            </w:r>
          </w:p>
        </w:tc>
      </w:tr>
      <w:tr>
        <w:trPr>
          <w:cantSplit/>
          <w:tblHeader w:val="false"/>
        </w:trPr>
        <w:tc>
          <w:tcPr>
            <w:tcW w:type="dxa" w:w="3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R0_full_legacy</w:t>
            </w:r>
          </w:p>
        </w:tc>
        <w:tc>
          <w:tcPr>
            <w:tcW w:type="dxa" w:w="16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0.493</w:t>
            </w:r>
          </w:p>
        </w:tc>
        <w:tc>
          <w:tcPr>
            <w:tcW w:type="dxa" w:w="12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0.014</w:t>
            </w:r>
          </w:p>
        </w:tc>
        <w:tc>
          <w:tcPr>
            <w:tcW w:type="dxa" w:w="17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0.481</w:t>
            </w:r>
          </w:p>
        </w:tc>
        <w:tc>
          <w:tcPr>
            <w:tcW w:type="dxa" w:w="13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True</w:t>
            </w:r>
          </w:p>
        </w:tc>
        <w:tc>
          <w:tcPr>
            <w:tcW w:type="dxa" w:w="14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False</w:t>
            </w:r>
          </w:p>
        </w:tc>
      </w:tr>
      <w:tr>
        <w:trPr>
          <w:cantSplit/>
          <w:tblHeader w:val="false"/>
        </w:trPr>
        <w:tc>
          <w:tcPr>
            <w:tcW w:type="dxa" w:w="3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M6_full_no_mic</w:t>
            </w:r>
          </w:p>
        </w:tc>
        <w:tc>
          <w:tcPr>
            <w:tcW w:type="dxa" w:w="16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0.493</w:t>
            </w:r>
          </w:p>
        </w:tc>
        <w:tc>
          <w:tcPr>
            <w:tcW w:type="dxa" w:w="12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0.013</w:t>
            </w:r>
          </w:p>
        </w:tc>
        <w:tc>
          <w:tcPr>
            <w:tcW w:type="dxa" w:w="17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0.481</w:t>
            </w:r>
          </w:p>
        </w:tc>
        <w:tc>
          <w:tcPr>
            <w:tcW w:type="dxa" w:w="13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True</w:t>
            </w:r>
          </w:p>
        </w:tc>
        <w:tc>
          <w:tcPr>
            <w:tcW w:type="dxa" w:w="14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False</w:t>
            </w:r>
          </w:p>
        </w:tc>
      </w:tr>
      <w:tr>
        <w:trPr>
          <w:cantSplit/>
          <w:tblHeader w:val="false"/>
        </w:trPr>
        <w:tc>
          <w:tcPr>
            <w:tcW w:type="dxa" w:w="3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R1_full_esmc</w:t>
            </w:r>
          </w:p>
        </w:tc>
        <w:tc>
          <w:tcPr>
            <w:tcW w:type="dxa" w:w="16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0.492</w:t>
            </w:r>
          </w:p>
        </w:tc>
        <w:tc>
          <w:tcPr>
            <w:tcW w:type="dxa" w:w="12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0.013</w:t>
            </w:r>
          </w:p>
        </w:tc>
        <w:tc>
          <w:tcPr>
            <w:tcW w:type="dxa" w:w="17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0.481</w:t>
            </w:r>
          </w:p>
        </w:tc>
        <w:tc>
          <w:tcPr>
            <w:tcW w:type="dxa" w:w="13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True</w:t>
            </w:r>
          </w:p>
        </w:tc>
        <w:tc>
          <w:tcPr>
            <w:tcW w:type="dxa" w:w="14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False</w:t>
            </w:r>
          </w:p>
        </w:tc>
      </w:tr>
      <w:tr>
        <w:trPr>
          <w:cantSplit/>
          <w:tblHeader w:val="false"/>
        </w:trPr>
        <w:tc>
          <w:tcPr>
            <w:tcW w:type="dxa" w:w="3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M2_fusion</w:t>
            </w:r>
          </w:p>
        </w:tc>
        <w:tc>
          <w:tcPr>
            <w:tcW w:type="dxa" w:w="16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0.491</w:t>
            </w:r>
          </w:p>
        </w:tc>
        <w:tc>
          <w:tcPr>
            <w:tcW w:type="dxa" w:w="12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0.013</w:t>
            </w:r>
          </w:p>
        </w:tc>
        <w:tc>
          <w:tcPr>
            <w:tcW w:type="dxa" w:w="17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0.481</w:t>
            </w:r>
          </w:p>
        </w:tc>
        <w:tc>
          <w:tcPr>
            <w:tcW w:type="dxa" w:w="13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True</w:t>
            </w:r>
          </w:p>
        </w:tc>
        <w:tc>
          <w:tcPr>
            <w:tcW w:type="dxa" w:w="14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False</w:t>
            </w:r>
          </w:p>
        </w:tc>
      </w:tr>
      <w:tr>
        <w:trPr>
          <w:cantSplit/>
          <w:tblHeader w:val="false"/>
        </w:trPr>
        <w:tc>
          <w:tcPr>
            <w:tcW w:type="dxa" w:w="3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M3_attention</w:t>
            </w:r>
          </w:p>
        </w:tc>
        <w:tc>
          <w:tcPr>
            <w:tcW w:type="dxa" w:w="16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0.486</w:t>
            </w:r>
          </w:p>
        </w:tc>
        <w:tc>
          <w:tcPr>
            <w:tcW w:type="dxa" w:w="12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0.013</w:t>
            </w:r>
          </w:p>
        </w:tc>
        <w:tc>
          <w:tcPr>
            <w:tcW w:type="dxa" w:w="17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0.481</w:t>
            </w:r>
          </w:p>
        </w:tc>
        <w:tc>
          <w:tcPr>
            <w:tcW w:type="dxa" w:w="13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True</w:t>
            </w:r>
          </w:p>
        </w:tc>
        <w:tc>
          <w:tcPr>
            <w:tcW w:type="dxa" w:w="14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False</w:t>
            </w:r>
          </w:p>
        </w:tc>
      </w:tr>
      <w:tr>
        <w:trPr>
          <w:cantSplit/>
          <w:tblHeader w:val="false"/>
        </w:trPr>
        <w:tc>
          <w:tcPr>
            <w:tcW w:type="dxa" w:w="3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M1_clean_baseline</w:t>
            </w:r>
          </w:p>
        </w:tc>
        <w:tc>
          <w:tcPr>
            <w:tcW w:type="dxa" w:w="16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0.486</w:t>
            </w:r>
          </w:p>
        </w:tc>
        <w:tc>
          <w:tcPr>
            <w:tcW w:type="dxa" w:w="12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0.013</w:t>
            </w:r>
          </w:p>
        </w:tc>
        <w:tc>
          <w:tcPr>
            <w:tcW w:type="dxa" w:w="17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0.481</w:t>
            </w:r>
          </w:p>
        </w:tc>
        <w:tc>
          <w:tcPr>
            <w:tcW w:type="dxa" w:w="13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True</w:t>
            </w:r>
          </w:p>
        </w:tc>
        <w:tc>
          <w:tcPr>
            <w:tcW w:type="dxa" w:w="14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True</w:t>
            </w:r>
          </w:p>
        </w:tc>
      </w:tr>
      <w:tr>
        <w:trPr>
          <w:cantSplit/>
          <w:tblHeader w:val="false"/>
        </w:trPr>
        <w:tc>
          <w:tcPr>
            <w:tcW w:type="dxa" w:w="30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C1_clean_categorical</w:t>
            </w:r>
          </w:p>
        </w:tc>
        <w:tc>
          <w:tcPr>
            <w:tcW w:type="dxa" w:w="16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0.485</w:t>
            </w:r>
          </w:p>
        </w:tc>
        <w:tc>
          <w:tcPr>
            <w:tcW w:type="dxa" w:w="12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0.013</w:t>
            </w:r>
          </w:p>
        </w:tc>
        <w:tc>
          <w:tcPr>
            <w:tcW w:type="dxa" w:w="17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0.481</w:t>
            </w:r>
          </w:p>
        </w:tc>
        <w:tc>
          <w:tcPr>
            <w:tcW w:type="dxa" w:w="13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True</w:t>
            </w:r>
          </w:p>
        </w:tc>
        <w:tc>
          <w:tcPr>
            <w:tcW w:type="dxa" w:w="1406"/>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False</w:t>
            </w:r>
          </w:p>
        </w:tc>
      </w:tr>
    </w:tbl>
    <w:p>
      <w:pPr>
        <w:spacing w:after="100"/>
      </w:pPr>
    </w:p>
    <w:p>
      <w:pPr>
        <w:keepNext/>
        <w:spacing w:after="50" w:before="110"/>
      </w:pPr>
      <w:r>
        <w:rPr>
          <w:b/>
          <w:bCs/>
          <w:color w:val="000000"/>
          <w:sz w:val="19"/>
          <w:szCs w:val="19"/>
        </w:rPr>
        <w:t xml:space="preserve">Supplementary Table S4 | </w:t>
      </w:r>
      <w:r>
        <w:rPr>
          <w:color w:val="000000"/>
          <w:sz w:val="19"/>
          <w:szCs w:val="19"/>
        </w:rPr>
        <w:t xml:space="preserve">Fold-local testing-budget performance under both validation profiles</w:t>
      </w:r>
    </w:p>
    <w:tbl>
      <w:tblPr>
        <w:tblW w:type="dxa" w:w="10206"/>
        <w:tblBorders>
          <w:top w:val="single" w:color="auto" w:sz="4"/>
          <w:left w:val="single" w:color="auto" w:sz="4"/>
          <w:bottom w:val="single" w:color="auto" w:sz="4"/>
          <w:right w:val="single" w:color="auto" w:sz="4"/>
          <w:insideH w:val="single" w:color="auto" w:sz="4"/>
          <w:insideV w:val="single" w:color="auto" w:sz="4"/>
        </w:tblBorders>
      </w:tblPr>
      <w:tblGrid>
        <w:gridCol w:w="1900"/>
        <w:gridCol w:w="850"/>
        <w:gridCol w:w="950"/>
        <w:gridCol w:w="1250"/>
        <w:gridCol w:w="1800"/>
        <w:gridCol w:w="1750"/>
        <w:gridCol w:w="1706"/>
      </w:tblGrid>
      <w:tr>
        <w:trPr>
          <w:cantSplit/>
          <w:tblHeader/>
        </w:trPr>
        <w:tc>
          <w:tcPr>
            <w:tcW w:type="dxa" w:w="19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Validation</w:t>
            </w:r>
          </w:p>
        </w:tc>
        <w:tc>
          <w:tcPr>
            <w:tcW w:type="dxa" w:w="8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Budget</w:t>
            </w:r>
          </w:p>
        </w:tc>
        <w:tc>
          <w:tcPr>
            <w:tcW w:type="dxa" w:w="9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Selected</w:t>
            </w:r>
          </w:p>
        </w:tc>
        <w:tc>
          <w:tcPr>
            <w:tcW w:type="dxa" w:w="12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Detected</w:t>
            </w:r>
          </w:p>
        </w:tc>
        <w:tc>
          <w:tcPr>
            <w:tcW w:type="dxa" w:w="18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Recall</w:t>
            </w:r>
          </w:p>
        </w:tc>
        <w:tc>
          <w:tcPr>
            <w:tcW w:type="dxa" w:w="17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PPV</w:t>
            </w:r>
          </w:p>
        </w:tc>
        <w:tc>
          <w:tcPr>
            <w:tcW w:type="dxa" w:w="1706"/>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Tests/detected</w:t>
            </w:r>
          </w:p>
        </w:tc>
      </w:tr>
      <w:tr>
        <w:trPr>
          <w:cantSplit/>
          <w:tblHeader w:val="false"/>
        </w:trPr>
        <w:tc>
          <w:tcPr>
            <w:tcW w:type="dxa" w:w="19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Subject-grouped 5×5</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176</w:t>
            </w:r>
          </w:p>
        </w:tc>
        <w:tc>
          <w:tcPr>
            <w:tcW w:type="dxa" w:w="12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90.9/210</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43.3% (38.1–48.9)</w:t>
            </w:r>
          </w:p>
        </w:tc>
        <w:tc>
          <w:tcPr>
            <w:tcW w:type="dxa" w:w="17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51.7% (44.8–58.1)</w:t>
            </w:r>
          </w:p>
        </w:tc>
        <w:tc>
          <w:tcPr>
            <w:tcW w:type="dxa" w:w="17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1.94 (1.72–2.23)</w:t>
            </w:r>
          </w:p>
        </w:tc>
      </w:tr>
      <w:tr>
        <w:trPr>
          <w:cantSplit/>
          <w:tblHeader w:val="false"/>
        </w:trPr>
        <w:tc>
          <w:tcPr>
            <w:tcW w:type="dxa" w:w="19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Subject-grouped 5×5</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348</w:t>
            </w:r>
          </w:p>
        </w:tc>
        <w:tc>
          <w:tcPr>
            <w:tcW w:type="dxa" w:w="12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151.0/210</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71.9% (65.2–77.2)</w:t>
            </w:r>
          </w:p>
        </w:tc>
        <w:tc>
          <w:tcPr>
            <w:tcW w:type="dxa" w:w="17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43.4% (37.1–48.7)</w:t>
            </w:r>
          </w:p>
        </w:tc>
        <w:tc>
          <w:tcPr>
            <w:tcW w:type="dxa" w:w="17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2.30 (2.05–2.70)</w:t>
            </w:r>
          </w:p>
        </w:tc>
      </w:tr>
      <w:tr>
        <w:trPr>
          <w:cantSplit/>
          <w:tblHeader w:val="false"/>
        </w:trPr>
        <w:tc>
          <w:tcPr>
            <w:tcW w:type="dxa" w:w="19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Subject-grouped 5×5</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15%</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523</w:t>
            </w:r>
          </w:p>
        </w:tc>
        <w:tc>
          <w:tcPr>
            <w:tcW w:type="dxa" w:w="12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179.0/210</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85.2% (79.3–89.5)</w:t>
            </w:r>
          </w:p>
        </w:tc>
        <w:tc>
          <w:tcPr>
            <w:tcW w:type="dxa" w:w="17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34.2% (29.5–38.5)</w:t>
            </w:r>
          </w:p>
        </w:tc>
        <w:tc>
          <w:tcPr>
            <w:tcW w:type="dxa" w:w="17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2.92 (2.60–3.39)</w:t>
            </w:r>
          </w:p>
        </w:tc>
      </w:tr>
      <w:tr>
        <w:trPr>
          <w:cantSplit/>
          <w:tblHeader w:val="false"/>
        </w:trPr>
        <w:tc>
          <w:tcPr>
            <w:tcW w:type="dxa" w:w="19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Subject-grouped 5×5</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20%</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695</w:t>
            </w:r>
          </w:p>
        </w:tc>
        <w:tc>
          <w:tcPr>
            <w:tcW w:type="dxa" w:w="12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188.1/210</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89.6% (85.3–93.6)</w:t>
            </w:r>
          </w:p>
        </w:tc>
        <w:tc>
          <w:tcPr>
            <w:tcW w:type="dxa" w:w="17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27.1% (23.4–30.8)</w:t>
            </w:r>
          </w:p>
        </w:tc>
        <w:tc>
          <w:tcPr>
            <w:tcW w:type="dxa" w:w="17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3.70 (3.24–4.28)</w:t>
            </w:r>
          </w:p>
        </w:tc>
      </w:tr>
      <w:tr>
        <w:trPr>
          <w:cantSplit/>
          <w:tblHeader w:val="false"/>
        </w:trPr>
        <w:tc>
          <w:tcPr>
            <w:tcW w:type="dxa" w:w="19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Joint subject–sublineage 3×3</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175</w:t>
            </w:r>
          </w:p>
        </w:tc>
        <w:tc>
          <w:tcPr>
            <w:tcW w:type="dxa" w:w="12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82.3/210</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39.2%</w:t>
            </w:r>
          </w:p>
        </w:tc>
        <w:tc>
          <w:tcPr>
            <w:tcW w:type="dxa" w:w="17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47.0%</w:t>
            </w:r>
          </w:p>
        </w:tc>
        <w:tc>
          <w:tcPr>
            <w:tcW w:type="dxa" w:w="17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2.13</w:t>
            </w:r>
          </w:p>
        </w:tc>
      </w:tr>
      <w:tr>
        <w:trPr>
          <w:cantSplit/>
          <w:tblHeader w:val="false"/>
        </w:trPr>
        <w:tc>
          <w:tcPr>
            <w:tcW w:type="dxa" w:w="19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Joint subject–sublineage 3×3</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348</w:t>
            </w:r>
          </w:p>
        </w:tc>
        <w:tc>
          <w:tcPr>
            <w:tcW w:type="dxa" w:w="12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144.5/210</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68.8%</w:t>
            </w:r>
          </w:p>
        </w:tc>
        <w:tc>
          <w:tcPr>
            <w:tcW w:type="dxa" w:w="17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41.5%</w:t>
            </w:r>
          </w:p>
        </w:tc>
        <w:tc>
          <w:tcPr>
            <w:tcW w:type="dxa" w:w="17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2.41</w:t>
            </w:r>
          </w:p>
        </w:tc>
      </w:tr>
      <w:tr>
        <w:trPr>
          <w:cantSplit/>
          <w:tblHeader w:val="false"/>
        </w:trPr>
        <w:tc>
          <w:tcPr>
            <w:tcW w:type="dxa" w:w="19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Joint subject–sublineage 3×3</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15%</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521</w:t>
            </w:r>
          </w:p>
        </w:tc>
        <w:tc>
          <w:tcPr>
            <w:tcW w:type="dxa" w:w="12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172.0/210</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81.9%</w:t>
            </w:r>
          </w:p>
        </w:tc>
        <w:tc>
          <w:tcPr>
            <w:tcW w:type="dxa" w:w="17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33.0%</w:t>
            </w:r>
          </w:p>
        </w:tc>
        <w:tc>
          <w:tcPr>
            <w:tcW w:type="dxa" w:w="17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3.03</w:t>
            </w:r>
          </w:p>
        </w:tc>
      </w:tr>
      <w:tr>
        <w:trPr>
          <w:cantSplit/>
          <w:tblHeader w:val="false"/>
        </w:trPr>
        <w:tc>
          <w:tcPr>
            <w:tcW w:type="dxa" w:w="19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Joint subject–sublineage 3×3</w:t>
            </w:r>
          </w:p>
        </w:tc>
        <w:tc>
          <w:tcPr>
            <w:tcW w:type="dxa" w:w="8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20%</w:t>
            </w:r>
          </w:p>
        </w:tc>
        <w:tc>
          <w:tcPr>
            <w:tcW w:type="dxa" w:w="9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694</w:t>
            </w:r>
          </w:p>
        </w:tc>
        <w:tc>
          <w:tcPr>
            <w:tcW w:type="dxa" w:w="12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186.0/210</w:t>
            </w:r>
          </w:p>
        </w:tc>
        <w:tc>
          <w:tcPr>
            <w:tcW w:type="dxa" w:w="18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88.6%</w:t>
            </w:r>
          </w:p>
        </w:tc>
        <w:tc>
          <w:tcPr>
            <w:tcW w:type="dxa" w:w="17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26.8%</w:t>
            </w:r>
          </w:p>
        </w:tc>
        <w:tc>
          <w:tcPr>
            <w:tcW w:type="dxa" w:w="1706"/>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3.73</w:t>
            </w:r>
          </w:p>
        </w:tc>
      </w:tr>
    </w:tbl>
    <w:p>
      <w:pPr>
        <w:keepLines/>
        <w:spacing w:after="100" w:before="45" w:line="220"/>
      </w:pPr>
      <w:r>
        <w:rPr>
          <w:color w:val="000000"/>
          <w:sz w:val="17"/>
          <w:szCs w:val="17"/>
        </w:rPr>
        <w:t xml:space="preserve">Tests/detected denotes tests per low-MIC isolate detected. Subject-grouped point estimates use exact uniform boundary-tie expectations; parentheses are 95% CIs from 2000 subject-cluster bootstrap replicates conditional on fixed folds and fitted models. Joint-blocked rows are point estimates without budget intervals; no subject, source sublineage or connected component crossed those outer folds.</w:t>
      </w:r>
    </w:p>
    <w:p>
      <w:pPr>
        <w:keepNext/>
        <w:spacing w:after="50" w:before="110"/>
      </w:pPr>
      <w:r>
        <w:rPr>
          <w:b/>
          <w:bCs/>
          <w:color w:val="000000"/>
          <w:sz w:val="19"/>
          <w:szCs w:val="19"/>
        </w:rPr>
        <w:t xml:space="preserve">Supplementary Table S5 | </w:t>
      </w:r>
      <w:r>
        <w:rPr>
          <w:color w:val="000000"/>
          <w:sz w:val="19"/>
          <w:szCs w:val="19"/>
        </w:rPr>
        <w:t xml:space="preserve">Group-specific lineage and site holdouts</w:t>
      </w:r>
    </w:p>
    <w:tbl>
      <w:tblPr>
        <w:tblW w:type="dxa" w:w="10206"/>
        <w:tblBorders>
          <w:top w:val="single" w:color="auto" w:sz="4"/>
          <w:left w:val="single" w:color="auto" w:sz="4"/>
          <w:bottom w:val="single" w:color="auto" w:sz="4"/>
          <w:right w:val="single" w:color="auto" w:sz="4"/>
          <w:insideH w:val="single" w:color="auto" w:sz="4"/>
          <w:insideV w:val="single" w:color="auto" w:sz="4"/>
        </w:tblBorders>
      </w:tblPr>
      <w:tblGrid>
        <w:gridCol w:w="1350"/>
        <w:gridCol w:w="1450"/>
        <w:gridCol w:w="950"/>
        <w:gridCol w:w="850"/>
        <w:gridCol w:w="1100"/>
        <w:gridCol w:w="1050"/>
        <w:gridCol w:w="1050"/>
        <w:gridCol w:w="1150"/>
        <w:gridCol w:w="1256"/>
      </w:tblGrid>
      <w:tr>
        <w:trPr>
          <w:cantSplit/>
          <w:tblHeader/>
        </w:trPr>
        <w:tc>
          <w:tcPr>
            <w:tcW w:type="dxa" w:w="13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Model</w:t>
            </w:r>
          </w:p>
        </w:tc>
        <w:tc>
          <w:tcPr>
            <w:tcW w:type="dxa" w:w="14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Held-out group</w:t>
            </w:r>
          </w:p>
        </w:tc>
        <w:tc>
          <w:tcPr>
            <w:tcW w:type="dxa" w:w="9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n</w:t>
            </w:r>
          </w:p>
        </w:tc>
        <w:tc>
          <w:tcPr>
            <w:tcW w:type="dxa" w:w="8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Events</w:t>
            </w:r>
          </w:p>
        </w:tc>
        <w:tc>
          <w:tcPr>
            <w:tcW w:type="dxa" w:w="11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Prevalence</w:t>
            </w:r>
          </w:p>
        </w:tc>
        <w:tc>
          <w:tcPr>
            <w:tcW w:type="dxa" w:w="10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AUPRC</w:t>
            </w:r>
          </w:p>
        </w:tc>
        <w:tc>
          <w:tcPr>
            <w:tcW w:type="dxa" w:w="10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AUROC</w:t>
            </w:r>
          </w:p>
        </w:tc>
        <w:tc>
          <w:tcPr>
            <w:tcW w:type="dxa" w:w="11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Brier skill</w:t>
            </w:r>
          </w:p>
        </w:tc>
        <w:tc>
          <w:tcPr>
            <w:tcW w:type="dxa" w:w="1256"/>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10% recall</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Nested neural</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Lineage 2</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1,637</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35</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2.1%</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0.125</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0.724</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-1.400</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Full logistic</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Lineage 2</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1,637</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35</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2.1%</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0.150</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0.707</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-0.010</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45.7%</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Carrier≥10 </w:t>
            </w:r>
            <w:r>
              <w:rPr>
                <w:b w:val="false"/>
                <w:bCs w:val="false"/>
                <w:i/>
                <w:iCs/>
                <w:color w:val="000000"/>
                <w:sz w:val="17"/>
                <w:szCs w:val="17"/>
              </w:rPr>
              <w:t xml:space="preserve">rpoB</w:t>
            </w:r>
            <w:r>
              <w:rPr>
                <w:b w:val="false"/>
                <w:bCs w:val="false"/>
                <w:color w:val="000000"/>
                <w:sz w:val="17"/>
                <w:szCs w:val="17"/>
              </w:rPr>
              <w:t xml:space="preserve"> procedure</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Lineage 2</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1,637</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35</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2.1%</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0.107</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0.714</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32.5%</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XGBoost</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Lineage 2</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1,637</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35</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2.1%</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0.189</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0.717</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0.083</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45.7%</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Nested neural</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Lineage 3</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331</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16</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4.8%</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0.240</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0.841</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-1.082</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Full logistic</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Lineage 3</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331</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16</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4.8%</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0.251</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0.822</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0.113</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56.3%</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Carrier≥10 </w:t>
            </w:r>
            <w:r>
              <w:rPr>
                <w:b w:val="false"/>
                <w:bCs w:val="false"/>
                <w:i/>
                <w:iCs/>
                <w:color w:val="000000"/>
                <w:sz w:val="17"/>
                <w:szCs w:val="17"/>
              </w:rPr>
              <w:t xml:space="preserve">rpoB</w:t>
            </w:r>
            <w:r>
              <w:rPr>
                <w:b w:val="false"/>
                <w:bCs w:val="false"/>
                <w:color w:val="000000"/>
                <w:sz w:val="17"/>
                <w:szCs w:val="17"/>
              </w:rPr>
              <w:t xml:space="preserve"> procedure</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Lineage 3</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331</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16</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4.8%</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0.251</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0.848</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47.1%</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XGBoost</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Lineage 3</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331</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16</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4.8%</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0.229</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0.836</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-0.053</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43.8%</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Nested neural</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Lineage 4</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1,405</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157</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11.2%</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0.335</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0.722</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-0.188</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Full logistic</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Lineage 4</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1,405</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157</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11.2%</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0.389</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0.826</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-0.040</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33.1%</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Carrier≥10 </w:t>
            </w:r>
            <w:r>
              <w:rPr>
                <w:b w:val="false"/>
                <w:bCs w:val="false"/>
                <w:i/>
                <w:iCs/>
                <w:color w:val="000000"/>
                <w:sz w:val="17"/>
                <w:szCs w:val="17"/>
              </w:rPr>
              <w:t xml:space="preserve">rpoB</w:t>
            </w:r>
            <w:r>
              <w:rPr>
                <w:b w:val="false"/>
                <w:bCs w:val="false"/>
                <w:color w:val="000000"/>
                <w:sz w:val="17"/>
                <w:szCs w:val="17"/>
              </w:rPr>
              <w:t xml:space="preserve"> procedure</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Lineage 4</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1,405</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157</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11.2%</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0.363</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0.850</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29.1%</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XGBoost</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Lineage 4</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1,405</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157</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11.2%</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0.288</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0.576</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-0.050</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32.5%</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Nested neural</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IND|04</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617</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26</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4.2%</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0.197</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0.683</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-0.247</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Full logistic</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IND|04</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617</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26</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4.2%</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0.165</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0.639</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0.005</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38.5%</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Carrier≥10 </w:t>
            </w:r>
            <w:r>
              <w:rPr>
                <w:b w:val="false"/>
                <w:bCs w:val="false"/>
                <w:i/>
                <w:iCs/>
                <w:color w:val="000000"/>
                <w:sz w:val="17"/>
                <w:szCs w:val="17"/>
              </w:rPr>
              <w:t xml:space="preserve">rpoB</w:t>
            </w:r>
            <w:r>
              <w:rPr>
                <w:b w:val="false"/>
                <w:bCs w:val="false"/>
                <w:color w:val="000000"/>
                <w:sz w:val="17"/>
                <w:szCs w:val="17"/>
              </w:rPr>
              <w:t xml:space="preserve"> procedure</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IND|04</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617</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26</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4.2%</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0.218</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0.696</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42.1%</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XGBoost</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IND|04</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617</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26</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4.2%</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0.251</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0.653</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0.073</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38.5%</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Nested neural</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PER|05</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759</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113</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14.9%</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0.547</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0.899</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0.095</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Full logistic</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PER|05</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759</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113</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14.9%</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0.559</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0.905</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0.088</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28.3%</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Carrier≥10 </w:t>
            </w:r>
            <w:r>
              <w:rPr>
                <w:b w:val="false"/>
                <w:bCs w:val="false"/>
                <w:i/>
                <w:iCs/>
                <w:color w:val="000000"/>
                <w:sz w:val="17"/>
                <w:szCs w:val="17"/>
              </w:rPr>
              <w:t xml:space="preserve">rpoB</w:t>
            </w:r>
            <w:r>
              <w:rPr>
                <w:b w:val="false"/>
                <w:bCs w:val="false"/>
                <w:color w:val="000000"/>
                <w:sz w:val="17"/>
                <w:szCs w:val="17"/>
              </w:rPr>
              <w:t xml:space="preserve"> procedure</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PER|05</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759</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113</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14.9%</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0.483</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0.857</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21.3%</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XGBoost</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PER|05</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759</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113</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14.9%</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0.536</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0.900</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0.050</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28.3%</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Nested neural</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Unknown|06</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245</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12</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4.9%</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0.417</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0.951</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-0.194</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Full logistic</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Unknown|06</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245</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12</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4.9%</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0.513</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0.968</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0.256</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91.7%</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Carrier≥10 </w:t>
            </w:r>
            <w:r>
              <w:rPr>
                <w:b w:val="false"/>
                <w:bCs w:val="false"/>
                <w:i/>
                <w:iCs/>
                <w:color w:val="000000"/>
                <w:sz w:val="17"/>
                <w:szCs w:val="17"/>
              </w:rPr>
              <w:t xml:space="preserve">rpoB</w:t>
            </w:r>
            <w:r>
              <w:rPr>
                <w:b w:val="false"/>
                <w:bCs w:val="false"/>
                <w:color w:val="000000"/>
                <w:sz w:val="17"/>
                <w:szCs w:val="17"/>
              </w:rPr>
              <w:t xml:space="preserve"> procedure</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Unknown|06</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245</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12</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4.9%</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0.432</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0.963</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91.7%</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XGBoost</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Unknown|06</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245</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12</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4.9%</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0.463</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0.960</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0.178</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83.3%</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Nested neural</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ZAF|10</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557</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24</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4.3%</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0.328</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0.901</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-1.622</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Full logistic</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ZAF|10</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557</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24</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4.3%</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0.277</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0.922</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0.083</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58.3%</w:t>
            </w:r>
          </w:p>
        </w:tc>
      </w:tr>
      <w:tr>
        <w:trPr>
          <w:cantSplit/>
          <w:tblHeader w:val="false"/>
        </w:trPr>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Carrier≥10 </w:t>
            </w:r>
            <w:r>
              <w:rPr>
                <w:b w:val="false"/>
                <w:bCs w:val="false"/>
                <w:i/>
                <w:iCs/>
                <w:color w:val="000000"/>
                <w:sz w:val="17"/>
                <w:szCs w:val="17"/>
              </w:rPr>
              <w:t xml:space="preserve">rpoB</w:t>
            </w:r>
            <w:r>
              <w:rPr>
                <w:b w:val="false"/>
                <w:bCs w:val="false"/>
                <w:color w:val="000000"/>
                <w:sz w:val="17"/>
                <w:szCs w:val="17"/>
              </w:rPr>
              <w:t xml:space="preserve"> procedure</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ZAF|10</w:t>
            </w:r>
          </w:p>
        </w:tc>
        <w:tc>
          <w:tcPr>
            <w:tcW w:type="dxa" w:w="9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557</w:t>
            </w:r>
          </w:p>
        </w:tc>
        <w:tc>
          <w:tcPr>
            <w:tcW w:type="dxa" w:w="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24</w:t>
            </w:r>
          </w:p>
        </w:tc>
        <w:tc>
          <w:tcPr>
            <w:tcW w:type="dxa" w:w="1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4.3%</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0.128</w:t>
            </w:r>
          </w:p>
        </w:tc>
        <w:tc>
          <w:tcPr>
            <w:tcW w:type="dxa" w:w="10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0.770</w:t>
            </w:r>
          </w:p>
        </w:tc>
        <w:tc>
          <w:tcPr>
            <w:tcW w:type="dxa" w:w="11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w:t>
            </w:r>
          </w:p>
        </w:tc>
        <w:tc>
          <w:tcPr>
            <w:tcW w:type="dxa" w:w="12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33.3%</w:t>
            </w:r>
          </w:p>
        </w:tc>
      </w:tr>
      <w:tr>
        <w:trPr>
          <w:cantSplit/>
          <w:tblHeader w:val="false"/>
        </w:trPr>
        <w:tc>
          <w:tcPr>
            <w:tcW w:type="dxa" w:w="13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XGBoost</w:t>
            </w:r>
          </w:p>
        </w:tc>
        <w:tc>
          <w:tcPr>
            <w:tcW w:type="dxa" w:w="14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ZAF|10</w:t>
            </w:r>
          </w:p>
        </w:tc>
        <w:tc>
          <w:tcPr>
            <w:tcW w:type="dxa" w:w="9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557</w:t>
            </w:r>
          </w:p>
        </w:tc>
        <w:tc>
          <w:tcPr>
            <w:tcW w:type="dxa" w:w="8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24</w:t>
            </w:r>
          </w:p>
        </w:tc>
        <w:tc>
          <w:tcPr>
            <w:tcW w:type="dxa" w:w="11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4.3%</w:t>
            </w:r>
          </w:p>
        </w:tc>
        <w:tc>
          <w:tcPr>
            <w:tcW w:type="dxa" w:w="10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0.292</w:t>
            </w:r>
          </w:p>
        </w:tc>
        <w:tc>
          <w:tcPr>
            <w:tcW w:type="dxa" w:w="10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0.940</w:t>
            </w:r>
          </w:p>
        </w:tc>
        <w:tc>
          <w:tcPr>
            <w:tcW w:type="dxa" w:w="11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0.118</w:t>
            </w:r>
          </w:p>
        </w:tc>
        <w:tc>
          <w:tcPr>
            <w:tcW w:type="dxa" w:w="1256"/>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70.8%</w:t>
            </w:r>
          </w:p>
        </w:tc>
      </w:tr>
    </w:tbl>
    <w:p>
      <w:pPr>
        <w:keepLines/>
        <w:spacing w:after="100" w:before="45" w:line="220"/>
      </w:pPr>
      <w:r>
        <w:rPr>
          <w:color w:val="000000"/>
          <w:sz w:val="17"/>
          <w:szCs w:val="17"/>
        </w:rPr>
        <w:t xml:space="preserve">Every row is an internal group holdout. The carrier≥10 class-weighted logistic procedure was refitted in each development partition and yields a relative ranking score; Brier skill is therefore not reported for that row set.</w:t>
      </w:r>
    </w:p>
    <w:p>
      <w:pPr>
        <w:keepNext/>
        <w:spacing w:after="50" w:before="110"/>
      </w:pPr>
      <w:r>
        <w:rPr>
          <w:b/>
          <w:bCs/>
          <w:color w:val="000000"/>
          <w:sz w:val="19"/>
          <w:szCs w:val="19"/>
        </w:rPr>
        <w:t xml:space="preserve">Supplementary Table S6 | </w:t>
      </w:r>
      <w:r>
        <w:rPr>
          <w:color w:val="000000"/>
          <w:sz w:val="19"/>
          <w:szCs w:val="19"/>
        </w:rPr>
        <w:t xml:space="preserve">Evidence-gate pass counts among 50 prioritized variants</w:t>
      </w:r>
    </w:p>
    <w:tbl>
      <w:tblPr>
        <w:tblW w:type="dxa" w:w="10206"/>
        <w:tblBorders>
          <w:top w:val="single" w:color="auto" w:sz="4"/>
          <w:left w:val="single" w:color="auto" w:sz="4"/>
          <w:bottom w:val="single" w:color="auto" w:sz="4"/>
          <w:right w:val="single" w:color="auto" w:sz="4"/>
          <w:insideH w:val="single" w:color="auto" w:sz="4"/>
          <w:insideV w:val="single" w:color="auto" w:sz="4"/>
        </w:tblBorders>
      </w:tblPr>
      <w:tblGrid>
        <w:gridCol w:w="4000"/>
        <w:gridCol w:w="1800"/>
        <w:gridCol w:w="1800"/>
        <w:gridCol w:w="2606"/>
      </w:tblGrid>
      <w:tr>
        <w:trPr>
          <w:cantSplit/>
          <w:tblHeader/>
        </w:trPr>
        <w:tc>
          <w:tcPr>
            <w:tcW w:type="dxa" w:w="40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Gate</w:t>
            </w:r>
          </w:p>
        </w:tc>
        <w:tc>
          <w:tcPr>
            <w:tcW w:type="dxa" w:w="18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Passed</w:t>
            </w:r>
          </w:p>
        </w:tc>
        <w:tc>
          <w:tcPr>
            <w:tcW w:type="dxa" w:w="18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Reviewed</w:t>
            </w:r>
          </w:p>
        </w:tc>
        <w:tc>
          <w:tcPr>
            <w:tcW w:type="dxa" w:w="2606"/>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Pass proportion</w:t>
            </w:r>
          </w:p>
        </w:tc>
      </w:tr>
      <w:tr>
        <w:trPr>
          <w:cantSplit/>
          <w:tblHeader w:val="false"/>
        </w:trPr>
        <w:tc>
          <w:tcPr>
            <w:tcW w:type="dxa" w:w="4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Catalogue</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39</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50</w:t>
            </w:r>
          </w:p>
        </w:tc>
        <w:tc>
          <w:tcPr>
            <w:tcW w:type="dxa" w:w="26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78.0%</w:t>
            </w:r>
          </w:p>
        </w:tc>
      </w:tr>
      <w:tr>
        <w:trPr>
          <w:cantSplit/>
          <w:tblHeader w:val="false"/>
        </w:trPr>
        <w:tc>
          <w:tcPr>
            <w:tcW w:type="dxa" w:w="4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Carrier</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50</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50</w:t>
            </w:r>
          </w:p>
        </w:tc>
        <w:tc>
          <w:tcPr>
            <w:tcW w:type="dxa" w:w="26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100.0%</w:t>
            </w:r>
          </w:p>
        </w:tc>
      </w:tr>
      <w:tr>
        <w:trPr>
          <w:cantSplit/>
          <w:tblHeader w:val="false"/>
        </w:trPr>
        <w:tc>
          <w:tcPr>
            <w:tcW w:type="dxa" w:w="4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Firth</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13</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50</w:t>
            </w:r>
          </w:p>
        </w:tc>
        <w:tc>
          <w:tcPr>
            <w:tcW w:type="dxa" w:w="26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26.0%</w:t>
            </w:r>
          </w:p>
        </w:tc>
      </w:tr>
      <w:tr>
        <w:trPr>
          <w:cantSplit/>
          <w:tblHeader w:val="false"/>
        </w:trPr>
        <w:tc>
          <w:tcPr>
            <w:tcW w:type="dxa" w:w="4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Effect CI</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50</w:t>
            </w:r>
          </w:p>
        </w:tc>
        <w:tc>
          <w:tcPr>
            <w:tcW w:type="dxa" w:w="26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14.0%</w:t>
            </w:r>
          </w:p>
        </w:tc>
      </w:tr>
      <w:tr>
        <w:trPr>
          <w:cantSplit/>
          <w:tblHeader w:val="false"/>
        </w:trPr>
        <w:tc>
          <w:tcPr>
            <w:tcW w:type="dxa" w:w="4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Cross-fit</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50</w:t>
            </w:r>
          </w:p>
        </w:tc>
        <w:tc>
          <w:tcPr>
            <w:tcW w:type="dxa" w:w="26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10.0%</w:t>
            </w:r>
          </w:p>
        </w:tc>
      </w:tr>
      <w:tr>
        <w:trPr>
          <w:cantSplit/>
          <w:tblHeader w:val="false"/>
        </w:trPr>
        <w:tc>
          <w:tcPr>
            <w:tcW w:type="dxa" w:w="4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Subgroup</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50</w:t>
            </w:r>
          </w:p>
        </w:tc>
        <w:tc>
          <w:tcPr>
            <w:tcW w:type="dxa" w:w="26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6.0%</w:t>
            </w:r>
          </w:p>
        </w:tc>
      </w:tr>
      <w:tr>
        <w:trPr>
          <w:cantSplit/>
          <w:tblHeader w:val="false"/>
        </w:trPr>
        <w:tc>
          <w:tcPr>
            <w:tcW w:type="dxa" w:w="4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MIC</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50</w:t>
            </w:r>
          </w:p>
        </w:tc>
        <w:tc>
          <w:tcPr>
            <w:tcW w:type="dxa" w:w="26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12.0%</w:t>
            </w:r>
          </w:p>
        </w:tc>
      </w:tr>
      <w:tr>
        <w:trPr>
          <w:cantSplit/>
          <w:tblHeader w:val="false"/>
        </w:trPr>
        <w:tc>
          <w:tcPr>
            <w:tcW w:type="dxa" w:w="4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Deletion</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50</w:t>
            </w:r>
          </w:p>
        </w:tc>
        <w:tc>
          <w:tcPr>
            <w:tcW w:type="dxa" w:w="26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6.0%</w:t>
            </w:r>
          </w:p>
        </w:tc>
      </w:tr>
      <w:tr>
        <w:trPr>
          <w:cantSplit/>
          <w:tblHeader w:val="false"/>
        </w:trPr>
        <w:tc>
          <w:tcPr>
            <w:tcW w:type="dxa" w:w="4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External</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50</w:t>
            </w:r>
          </w:p>
        </w:tc>
        <w:tc>
          <w:tcPr>
            <w:tcW w:type="dxa" w:w="26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0.0%</w:t>
            </w:r>
          </w:p>
        </w:tc>
      </w:tr>
      <w:tr>
        <w:trPr>
          <w:cantSplit/>
          <w:tblHeader w:val="false"/>
        </w:trPr>
        <w:tc>
          <w:tcPr>
            <w:tcW w:type="dxa" w:w="40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Complete definition</w:t>
            </w:r>
          </w:p>
        </w:tc>
        <w:tc>
          <w:tcPr>
            <w:tcW w:type="dxa" w:w="18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w:t>
            </w:r>
          </w:p>
        </w:tc>
        <w:tc>
          <w:tcPr>
            <w:tcW w:type="dxa" w:w="18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50</w:t>
            </w:r>
          </w:p>
        </w:tc>
        <w:tc>
          <w:tcPr>
            <w:tcW w:type="dxa" w:w="2606"/>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0.0%</w:t>
            </w:r>
          </w:p>
        </w:tc>
      </w:tr>
    </w:tbl>
    <w:p>
      <w:pPr>
        <w:spacing w:after="100"/>
      </w:pPr>
    </w:p>
    <w:p>
      <w:pPr>
        <w:keepNext/>
        <w:spacing w:after="50" w:before="110"/>
      </w:pPr>
      <w:r>
        <w:rPr>
          <w:b/>
          <w:bCs/>
          <w:color w:val="000000"/>
          <w:sz w:val="19"/>
          <w:szCs w:val="19"/>
        </w:rPr>
        <w:t xml:space="preserve">Supplementary Table S7 | </w:t>
      </w:r>
      <w:r>
        <w:rPr>
          <w:color w:val="000000"/>
          <w:sz w:val="19"/>
          <w:szCs w:val="19"/>
        </w:rPr>
        <w:t xml:space="preserve">Primary original-sample estimates with subject-cluster percentile intervals</w:t>
      </w:r>
    </w:p>
    <w:tbl>
      <w:tblPr>
        <w:tblW w:type="dxa" w:w="10206"/>
        <w:tblBorders>
          <w:top w:val="single" w:color="auto" w:sz="4"/>
          <w:left w:val="single" w:color="auto" w:sz="4"/>
          <w:bottom w:val="single" w:color="auto" w:sz="4"/>
          <w:right w:val="single" w:color="auto" w:sz="4"/>
          <w:insideH w:val="single" w:color="auto" w:sz="4"/>
          <w:insideV w:val="single" w:color="auto" w:sz="4"/>
        </w:tblBorders>
      </w:tblPr>
      <w:tblGrid>
        <w:gridCol w:w="1250"/>
        <w:gridCol w:w="1500"/>
        <w:gridCol w:w="1500"/>
        <w:gridCol w:w="1600"/>
        <w:gridCol w:w="1350"/>
        <w:gridCol w:w="1350"/>
        <w:gridCol w:w="1656"/>
      </w:tblGrid>
      <w:tr>
        <w:trPr>
          <w:cantSplit/>
          <w:tblHeader/>
        </w:trPr>
        <w:tc>
          <w:tcPr>
            <w:tcW w:type="dxa" w:w="12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Model</w:t>
            </w:r>
          </w:p>
        </w:tc>
        <w:tc>
          <w:tcPr>
            <w:tcW w:type="dxa" w:w="15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AUPRC (95% CI)</w:t>
            </w:r>
          </w:p>
        </w:tc>
        <w:tc>
          <w:tcPr>
            <w:tcW w:type="dxa" w:w="15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AUROC (95% CI)</w:t>
            </w:r>
          </w:p>
        </w:tc>
        <w:tc>
          <w:tcPr>
            <w:tcW w:type="dxa" w:w="16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Brier skill (95% CI)</w:t>
            </w:r>
          </w:p>
        </w:tc>
        <w:tc>
          <w:tcPr>
            <w:tcW w:type="dxa" w:w="13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Calibration intercept</w:t>
            </w:r>
          </w:p>
        </w:tc>
        <w:tc>
          <w:tcPr>
            <w:tcW w:type="dxa" w:w="13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Calibration slope</w:t>
            </w:r>
          </w:p>
        </w:tc>
        <w:tc>
          <w:tcPr>
            <w:tcW w:type="dxa" w:w="1656"/>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Score status</w:t>
            </w:r>
          </w:p>
        </w:tc>
      </w:tr>
      <w:tr>
        <w:trPr>
          <w:cantSplit/>
          <w:tblHeader w:val="false"/>
        </w:trPr>
        <w:tc>
          <w:tcPr>
            <w:tcW w:type="dxa" w:w="12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Nested procedure</w:t>
            </w:r>
          </w:p>
        </w:tc>
        <w:tc>
          <w:tcPr>
            <w:tcW w:type="dxa" w:w="1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0.438 (0.376–0.511)</w:t>
            </w:r>
          </w:p>
        </w:tc>
        <w:tc>
          <w:tcPr>
            <w:tcW w:type="dxa" w:w="1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0.908 (0.881–0.932)</w:t>
            </w:r>
          </w:p>
        </w:tc>
        <w:tc>
          <w:tcPr>
            <w:tcW w:type="dxa" w:w="16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0.301 (0.242–0.354)</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−0.075 (−0.298–0.149)</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0.943 (0.858–1.043)</w:t>
            </w:r>
          </w:p>
        </w:tc>
        <w:tc>
          <w:tcPr>
            <w:tcW w:type="dxa" w:w="16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Fold-Platt calibrated</w:t>
            </w:r>
          </w:p>
        </w:tc>
      </w:tr>
      <w:tr>
        <w:trPr>
          <w:cantSplit/>
          <w:tblHeader w:val="false"/>
        </w:trPr>
        <w:tc>
          <w:tcPr>
            <w:tcW w:type="dxa" w:w="12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Carrier≥10 </w:t>
            </w:r>
            <w:r>
              <w:rPr>
                <w:b w:val="false"/>
                <w:bCs w:val="false"/>
                <w:i/>
                <w:iCs/>
                <w:color w:val="000000"/>
                <w:sz w:val="17"/>
                <w:szCs w:val="17"/>
              </w:rPr>
              <w:t xml:space="preserve">rpoB</w:t>
            </w:r>
            <w:r>
              <w:rPr>
                <w:b w:val="false"/>
                <w:bCs w:val="false"/>
                <w:color w:val="000000"/>
                <w:sz w:val="17"/>
                <w:szCs w:val="17"/>
              </w:rPr>
              <w:t xml:space="preserve"> procedure</w:t>
            </w:r>
          </w:p>
        </w:tc>
        <w:tc>
          <w:tcPr>
            <w:tcW w:type="dxa" w:w="1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0.425 (0.361–0.496)</w:t>
            </w:r>
          </w:p>
        </w:tc>
        <w:tc>
          <w:tcPr>
            <w:tcW w:type="dxa" w:w="1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0.892 (0.863–0.921)</w:t>
            </w:r>
          </w:p>
        </w:tc>
        <w:tc>
          <w:tcPr>
            <w:tcW w:type="dxa" w:w="16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Not interpreted</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Ranking score only</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Ranking score only</w:t>
            </w:r>
          </w:p>
        </w:tc>
        <w:tc>
          <w:tcPr>
            <w:tcW w:type="dxa" w:w="16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Nested-C relative score</w:t>
            </w:r>
          </w:p>
        </w:tc>
      </w:tr>
      <w:tr>
        <w:trPr>
          <w:cantSplit/>
          <w:tblHeader w:val="false"/>
        </w:trPr>
        <w:tc>
          <w:tcPr>
            <w:tcW w:type="dxa" w:w="12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All-token logistic</w:t>
            </w:r>
          </w:p>
        </w:tc>
        <w:tc>
          <w:tcPr>
            <w:tcW w:type="dxa" w:w="1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0.447 (0.380–0.519)</w:t>
            </w:r>
          </w:p>
        </w:tc>
        <w:tc>
          <w:tcPr>
            <w:tcW w:type="dxa" w:w="1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0.903 (0.873–0.929)</w:t>
            </w:r>
          </w:p>
        </w:tc>
        <w:tc>
          <w:tcPr>
            <w:tcW w:type="dxa" w:w="16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Not interpreted</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Ranking score only</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Ranking score only</w:t>
            </w:r>
          </w:p>
        </w:tc>
        <w:tc>
          <w:tcPr>
            <w:tcW w:type="dxa" w:w="16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Nested-C relative score</w:t>
            </w:r>
          </w:p>
        </w:tc>
      </w:tr>
      <w:tr>
        <w:trPr>
          <w:cantSplit/>
          <w:tblHeader w:val="false"/>
        </w:trPr>
        <w:tc>
          <w:tcPr>
            <w:tcW w:type="dxa" w:w="12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XGBoost</w:t>
            </w:r>
          </w:p>
        </w:tc>
        <w:tc>
          <w:tcPr>
            <w:tcW w:type="dxa" w:w="15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0.409 (0.350–0.475)</w:t>
            </w:r>
          </w:p>
        </w:tc>
        <w:tc>
          <w:tcPr>
            <w:tcW w:type="dxa" w:w="15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0.905 (0.881–0.928)</w:t>
            </w:r>
          </w:p>
        </w:tc>
        <w:tc>
          <w:tcPr>
            <w:tcW w:type="dxa" w:w="16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Not interpreted</w:t>
            </w:r>
          </w:p>
        </w:tc>
        <w:tc>
          <w:tcPr>
            <w:tcW w:type="dxa" w:w="13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Ranking score only</w:t>
            </w:r>
          </w:p>
        </w:tc>
        <w:tc>
          <w:tcPr>
            <w:tcW w:type="dxa" w:w="13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Ranking score only</w:t>
            </w:r>
          </w:p>
        </w:tc>
        <w:tc>
          <w:tcPr>
            <w:tcW w:type="dxa" w:w="1656"/>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Relative score</w:t>
            </w:r>
          </w:p>
        </w:tc>
      </w:tr>
    </w:tbl>
    <w:p>
      <w:pPr>
        <w:keepLines/>
        <w:spacing w:after="100" w:before="45" w:line="220"/>
      </w:pPr>
      <w:r>
        <w:rPr>
          <w:color w:val="000000"/>
          <w:sz w:val="17"/>
          <w:szCs w:val="17"/>
        </w:rPr>
        <w:t xml:space="preserve">Intervals use 2000 subject-cluster bootstrap replicates. Point estimates were calculated on the original held-out sample. Brier and calibration are interpreted only for the fold-Platt-calibrated nested procedure.</w:t>
      </w:r>
    </w:p>
    <w:p>
      <w:pPr>
        <w:keepNext/>
        <w:spacing w:after="50" w:before="110"/>
      </w:pPr>
      <w:r>
        <w:rPr>
          <w:b/>
          <w:bCs/>
          <w:color w:val="000000"/>
          <w:sz w:val="19"/>
          <w:szCs w:val="19"/>
        </w:rPr>
        <w:t xml:space="preserve">Supplementary Table S8 | </w:t>
      </w:r>
      <w:r>
        <w:rPr>
          <w:color w:val="000000"/>
          <w:sz w:val="19"/>
          <w:szCs w:val="19"/>
        </w:rPr>
        <w:t xml:space="preserve">Targeted 10%-budget sensitivity analyses</w:t>
      </w:r>
    </w:p>
    <w:tbl>
      <w:tblPr>
        <w:tblW w:type="dxa" w:w="10206"/>
        <w:tblBorders>
          <w:top w:val="single" w:color="auto" w:sz="4"/>
          <w:left w:val="single" w:color="auto" w:sz="4"/>
          <w:bottom w:val="single" w:color="auto" w:sz="4"/>
          <w:right w:val="single" w:color="auto" w:sz="4"/>
          <w:insideH w:val="single" w:color="auto" w:sz="4"/>
          <w:insideV w:val="single" w:color="auto" w:sz="4"/>
        </w:tblBorders>
      </w:tblPr>
      <w:tblGrid>
        <w:gridCol w:w="2500"/>
        <w:gridCol w:w="1900"/>
        <w:gridCol w:w="1500"/>
        <w:gridCol w:w="1350"/>
        <w:gridCol w:w="1350"/>
        <w:gridCol w:w="1606"/>
      </w:tblGrid>
      <w:tr>
        <w:trPr>
          <w:cantSplit/>
          <w:tblHeader/>
        </w:trPr>
        <w:tc>
          <w:tcPr>
            <w:tcW w:type="dxa" w:w="25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Analysis</w:t>
            </w:r>
          </w:p>
        </w:tc>
        <w:tc>
          <w:tcPr>
            <w:tcW w:type="dxa" w:w="19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Model</w:t>
            </w:r>
          </w:p>
        </w:tc>
        <w:tc>
          <w:tcPr>
            <w:tcW w:type="dxa" w:w="15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Detected/events</w:t>
            </w:r>
          </w:p>
        </w:tc>
        <w:tc>
          <w:tcPr>
            <w:tcW w:type="dxa" w:w="13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Recall</w:t>
            </w:r>
          </w:p>
        </w:tc>
        <w:tc>
          <w:tcPr>
            <w:tcW w:type="dxa" w:w="13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PPV</w:t>
            </w:r>
          </w:p>
        </w:tc>
        <w:tc>
          <w:tcPr>
            <w:tcW w:type="dxa" w:w="1606"/>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Tests/detected</w:t>
            </w:r>
          </w:p>
        </w:tc>
      </w:tr>
      <w:tr>
        <w:trPr>
          <w:cantSplit/>
          <w:tblHeader w:val="false"/>
        </w:trPr>
        <w:tc>
          <w:tcPr>
            <w:tcW w:type="dxa" w:w="2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High-quality primary</w:t>
            </w:r>
          </w:p>
        </w:tc>
        <w:tc>
          <w:tcPr>
            <w:tcW w:type="dxa" w:w="19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Carrier≥10 </w:t>
            </w:r>
            <w:r>
              <w:rPr>
                <w:b w:val="false"/>
                <w:bCs w:val="false"/>
                <w:i/>
                <w:iCs/>
                <w:color w:val="000000"/>
                <w:sz w:val="17"/>
                <w:szCs w:val="17"/>
              </w:rPr>
              <w:t xml:space="preserve">rpoB</w:t>
            </w:r>
            <w:r>
              <w:rPr>
                <w:b w:val="false"/>
                <w:bCs w:val="false"/>
                <w:color w:val="000000"/>
                <w:sz w:val="17"/>
                <w:szCs w:val="17"/>
              </w:rPr>
              <w:t xml:space="preserve"> procedure</w:t>
            </w:r>
          </w:p>
        </w:tc>
        <w:tc>
          <w:tcPr>
            <w:tcW w:type="dxa" w:w="1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150.1/210</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71.5%</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43.1%</w:t>
            </w:r>
          </w:p>
        </w:tc>
        <w:tc>
          <w:tcPr>
            <w:tcW w:type="dxa" w:w="16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2.32</w:t>
            </w:r>
          </w:p>
        </w:tc>
      </w:tr>
      <w:tr>
        <w:trPr>
          <w:cantSplit/>
          <w:tblHeader w:val="false"/>
        </w:trPr>
        <w:tc>
          <w:tcPr>
            <w:tcW w:type="dxa" w:w="2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High-quality primary</w:t>
            </w:r>
          </w:p>
        </w:tc>
        <w:tc>
          <w:tcPr>
            <w:tcW w:type="dxa" w:w="19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Nested procedure</w:t>
            </w:r>
          </w:p>
        </w:tc>
        <w:tc>
          <w:tcPr>
            <w:tcW w:type="dxa" w:w="1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151.0/210</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71.9%</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43.4%</w:t>
            </w:r>
          </w:p>
        </w:tc>
        <w:tc>
          <w:tcPr>
            <w:tcW w:type="dxa" w:w="16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2.30</w:t>
            </w:r>
          </w:p>
        </w:tc>
      </w:tr>
      <w:tr>
        <w:trPr>
          <w:cantSplit/>
          <w:tblHeader w:val="false"/>
        </w:trPr>
        <w:tc>
          <w:tcPr>
            <w:tcW w:type="dxa" w:w="2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High-quality primary</w:t>
            </w:r>
          </w:p>
        </w:tc>
        <w:tc>
          <w:tcPr>
            <w:tcW w:type="dxa" w:w="19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Full logistic</w:t>
            </w:r>
          </w:p>
        </w:tc>
        <w:tc>
          <w:tcPr>
            <w:tcW w:type="dxa" w:w="1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156.4/210</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74.5%</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44.9%</w:t>
            </w:r>
          </w:p>
        </w:tc>
        <w:tc>
          <w:tcPr>
            <w:tcW w:type="dxa" w:w="16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2.22</w:t>
            </w:r>
          </w:p>
        </w:tc>
      </w:tr>
      <w:tr>
        <w:trPr>
          <w:cantSplit/>
          <w:tblHeader w:val="false"/>
        </w:trPr>
        <w:tc>
          <w:tcPr>
            <w:tcW w:type="dxa" w:w="2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High-quality primary</w:t>
            </w:r>
          </w:p>
        </w:tc>
        <w:tc>
          <w:tcPr>
            <w:tcW w:type="dxa" w:w="19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XGBoost</w:t>
            </w:r>
          </w:p>
        </w:tc>
        <w:tc>
          <w:tcPr>
            <w:tcW w:type="dxa" w:w="1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159.4/210</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75.9%</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45.8%</w:t>
            </w:r>
          </w:p>
        </w:tc>
        <w:tc>
          <w:tcPr>
            <w:tcW w:type="dxa" w:w="16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2.18</w:t>
            </w:r>
          </w:p>
        </w:tc>
      </w:tr>
      <w:tr>
        <w:trPr>
          <w:cantSplit/>
          <w:tblHeader w:val="false"/>
        </w:trPr>
        <w:tc>
          <w:tcPr>
            <w:tcW w:type="dxa" w:w="2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Joint subject–sublineage 3×3</w:t>
            </w:r>
          </w:p>
        </w:tc>
        <w:tc>
          <w:tcPr>
            <w:tcW w:type="dxa" w:w="19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Carrier≥10 </w:t>
            </w:r>
            <w:r>
              <w:rPr>
                <w:b w:val="false"/>
                <w:bCs w:val="false"/>
                <w:i/>
                <w:iCs/>
                <w:color w:val="000000"/>
                <w:sz w:val="17"/>
                <w:szCs w:val="17"/>
              </w:rPr>
              <w:t xml:space="preserve">rpoB</w:t>
            </w:r>
            <w:r>
              <w:rPr>
                <w:b w:val="false"/>
                <w:bCs w:val="false"/>
                <w:color w:val="000000"/>
                <w:sz w:val="17"/>
                <w:szCs w:val="17"/>
              </w:rPr>
              <w:t xml:space="preserve"> procedure</w:t>
            </w:r>
          </w:p>
        </w:tc>
        <w:tc>
          <w:tcPr>
            <w:tcW w:type="dxa" w:w="1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141.0/210</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67.1%</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40.5%</w:t>
            </w:r>
          </w:p>
        </w:tc>
        <w:tc>
          <w:tcPr>
            <w:tcW w:type="dxa" w:w="16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2.47</w:t>
            </w:r>
          </w:p>
        </w:tc>
      </w:tr>
      <w:tr>
        <w:trPr>
          <w:cantSplit/>
          <w:tblHeader w:val="false"/>
        </w:trPr>
        <w:tc>
          <w:tcPr>
            <w:tcW w:type="dxa" w:w="2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Joint subject–sublineage 3×3</w:t>
            </w:r>
          </w:p>
        </w:tc>
        <w:tc>
          <w:tcPr>
            <w:tcW w:type="dxa" w:w="19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Nested procedure</w:t>
            </w:r>
          </w:p>
        </w:tc>
        <w:tc>
          <w:tcPr>
            <w:tcW w:type="dxa" w:w="1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144.5/210</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68.8%</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41.5%</w:t>
            </w:r>
          </w:p>
        </w:tc>
        <w:tc>
          <w:tcPr>
            <w:tcW w:type="dxa" w:w="16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2.41</w:t>
            </w:r>
          </w:p>
        </w:tc>
      </w:tr>
      <w:tr>
        <w:trPr>
          <w:cantSplit/>
          <w:tblHeader w:val="false"/>
        </w:trPr>
        <w:tc>
          <w:tcPr>
            <w:tcW w:type="dxa" w:w="2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Joint subject–sublineage 3×3</w:t>
            </w:r>
          </w:p>
        </w:tc>
        <w:tc>
          <w:tcPr>
            <w:tcW w:type="dxa" w:w="19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Fixed-C full logistic</w:t>
            </w:r>
          </w:p>
        </w:tc>
        <w:tc>
          <w:tcPr>
            <w:tcW w:type="dxa" w:w="1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148.4/210</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70.6%</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42.6%</w:t>
            </w:r>
          </w:p>
        </w:tc>
        <w:tc>
          <w:tcPr>
            <w:tcW w:type="dxa" w:w="16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2.35</w:t>
            </w:r>
          </w:p>
        </w:tc>
      </w:tr>
      <w:tr>
        <w:trPr>
          <w:cantSplit/>
          <w:tblHeader w:val="false"/>
        </w:trPr>
        <w:tc>
          <w:tcPr>
            <w:tcW w:type="dxa" w:w="2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Joint subject–sublineage 3×3</w:t>
            </w:r>
          </w:p>
        </w:tc>
        <w:tc>
          <w:tcPr>
            <w:tcW w:type="dxa" w:w="19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XGBoost</w:t>
            </w:r>
          </w:p>
        </w:tc>
        <w:tc>
          <w:tcPr>
            <w:tcW w:type="dxa" w:w="1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146.3/210</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69.7%</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42.0%</w:t>
            </w:r>
          </w:p>
        </w:tc>
        <w:tc>
          <w:tcPr>
            <w:tcW w:type="dxa" w:w="16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2.38</w:t>
            </w:r>
          </w:p>
        </w:tc>
      </w:tr>
      <w:tr>
        <w:trPr>
          <w:cantSplit/>
          <w:tblHeader w:val="false"/>
        </w:trPr>
        <w:tc>
          <w:tcPr>
            <w:tcW w:type="dxa" w:w="2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High + medium quality</w:t>
            </w:r>
          </w:p>
        </w:tc>
        <w:tc>
          <w:tcPr>
            <w:tcW w:type="dxa" w:w="19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Carrier≥10 </w:t>
            </w:r>
            <w:r>
              <w:rPr>
                <w:b w:val="false"/>
                <w:bCs w:val="false"/>
                <w:i/>
                <w:iCs/>
                <w:color w:val="000000"/>
                <w:sz w:val="17"/>
                <w:szCs w:val="17"/>
              </w:rPr>
              <w:t xml:space="preserve">rpoB</w:t>
            </w:r>
            <w:r>
              <w:rPr>
                <w:b w:val="false"/>
                <w:bCs w:val="false"/>
                <w:color w:val="000000"/>
                <w:sz w:val="17"/>
                <w:szCs w:val="17"/>
              </w:rPr>
              <w:t xml:space="preserve"> procedure</w:t>
            </w:r>
          </w:p>
        </w:tc>
        <w:tc>
          <w:tcPr>
            <w:tcW w:type="dxa" w:w="1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182.1/258.0</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70.6%</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42.5%</w:t>
            </w:r>
          </w:p>
        </w:tc>
        <w:tc>
          <w:tcPr>
            <w:tcW w:type="dxa" w:w="16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2.35</w:t>
            </w:r>
          </w:p>
        </w:tc>
      </w:tr>
      <w:tr>
        <w:trPr>
          <w:cantSplit/>
          <w:tblHeader w:val="false"/>
        </w:trPr>
        <w:tc>
          <w:tcPr>
            <w:tcW w:type="dxa" w:w="2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High + medium quality</w:t>
            </w:r>
          </w:p>
        </w:tc>
        <w:tc>
          <w:tcPr>
            <w:tcW w:type="dxa" w:w="19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Full logistic</w:t>
            </w:r>
          </w:p>
        </w:tc>
        <w:tc>
          <w:tcPr>
            <w:tcW w:type="dxa" w:w="1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185/258</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71.7%</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43.2%</w:t>
            </w:r>
          </w:p>
        </w:tc>
        <w:tc>
          <w:tcPr>
            <w:tcW w:type="dxa" w:w="16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2.31</w:t>
            </w:r>
          </w:p>
        </w:tc>
      </w:tr>
      <w:tr>
        <w:trPr>
          <w:cantSplit/>
          <w:tblHeader w:val="false"/>
        </w:trPr>
        <w:tc>
          <w:tcPr>
            <w:tcW w:type="dxa" w:w="2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High + medium quality</w:t>
            </w:r>
          </w:p>
        </w:tc>
        <w:tc>
          <w:tcPr>
            <w:tcW w:type="dxa" w:w="19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XGBoost</w:t>
            </w:r>
          </w:p>
        </w:tc>
        <w:tc>
          <w:tcPr>
            <w:tcW w:type="dxa" w:w="1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189/258</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73.3%</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44.2%</w:t>
            </w:r>
          </w:p>
        </w:tc>
        <w:tc>
          <w:tcPr>
            <w:tcW w:type="dxa" w:w="16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2.26</w:t>
            </w:r>
          </w:p>
        </w:tc>
      </w:tr>
      <w:tr>
        <w:trPr>
          <w:cantSplit/>
          <w:tblHeader w:val="false"/>
        </w:trPr>
        <w:tc>
          <w:tcPr>
            <w:tcW w:type="dxa" w:w="2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exclude PER 05</w:t>
            </w:r>
          </w:p>
        </w:tc>
        <w:tc>
          <w:tcPr>
            <w:tcW w:type="dxa" w:w="19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Carrier≥10 </w:t>
            </w:r>
            <w:r>
              <w:rPr>
                <w:b w:val="false"/>
                <w:bCs w:val="false"/>
                <w:i/>
                <w:iCs/>
                <w:color w:val="000000"/>
                <w:sz w:val="17"/>
                <w:szCs w:val="17"/>
              </w:rPr>
              <w:t xml:space="preserve">rpoB</w:t>
            </w:r>
            <w:r>
              <w:rPr>
                <w:b w:val="false"/>
                <w:bCs w:val="false"/>
                <w:color w:val="000000"/>
                <w:sz w:val="17"/>
                <w:szCs w:val="17"/>
              </w:rPr>
              <w:t xml:space="preserve"> procedure</w:t>
            </w:r>
          </w:p>
        </w:tc>
        <w:tc>
          <w:tcPr>
            <w:tcW w:type="dxa" w:w="1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60.3/97.0</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62.2%</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22.1%</w:t>
            </w:r>
          </w:p>
        </w:tc>
        <w:tc>
          <w:tcPr>
            <w:tcW w:type="dxa" w:w="16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4.52</w:t>
            </w:r>
          </w:p>
        </w:tc>
      </w:tr>
      <w:tr>
        <w:trPr>
          <w:cantSplit/>
          <w:tblHeader w:val="false"/>
        </w:trPr>
        <w:tc>
          <w:tcPr>
            <w:tcW w:type="dxa" w:w="2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exclude Lineage 4</w:t>
            </w:r>
          </w:p>
        </w:tc>
        <w:tc>
          <w:tcPr>
            <w:tcW w:type="dxa" w:w="19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Carrier≥10 </w:t>
            </w:r>
            <w:r>
              <w:rPr>
                <w:b w:val="false"/>
                <w:bCs w:val="false"/>
                <w:i/>
                <w:iCs/>
                <w:color w:val="000000"/>
                <w:sz w:val="17"/>
                <w:szCs w:val="17"/>
              </w:rPr>
              <w:t xml:space="preserve">rpoB</w:t>
            </w:r>
            <w:r>
              <w:rPr>
                <w:b w:val="false"/>
                <w:bCs w:val="false"/>
                <w:color w:val="000000"/>
                <w:sz w:val="17"/>
                <w:szCs w:val="17"/>
              </w:rPr>
              <w:t xml:space="preserve"> procedure</w:t>
            </w:r>
          </w:p>
        </w:tc>
        <w:tc>
          <w:tcPr>
            <w:tcW w:type="dxa" w:w="1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24.2/53.0</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45.6%</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11.7%</w:t>
            </w:r>
          </w:p>
        </w:tc>
        <w:tc>
          <w:tcPr>
            <w:tcW w:type="dxa" w:w="16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8.57</w:t>
            </w:r>
          </w:p>
        </w:tc>
      </w:tr>
      <w:tr>
        <w:trPr>
          <w:cantSplit/>
          <w:tblHeader w:val="false"/>
        </w:trPr>
        <w:tc>
          <w:tcPr>
            <w:tcW w:type="dxa" w:w="25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exclude PER 05 and Lineage 4</w:t>
            </w:r>
          </w:p>
        </w:tc>
        <w:tc>
          <w:tcPr>
            <w:tcW w:type="dxa" w:w="19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Carrier≥10 </w:t>
            </w:r>
            <w:r>
              <w:rPr>
                <w:b w:val="false"/>
                <w:bCs w:val="false"/>
                <w:i/>
                <w:iCs/>
                <w:color w:val="000000"/>
                <w:sz w:val="17"/>
                <w:szCs w:val="17"/>
              </w:rPr>
              <w:t xml:space="preserve">rpoB</w:t>
            </w:r>
            <w:r>
              <w:rPr>
                <w:b w:val="false"/>
                <w:bCs w:val="false"/>
                <w:color w:val="000000"/>
                <w:sz w:val="17"/>
                <w:szCs w:val="17"/>
              </w:rPr>
              <w:t xml:space="preserve"> procedure</w:t>
            </w:r>
          </w:p>
        </w:tc>
        <w:tc>
          <w:tcPr>
            <w:tcW w:type="dxa" w:w="15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20.6/45.0</w:t>
            </w:r>
          </w:p>
        </w:tc>
        <w:tc>
          <w:tcPr>
            <w:tcW w:type="dxa" w:w="13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45.7%</w:t>
            </w:r>
          </w:p>
        </w:tc>
        <w:tc>
          <w:tcPr>
            <w:tcW w:type="dxa" w:w="13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10.2%</w:t>
            </w:r>
          </w:p>
        </w:tc>
        <w:tc>
          <w:tcPr>
            <w:tcW w:type="dxa" w:w="1606"/>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9.83</w:t>
            </w:r>
          </w:p>
        </w:tc>
      </w:tr>
    </w:tbl>
    <w:p>
      <w:pPr>
        <w:keepLines/>
        <w:spacing w:after="100" w:before="45" w:line="220"/>
      </w:pPr>
      <w:r>
        <w:rPr>
          <w:color w:val="000000"/>
          <w:sz w:val="17"/>
          <w:szCs w:val="17"/>
        </w:rPr>
        <w:t xml:space="preserve">Tests/detected denotes tests per low-MIC isolate detected. Counts are aggregated after ranking within held-out folds. The carrier≥10 procedure, including its development-fold feature filter and C selection, was refitted inside each reported validation analysis.</w:t>
      </w:r>
    </w:p>
    <w:p>
      <w:pPr>
        <w:keepNext/>
        <w:spacing w:after="50" w:before="110"/>
      </w:pPr>
      <w:r>
        <w:rPr>
          <w:b/>
          <w:bCs/>
          <w:color w:val="000000"/>
          <w:sz w:val="19"/>
          <w:szCs w:val="19"/>
        </w:rPr>
        <w:t xml:space="preserve">Supplementary Table S9 | </w:t>
      </w:r>
      <w:r>
        <w:rPr>
          <w:color w:val="000000"/>
          <w:sz w:val="19"/>
          <w:szCs w:val="19"/>
        </w:rPr>
        <w:t xml:space="preserve">Neural event-cap and rank sensitivity</w:t>
      </w:r>
    </w:p>
    <w:tbl>
      <w:tblPr>
        <w:tblW w:type="dxa" w:w="10206"/>
        <w:tblBorders>
          <w:top w:val="single" w:color="auto" w:sz="4"/>
          <w:left w:val="single" w:color="auto" w:sz="4"/>
          <w:bottom w:val="single" w:color="auto" w:sz="4"/>
          <w:right w:val="single" w:color="auto" w:sz="4"/>
          <w:insideH w:val="single" w:color="auto" w:sz="4"/>
          <w:insideV w:val="single" w:color="auto" w:sz="4"/>
        </w:tblBorders>
      </w:tblPr>
      <w:tblGrid>
        <w:gridCol w:w="1400"/>
        <w:gridCol w:w="1800"/>
        <w:gridCol w:w="1450"/>
        <w:gridCol w:w="1500"/>
        <w:gridCol w:w="1500"/>
        <w:gridCol w:w="1250"/>
        <w:gridCol w:w="1306"/>
      </w:tblGrid>
      <w:tr>
        <w:trPr>
          <w:cantSplit/>
          <w:tblHeader/>
        </w:trPr>
        <w:tc>
          <w:tcPr>
            <w:tcW w:type="dxa" w:w="14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Maximum events</w:t>
            </w:r>
          </w:p>
        </w:tc>
        <w:tc>
          <w:tcPr>
            <w:tcW w:type="dxa" w:w="18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Isolates over cap</w:t>
            </w:r>
          </w:p>
        </w:tc>
        <w:tc>
          <w:tcPr>
            <w:tcW w:type="dxa" w:w="14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Events discarded</w:t>
            </w:r>
          </w:p>
        </w:tc>
        <w:tc>
          <w:tcPr>
            <w:tcW w:type="dxa" w:w="15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Mean-fold AUPRC</w:t>
            </w:r>
          </w:p>
        </w:tc>
        <w:tc>
          <w:tcPr>
            <w:tcW w:type="dxa" w:w="15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Mean-fold AUROC</w:t>
            </w:r>
          </w:p>
        </w:tc>
        <w:tc>
          <w:tcPr>
            <w:tcW w:type="dxa" w:w="12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10% recall</w:t>
            </w:r>
          </w:p>
        </w:tc>
        <w:tc>
          <w:tcPr>
            <w:tcW w:type="dxa" w:w="1306"/>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10% PPV</w:t>
            </w:r>
          </w:p>
        </w:tc>
      </w:tr>
      <w:tr>
        <w:trPr>
          <w:cantSplit/>
          <w:tblHeader w:val="false"/>
        </w:trPr>
        <w:tc>
          <w:tcPr>
            <w:tcW w:type="dxa" w:w="14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64</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45/3466 (1.298%)</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784</w:t>
            </w:r>
          </w:p>
        </w:tc>
        <w:tc>
          <w:tcPr>
            <w:tcW w:type="dxa" w:w="1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0.446</w:t>
            </w:r>
          </w:p>
        </w:tc>
        <w:tc>
          <w:tcPr>
            <w:tcW w:type="dxa" w:w="1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0.918</w:t>
            </w:r>
          </w:p>
        </w:tc>
        <w:tc>
          <w:tcPr>
            <w:tcW w:type="dxa" w:w="12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71.4%</w:t>
            </w:r>
          </w:p>
        </w:tc>
        <w:tc>
          <w:tcPr>
            <w:tcW w:type="dxa" w:w="13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43.1%</w:t>
            </w:r>
          </w:p>
        </w:tc>
      </w:tr>
      <w:tr>
        <w:trPr>
          <w:cantSplit/>
          <w:tblHeader w:val="false"/>
        </w:trPr>
        <w:tc>
          <w:tcPr>
            <w:tcW w:type="dxa" w:w="14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128</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2/3466 (0.058%)</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418</w:t>
            </w:r>
          </w:p>
        </w:tc>
        <w:tc>
          <w:tcPr>
            <w:tcW w:type="dxa" w:w="1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0.453</w:t>
            </w:r>
          </w:p>
        </w:tc>
        <w:tc>
          <w:tcPr>
            <w:tcW w:type="dxa" w:w="15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0.922</w:t>
            </w:r>
          </w:p>
        </w:tc>
        <w:tc>
          <w:tcPr>
            <w:tcW w:type="dxa" w:w="12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73.3%</w:t>
            </w:r>
          </w:p>
        </w:tc>
        <w:tc>
          <w:tcPr>
            <w:tcW w:type="dxa" w:w="13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44.3%</w:t>
            </w:r>
          </w:p>
        </w:tc>
      </w:tr>
      <w:tr>
        <w:trPr>
          <w:cantSplit/>
          <w:tblHeader w:val="false"/>
        </w:trPr>
        <w:tc>
          <w:tcPr>
            <w:tcW w:type="dxa" w:w="14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256</w:t>
            </w:r>
          </w:p>
        </w:tc>
        <w:tc>
          <w:tcPr>
            <w:tcW w:type="dxa" w:w="18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1/3466 (0.029%)</w:t>
            </w:r>
          </w:p>
        </w:tc>
        <w:tc>
          <w:tcPr>
            <w:tcW w:type="dxa" w:w="14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230</w:t>
            </w:r>
          </w:p>
        </w:tc>
        <w:tc>
          <w:tcPr>
            <w:tcW w:type="dxa" w:w="15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0.445</w:t>
            </w:r>
          </w:p>
        </w:tc>
        <w:tc>
          <w:tcPr>
            <w:tcW w:type="dxa" w:w="15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0.918</w:t>
            </w:r>
          </w:p>
        </w:tc>
        <w:tc>
          <w:tcPr>
            <w:tcW w:type="dxa" w:w="12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72.9%</w:t>
            </w:r>
          </w:p>
        </w:tc>
        <w:tc>
          <w:tcPr>
            <w:tcW w:type="dxa" w:w="1306"/>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44.0%</w:t>
            </w:r>
          </w:p>
        </w:tc>
      </w:tr>
    </w:tbl>
    <w:p>
      <w:pPr>
        <w:keepLines/>
        <w:spacing w:after="100" w:before="45" w:line="220"/>
      </w:pPr>
      <w:r>
        <w:rPr>
          <w:color w:val="000000"/>
          <w:sz w:val="17"/>
          <w:szCs w:val="17"/>
        </w:rPr>
        <w:t xml:space="preserve">Rank sensitivity is reported from uncalibrated truncation-run scores; Brier and calibration measures are omitted.</w:t>
      </w:r>
    </w:p>
    <w:p>
      <w:pPr>
        <w:keepNext/>
        <w:spacing w:after="50" w:before="110"/>
      </w:pPr>
      <w:r>
        <w:rPr>
          <w:b/>
          <w:bCs/>
          <w:color w:val="000000"/>
          <w:sz w:val="19"/>
          <w:szCs w:val="19"/>
        </w:rPr>
        <w:t xml:space="preserve">Supplementary Table S10 | </w:t>
      </w:r>
      <w:r>
        <w:rPr>
          <w:color w:val="000000"/>
          <w:sz w:val="19"/>
          <w:szCs w:val="19"/>
        </w:rPr>
        <w:t xml:space="preserve">Top features across carrier≥10 outer-fold fits</w:t>
      </w:r>
    </w:p>
    <w:tbl>
      <w:tblPr>
        <w:tblW w:type="dxa" w:w="10206"/>
        <w:tblBorders>
          <w:top w:val="single" w:color="auto" w:sz="4"/>
          <w:left w:val="single" w:color="auto" w:sz="4"/>
          <w:bottom w:val="single" w:color="auto" w:sz="4"/>
          <w:right w:val="single" w:color="auto" w:sz="4"/>
          <w:insideH w:val="single" w:color="auto" w:sz="4"/>
          <w:insideV w:val="single" w:color="auto" w:sz="4"/>
        </w:tblBorders>
      </w:tblPr>
      <w:tblGrid>
        <w:gridCol w:w="3100"/>
        <w:gridCol w:w="1000"/>
        <w:gridCol w:w="1450"/>
        <w:gridCol w:w="1550"/>
        <w:gridCol w:w="1450"/>
        <w:gridCol w:w="1656"/>
      </w:tblGrid>
      <w:tr>
        <w:trPr>
          <w:cantSplit/>
          <w:tblHeader/>
        </w:trPr>
        <w:tc>
          <w:tcPr>
            <w:tcW w:type="dxa" w:w="31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Mutation token</w:t>
            </w:r>
          </w:p>
        </w:tc>
        <w:tc>
          <w:tcPr>
            <w:tcW w:type="dxa" w:w="10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Folds</w:t>
            </w:r>
          </w:p>
        </w:tc>
        <w:tc>
          <w:tcPr>
            <w:tcW w:type="dxa" w:w="14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Sign consistency</w:t>
            </w:r>
          </w:p>
        </w:tc>
        <w:tc>
          <w:tcPr>
            <w:tcW w:type="dxa" w:w="15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Mean coefficient</w:t>
            </w:r>
          </w:p>
        </w:tc>
        <w:tc>
          <w:tcPr>
            <w:tcW w:type="dxa" w:w="14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Carriers</w:t>
            </w:r>
          </w:p>
        </w:tc>
        <w:tc>
          <w:tcPr>
            <w:tcW w:type="dxa" w:w="1656"/>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Positive carriers</w:t>
            </w:r>
          </w:p>
        </w:tc>
      </w:tr>
      <w:tr>
        <w:trPr>
          <w:cantSplit/>
          <w:tblHeader w:val="false"/>
        </w:trPr>
        <w:tc>
          <w:tcPr>
            <w:tcW w:type="dxa" w:w="3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i/>
                <w:iCs/>
                <w:color w:val="000000"/>
                <w:sz w:val="17"/>
                <w:szCs w:val="17"/>
              </w:rPr>
              <w:t xml:space="preserve">rpoB</w:t>
            </w:r>
            <w:r>
              <w:rPr>
                <w:b w:val="false"/>
                <w:bCs w:val="false"/>
                <w:color w:val="000000"/>
                <w:sz w:val="17"/>
                <w:szCs w:val="17"/>
              </w:rPr>
              <w:t xml:space="preserve"> S450L</w:t>
            </w:r>
          </w:p>
        </w:tc>
        <w:tc>
          <w:tcPr>
            <w:tcW w:type="dxa" w:w="1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1.00</w:t>
            </w:r>
          </w:p>
        </w:tc>
        <w:tc>
          <w:tcPr>
            <w:tcW w:type="dxa" w:w="15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-2.187</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2,266</w:t>
            </w:r>
          </w:p>
        </w:tc>
        <w:tc>
          <w:tcPr>
            <w:tcW w:type="dxa" w:w="16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17</w:t>
            </w:r>
          </w:p>
        </w:tc>
      </w:tr>
      <w:tr>
        <w:trPr>
          <w:cantSplit/>
          <w:tblHeader w:val="false"/>
        </w:trPr>
        <w:tc>
          <w:tcPr>
            <w:tcW w:type="dxa" w:w="3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i/>
                <w:iCs/>
                <w:color w:val="000000"/>
                <w:sz w:val="17"/>
                <w:szCs w:val="17"/>
              </w:rPr>
              <w:t xml:space="preserve">rpoB</w:t>
            </w:r>
            <w:r>
              <w:rPr>
                <w:b w:val="false"/>
                <w:bCs w:val="false"/>
                <w:color w:val="000000"/>
                <w:sz w:val="17"/>
                <w:szCs w:val="17"/>
              </w:rPr>
              <w:t xml:space="preserve"> H445Y</w:t>
            </w:r>
          </w:p>
        </w:tc>
        <w:tc>
          <w:tcPr>
            <w:tcW w:type="dxa" w:w="1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1.00</w:t>
            </w:r>
          </w:p>
        </w:tc>
        <w:tc>
          <w:tcPr>
            <w:tcW w:type="dxa" w:w="15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-1.360</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125</w:t>
            </w:r>
          </w:p>
        </w:tc>
        <w:tc>
          <w:tcPr>
            <w:tcW w:type="dxa" w:w="16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w:t>
            </w:r>
          </w:p>
        </w:tc>
      </w:tr>
      <w:tr>
        <w:trPr>
          <w:cantSplit/>
          <w:tblHeader w:val="false"/>
        </w:trPr>
        <w:tc>
          <w:tcPr>
            <w:tcW w:type="dxa" w:w="3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i/>
                <w:iCs/>
                <w:color w:val="000000"/>
                <w:sz w:val="17"/>
                <w:szCs w:val="17"/>
              </w:rPr>
              <w:t xml:space="preserve">rpoB</w:t>
            </w:r>
            <w:r>
              <w:rPr>
                <w:b w:val="false"/>
                <w:bCs w:val="false"/>
                <w:color w:val="000000"/>
                <w:sz w:val="17"/>
                <w:szCs w:val="17"/>
              </w:rPr>
              <w:t xml:space="preserve"> H445L</w:t>
            </w:r>
          </w:p>
        </w:tc>
        <w:tc>
          <w:tcPr>
            <w:tcW w:type="dxa" w:w="1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1.00</w:t>
            </w:r>
          </w:p>
        </w:tc>
        <w:tc>
          <w:tcPr>
            <w:tcW w:type="dxa" w:w="15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1.334</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33</w:t>
            </w:r>
          </w:p>
        </w:tc>
        <w:tc>
          <w:tcPr>
            <w:tcW w:type="dxa" w:w="16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19</w:t>
            </w:r>
          </w:p>
        </w:tc>
      </w:tr>
      <w:tr>
        <w:trPr>
          <w:cantSplit/>
          <w:tblHeader w:val="false"/>
        </w:trPr>
        <w:tc>
          <w:tcPr>
            <w:tcW w:type="dxa" w:w="3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i/>
                <w:iCs/>
                <w:color w:val="000000"/>
                <w:sz w:val="17"/>
                <w:szCs w:val="17"/>
              </w:rPr>
              <w:t xml:space="preserve">rpoB</w:t>
            </w:r>
            <w:r>
              <w:rPr>
                <w:b w:val="false"/>
                <w:bCs w:val="false"/>
                <w:color w:val="000000"/>
                <w:sz w:val="17"/>
                <w:szCs w:val="17"/>
              </w:rPr>
              <w:t xml:space="preserve"> H445D</w:t>
            </w:r>
          </w:p>
        </w:tc>
        <w:tc>
          <w:tcPr>
            <w:tcW w:type="dxa" w:w="1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1.00</w:t>
            </w:r>
          </w:p>
        </w:tc>
        <w:tc>
          <w:tcPr>
            <w:tcW w:type="dxa" w:w="15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-1.222</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93</w:t>
            </w:r>
          </w:p>
        </w:tc>
        <w:tc>
          <w:tcPr>
            <w:tcW w:type="dxa" w:w="16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w:t>
            </w:r>
          </w:p>
        </w:tc>
      </w:tr>
      <w:tr>
        <w:trPr>
          <w:cantSplit/>
          <w:tblHeader w:val="false"/>
        </w:trPr>
        <w:tc>
          <w:tcPr>
            <w:tcW w:type="dxa" w:w="3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i/>
                <w:iCs/>
                <w:color w:val="000000"/>
                <w:sz w:val="17"/>
                <w:szCs w:val="17"/>
              </w:rPr>
              <w:t xml:space="preserve">rpoB</w:t>
            </w:r>
            <w:r>
              <w:rPr>
                <w:b w:val="false"/>
                <w:bCs w:val="false"/>
                <w:color w:val="000000"/>
                <w:sz w:val="17"/>
                <w:szCs w:val="17"/>
              </w:rPr>
              <w:t xml:space="preserve"> D435Y</w:t>
            </w:r>
          </w:p>
        </w:tc>
        <w:tc>
          <w:tcPr>
            <w:tcW w:type="dxa" w:w="1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1.00</w:t>
            </w:r>
          </w:p>
        </w:tc>
        <w:tc>
          <w:tcPr>
            <w:tcW w:type="dxa" w:w="15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1.164</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65</w:t>
            </w:r>
          </w:p>
        </w:tc>
        <w:tc>
          <w:tcPr>
            <w:tcW w:type="dxa" w:w="16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24</w:t>
            </w:r>
          </w:p>
        </w:tc>
      </w:tr>
      <w:tr>
        <w:trPr>
          <w:cantSplit/>
          <w:tblHeader w:val="false"/>
        </w:trPr>
        <w:tc>
          <w:tcPr>
            <w:tcW w:type="dxa" w:w="3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i/>
                <w:iCs/>
                <w:color w:val="000000"/>
                <w:sz w:val="17"/>
                <w:szCs w:val="17"/>
              </w:rPr>
              <w:t xml:space="preserve">rpoB</w:t>
            </w:r>
            <w:r>
              <w:rPr>
                <w:b w:val="false"/>
                <w:bCs w:val="false"/>
                <w:color w:val="000000"/>
                <w:sz w:val="17"/>
                <w:szCs w:val="17"/>
              </w:rPr>
              <w:t xml:space="preserve"> D435F</w:t>
            </w:r>
          </w:p>
        </w:tc>
        <w:tc>
          <w:tcPr>
            <w:tcW w:type="dxa" w:w="1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1.00</w:t>
            </w:r>
          </w:p>
        </w:tc>
        <w:tc>
          <w:tcPr>
            <w:tcW w:type="dxa" w:w="15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1.115</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17</w:t>
            </w:r>
          </w:p>
        </w:tc>
        <w:tc>
          <w:tcPr>
            <w:tcW w:type="dxa" w:w="16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9</w:t>
            </w:r>
          </w:p>
        </w:tc>
      </w:tr>
      <w:tr>
        <w:trPr>
          <w:cantSplit/>
          <w:tblHeader w:val="false"/>
        </w:trPr>
        <w:tc>
          <w:tcPr>
            <w:tcW w:type="dxa" w:w="3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i/>
                <w:iCs/>
                <w:color w:val="000000"/>
                <w:sz w:val="17"/>
                <w:szCs w:val="17"/>
              </w:rPr>
              <w:t xml:space="preserve">rpoB</w:t>
            </w:r>
            <w:r>
              <w:rPr>
                <w:b w:val="false"/>
                <w:bCs w:val="false"/>
                <w:color w:val="000000"/>
                <w:sz w:val="17"/>
                <w:szCs w:val="17"/>
              </w:rPr>
              <w:t xml:space="preserve"> I491F</w:t>
            </w:r>
          </w:p>
        </w:tc>
        <w:tc>
          <w:tcPr>
            <w:tcW w:type="dxa" w:w="1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1.00</w:t>
            </w:r>
          </w:p>
        </w:tc>
        <w:tc>
          <w:tcPr>
            <w:tcW w:type="dxa" w:w="15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0.945</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17</w:t>
            </w:r>
          </w:p>
        </w:tc>
        <w:tc>
          <w:tcPr>
            <w:tcW w:type="dxa" w:w="16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w:t>
            </w:r>
          </w:p>
        </w:tc>
      </w:tr>
      <w:tr>
        <w:trPr>
          <w:cantSplit/>
          <w:tblHeader w:val="false"/>
        </w:trPr>
        <w:tc>
          <w:tcPr>
            <w:tcW w:type="dxa" w:w="3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i/>
                <w:iCs/>
                <w:color w:val="000000"/>
                <w:sz w:val="17"/>
                <w:szCs w:val="17"/>
              </w:rPr>
              <w:t xml:space="preserve">rpoB</w:t>
            </w:r>
            <w:r>
              <w:rPr>
                <w:b w:val="false"/>
                <w:bCs w:val="false"/>
                <w:color w:val="000000"/>
                <w:sz w:val="17"/>
                <w:szCs w:val="17"/>
              </w:rPr>
              <w:t xml:space="preserve"> A1075A</w:t>
            </w:r>
          </w:p>
        </w:tc>
        <w:tc>
          <w:tcPr>
            <w:tcW w:type="dxa" w:w="1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1.00</w:t>
            </w:r>
          </w:p>
        </w:tc>
        <w:tc>
          <w:tcPr>
            <w:tcW w:type="dxa" w:w="15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-0.893</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2,068</w:t>
            </w:r>
          </w:p>
        </w:tc>
        <w:tc>
          <w:tcPr>
            <w:tcW w:type="dxa" w:w="16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54</w:t>
            </w:r>
          </w:p>
        </w:tc>
      </w:tr>
      <w:tr>
        <w:trPr>
          <w:cantSplit/>
          <w:tblHeader w:val="false"/>
        </w:trPr>
        <w:tc>
          <w:tcPr>
            <w:tcW w:type="dxa" w:w="3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i/>
                <w:iCs/>
                <w:color w:val="000000"/>
                <w:sz w:val="17"/>
                <w:szCs w:val="17"/>
              </w:rPr>
              <w:t xml:space="preserve">rpoB</w:t>
            </w:r>
            <w:r>
              <w:rPr>
                <w:b w:val="false"/>
                <w:bCs w:val="false"/>
                <w:color w:val="000000"/>
                <w:sz w:val="17"/>
                <w:szCs w:val="17"/>
              </w:rPr>
              <w:t xml:space="preserve"> D435V</w:t>
            </w:r>
          </w:p>
        </w:tc>
        <w:tc>
          <w:tcPr>
            <w:tcW w:type="dxa" w:w="1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1.00</w:t>
            </w:r>
          </w:p>
        </w:tc>
        <w:tc>
          <w:tcPr>
            <w:tcW w:type="dxa" w:w="15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0.883</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373</w:t>
            </w:r>
          </w:p>
        </w:tc>
        <w:tc>
          <w:tcPr>
            <w:tcW w:type="dxa" w:w="16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88</w:t>
            </w:r>
          </w:p>
        </w:tc>
      </w:tr>
      <w:tr>
        <w:trPr>
          <w:cantSplit/>
          <w:tblHeader w:val="false"/>
        </w:trPr>
        <w:tc>
          <w:tcPr>
            <w:tcW w:type="dxa" w:w="3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i/>
                <w:iCs/>
                <w:color w:val="000000"/>
                <w:sz w:val="17"/>
                <w:szCs w:val="17"/>
              </w:rPr>
              <w:t xml:space="preserve">rpoB</w:t>
            </w:r>
            <w:r>
              <w:rPr>
                <w:b w:val="false"/>
                <w:bCs w:val="false"/>
                <w:color w:val="000000"/>
                <w:sz w:val="17"/>
                <w:szCs w:val="17"/>
              </w:rPr>
              <w:t xml:space="preserve"> L430P</w:t>
            </w:r>
          </w:p>
        </w:tc>
        <w:tc>
          <w:tcPr>
            <w:tcW w:type="dxa" w:w="1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1.00</w:t>
            </w:r>
          </w:p>
        </w:tc>
        <w:tc>
          <w:tcPr>
            <w:tcW w:type="dxa" w:w="15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0.762</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33</w:t>
            </w:r>
          </w:p>
        </w:tc>
        <w:tc>
          <w:tcPr>
            <w:tcW w:type="dxa" w:w="16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8</w:t>
            </w:r>
          </w:p>
        </w:tc>
      </w:tr>
      <w:tr>
        <w:trPr>
          <w:cantSplit/>
          <w:tblHeader w:val="false"/>
        </w:trPr>
        <w:tc>
          <w:tcPr>
            <w:tcW w:type="dxa" w:w="3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i/>
                <w:iCs/>
                <w:color w:val="000000"/>
                <w:sz w:val="17"/>
                <w:szCs w:val="17"/>
              </w:rPr>
              <w:t xml:space="preserve">rpoB</w:t>
            </w:r>
            <w:r>
              <w:rPr>
                <w:b w:val="false"/>
                <w:bCs w:val="false"/>
                <w:color w:val="000000"/>
                <w:sz w:val="17"/>
                <w:szCs w:val="17"/>
              </w:rPr>
              <w:t xml:space="preserve"> S450F</w:t>
            </w:r>
          </w:p>
        </w:tc>
        <w:tc>
          <w:tcPr>
            <w:tcW w:type="dxa" w:w="1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1.00</w:t>
            </w:r>
          </w:p>
        </w:tc>
        <w:tc>
          <w:tcPr>
            <w:tcW w:type="dxa" w:w="15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-0.607</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33</w:t>
            </w:r>
          </w:p>
        </w:tc>
        <w:tc>
          <w:tcPr>
            <w:tcW w:type="dxa" w:w="16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w:t>
            </w:r>
          </w:p>
        </w:tc>
      </w:tr>
      <w:tr>
        <w:trPr>
          <w:cantSplit/>
          <w:tblHeader w:val="false"/>
        </w:trPr>
        <w:tc>
          <w:tcPr>
            <w:tcW w:type="dxa" w:w="3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i/>
                <w:iCs/>
                <w:color w:val="000000"/>
                <w:sz w:val="17"/>
                <w:szCs w:val="17"/>
              </w:rPr>
              <w:t xml:space="preserve">rpoB</w:t>
            </w:r>
            <w:r>
              <w:rPr>
                <w:b w:val="false"/>
                <w:bCs w:val="false"/>
                <w:color w:val="000000"/>
                <w:sz w:val="17"/>
                <w:szCs w:val="17"/>
              </w:rPr>
              <w:t xml:space="preserve"> H445R</w:t>
            </w:r>
          </w:p>
        </w:tc>
        <w:tc>
          <w:tcPr>
            <w:tcW w:type="dxa" w:w="1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1.00</w:t>
            </w:r>
          </w:p>
        </w:tc>
        <w:tc>
          <w:tcPr>
            <w:tcW w:type="dxa" w:w="15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-0.499</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29</w:t>
            </w:r>
          </w:p>
        </w:tc>
        <w:tc>
          <w:tcPr>
            <w:tcW w:type="dxa" w:w="16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w:t>
            </w:r>
          </w:p>
        </w:tc>
      </w:tr>
      <w:tr>
        <w:trPr>
          <w:cantSplit/>
          <w:tblHeader w:val="false"/>
        </w:trPr>
        <w:tc>
          <w:tcPr>
            <w:tcW w:type="dxa" w:w="3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i/>
                <w:iCs/>
                <w:color w:val="000000"/>
                <w:sz w:val="17"/>
                <w:szCs w:val="17"/>
              </w:rPr>
              <w:t xml:space="preserve">rpoB</w:t>
            </w:r>
            <w:r>
              <w:rPr>
                <w:b w:val="false"/>
                <w:bCs w:val="false"/>
                <w:color w:val="000000"/>
                <w:sz w:val="17"/>
                <w:szCs w:val="17"/>
              </w:rPr>
              <w:t xml:space="preserve"> S450W</w:t>
            </w:r>
          </w:p>
        </w:tc>
        <w:tc>
          <w:tcPr>
            <w:tcW w:type="dxa" w:w="1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1.00</w:t>
            </w:r>
          </w:p>
        </w:tc>
        <w:tc>
          <w:tcPr>
            <w:tcW w:type="dxa" w:w="15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-0.478</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48</w:t>
            </w:r>
          </w:p>
        </w:tc>
        <w:tc>
          <w:tcPr>
            <w:tcW w:type="dxa" w:w="16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w:t>
            </w:r>
          </w:p>
        </w:tc>
      </w:tr>
      <w:tr>
        <w:trPr>
          <w:cantSplit/>
          <w:tblHeader w:val="false"/>
        </w:trPr>
        <w:tc>
          <w:tcPr>
            <w:tcW w:type="dxa" w:w="3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i/>
                <w:iCs/>
                <w:color w:val="000000"/>
                <w:sz w:val="17"/>
                <w:szCs w:val="17"/>
              </w:rPr>
              <w:t xml:space="preserve">rpoB</w:t>
            </w:r>
            <w:r>
              <w:rPr>
                <w:b w:val="false"/>
                <w:bCs w:val="false"/>
                <w:color w:val="000000"/>
                <w:sz w:val="17"/>
                <w:szCs w:val="17"/>
              </w:rPr>
              <w:t xml:space="preserve"> V170F</w:t>
            </w:r>
          </w:p>
        </w:tc>
        <w:tc>
          <w:tcPr>
            <w:tcW w:type="dxa" w:w="1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1.00</w:t>
            </w:r>
          </w:p>
        </w:tc>
        <w:tc>
          <w:tcPr>
            <w:tcW w:type="dxa" w:w="15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-0.423</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21</w:t>
            </w:r>
          </w:p>
        </w:tc>
        <w:tc>
          <w:tcPr>
            <w:tcW w:type="dxa" w:w="16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w:t>
            </w:r>
          </w:p>
        </w:tc>
      </w:tr>
      <w:tr>
        <w:trPr>
          <w:cantSplit/>
          <w:tblHeader w:val="false"/>
        </w:trPr>
        <w:tc>
          <w:tcPr>
            <w:tcW w:type="dxa" w:w="3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i/>
                <w:iCs/>
                <w:color w:val="000000"/>
                <w:sz w:val="17"/>
                <w:szCs w:val="17"/>
              </w:rPr>
              <w:t xml:space="preserve">rpoB</w:t>
            </w:r>
            <w:r>
              <w:rPr>
                <w:b w:val="false"/>
                <w:bCs w:val="false"/>
                <w:color w:val="000000"/>
                <w:sz w:val="17"/>
                <w:szCs w:val="17"/>
              </w:rPr>
              <w:t xml:space="preserve"> D103D</w:t>
            </w:r>
          </w:p>
        </w:tc>
        <w:tc>
          <w:tcPr>
            <w:tcW w:type="dxa" w:w="1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1.00</w:t>
            </w:r>
          </w:p>
        </w:tc>
        <w:tc>
          <w:tcPr>
            <w:tcW w:type="dxa" w:w="15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-0.382</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163</w:t>
            </w:r>
          </w:p>
        </w:tc>
        <w:tc>
          <w:tcPr>
            <w:tcW w:type="dxa" w:w="16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9</w:t>
            </w:r>
          </w:p>
        </w:tc>
      </w:tr>
      <w:tr>
        <w:trPr>
          <w:cantSplit/>
          <w:tblHeader w:val="false"/>
        </w:trPr>
        <w:tc>
          <w:tcPr>
            <w:tcW w:type="dxa" w:w="3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i/>
                <w:iCs/>
                <w:color w:val="000000"/>
                <w:sz w:val="17"/>
                <w:szCs w:val="17"/>
              </w:rPr>
              <w:t xml:space="preserve">rpoB</w:t>
            </w:r>
            <w:r>
              <w:rPr>
                <w:b w:val="false"/>
                <w:bCs w:val="false"/>
                <w:color w:val="000000"/>
                <w:sz w:val="17"/>
                <w:szCs w:val="17"/>
              </w:rPr>
              <w:t xml:space="preserve"> D435G</w:t>
            </w:r>
          </w:p>
        </w:tc>
        <w:tc>
          <w:tcPr>
            <w:tcW w:type="dxa" w:w="1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1.00</w:t>
            </w:r>
          </w:p>
        </w:tc>
        <w:tc>
          <w:tcPr>
            <w:tcW w:type="dxa" w:w="15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-0.379</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38</w:t>
            </w:r>
          </w:p>
        </w:tc>
        <w:tc>
          <w:tcPr>
            <w:tcW w:type="dxa" w:w="16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w:t>
            </w:r>
          </w:p>
        </w:tc>
      </w:tr>
      <w:tr>
        <w:trPr>
          <w:cantSplit/>
          <w:tblHeader w:val="false"/>
        </w:trPr>
        <w:tc>
          <w:tcPr>
            <w:tcW w:type="dxa" w:w="3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i/>
                <w:iCs/>
                <w:color w:val="000000"/>
                <w:sz w:val="17"/>
                <w:szCs w:val="17"/>
              </w:rPr>
              <w:t xml:space="preserve">rpoB</w:t>
            </w:r>
            <w:r>
              <w:rPr>
                <w:b w:val="false"/>
                <w:bCs w:val="false"/>
                <w:color w:val="000000"/>
                <w:sz w:val="17"/>
                <w:szCs w:val="17"/>
              </w:rPr>
              <w:t xml:space="preserve"> 1288_indel</w:t>
            </w:r>
          </w:p>
        </w:tc>
        <w:tc>
          <w:tcPr>
            <w:tcW w:type="dxa" w:w="1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1.00</w:t>
            </w:r>
          </w:p>
        </w:tc>
        <w:tc>
          <w:tcPr>
            <w:tcW w:type="dxa" w:w="15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-0.324</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16</w:t>
            </w:r>
          </w:p>
        </w:tc>
        <w:tc>
          <w:tcPr>
            <w:tcW w:type="dxa" w:w="16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w:t>
            </w:r>
          </w:p>
        </w:tc>
      </w:tr>
      <w:tr>
        <w:trPr>
          <w:cantSplit/>
          <w:tblHeader w:val="false"/>
        </w:trPr>
        <w:tc>
          <w:tcPr>
            <w:tcW w:type="dxa" w:w="3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i/>
                <w:iCs/>
                <w:color w:val="000000"/>
                <w:sz w:val="17"/>
                <w:szCs w:val="17"/>
              </w:rPr>
              <w:t xml:space="preserve">rpoB</w:t>
            </w:r>
            <w:r>
              <w:rPr>
                <w:b w:val="false"/>
                <w:bCs w:val="false"/>
                <w:color w:val="000000"/>
                <w:sz w:val="17"/>
                <w:szCs w:val="17"/>
              </w:rPr>
              <w:t xml:space="preserve"> Q432P</w:t>
            </w:r>
          </w:p>
        </w:tc>
        <w:tc>
          <w:tcPr>
            <w:tcW w:type="dxa" w:w="1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1.00</w:t>
            </w:r>
          </w:p>
        </w:tc>
        <w:tc>
          <w:tcPr>
            <w:tcW w:type="dxa" w:w="15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-0.321</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12</w:t>
            </w:r>
          </w:p>
        </w:tc>
        <w:tc>
          <w:tcPr>
            <w:tcW w:type="dxa" w:w="16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w:t>
            </w:r>
          </w:p>
        </w:tc>
      </w:tr>
      <w:tr>
        <w:trPr>
          <w:cantSplit/>
          <w:tblHeader w:val="false"/>
        </w:trPr>
        <w:tc>
          <w:tcPr>
            <w:tcW w:type="dxa" w:w="31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i/>
                <w:iCs/>
                <w:color w:val="000000"/>
                <w:sz w:val="17"/>
                <w:szCs w:val="17"/>
              </w:rPr>
              <w:t xml:space="preserve">rpoB</w:t>
            </w:r>
            <w:r>
              <w:rPr>
                <w:b w:val="false"/>
                <w:bCs w:val="false"/>
                <w:color w:val="000000"/>
                <w:sz w:val="17"/>
                <w:szCs w:val="17"/>
              </w:rPr>
              <w:t xml:space="preserve"> L452P</w:t>
            </w:r>
          </w:p>
        </w:tc>
        <w:tc>
          <w:tcPr>
            <w:tcW w:type="dxa" w:w="10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1.00</w:t>
            </w:r>
          </w:p>
        </w:tc>
        <w:tc>
          <w:tcPr>
            <w:tcW w:type="dxa" w:w="15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0.308</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43</w:t>
            </w:r>
          </w:p>
        </w:tc>
        <w:tc>
          <w:tcPr>
            <w:tcW w:type="dxa" w:w="165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w:t>
            </w:r>
          </w:p>
        </w:tc>
      </w:tr>
      <w:tr>
        <w:trPr>
          <w:cantSplit/>
          <w:tblHeader w:val="false"/>
        </w:trPr>
        <w:tc>
          <w:tcPr>
            <w:tcW w:type="dxa" w:w="31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i/>
                <w:iCs/>
                <w:color w:val="000000"/>
                <w:sz w:val="17"/>
                <w:szCs w:val="17"/>
              </w:rPr>
              <w:t xml:space="preserve">rpoB</w:t>
            </w:r>
            <w:r>
              <w:rPr>
                <w:b w:val="false"/>
                <w:bCs w:val="false"/>
                <w:color w:val="000000"/>
                <w:sz w:val="17"/>
                <w:szCs w:val="17"/>
              </w:rPr>
              <w:t xml:space="preserve"> A692T</w:t>
            </w:r>
          </w:p>
        </w:tc>
        <w:tc>
          <w:tcPr>
            <w:tcW w:type="dxa" w:w="10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w:t>
            </w:r>
          </w:p>
        </w:tc>
        <w:tc>
          <w:tcPr>
            <w:tcW w:type="dxa" w:w="14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1.00</w:t>
            </w:r>
          </w:p>
        </w:tc>
        <w:tc>
          <w:tcPr>
            <w:tcW w:type="dxa" w:w="15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-0.293</w:t>
            </w:r>
          </w:p>
        </w:tc>
        <w:tc>
          <w:tcPr>
            <w:tcW w:type="dxa" w:w="14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37</w:t>
            </w:r>
          </w:p>
        </w:tc>
        <w:tc>
          <w:tcPr>
            <w:tcW w:type="dxa" w:w="1656"/>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w:t>
            </w:r>
          </w:p>
        </w:tc>
      </w:tr>
    </w:tbl>
    <w:p>
      <w:pPr>
        <w:keepLines/>
        <w:spacing w:after="100" w:before="45" w:line="220"/>
      </w:pPr>
      <w:r>
        <w:rPr>
          <w:color w:val="000000"/>
          <w:sz w:val="17"/>
          <w:szCs w:val="17"/>
        </w:rPr>
        <w:t xml:space="preserve">Rows are ordered by mean absolute cross-validated coefficient. Coefficients are penalised and correlated; carrier counts and fold stability do not establish causality. The separate 37-feature full-cohort refit is supplied in Supplementary Table S15.</w:t>
      </w:r>
    </w:p>
    <w:p>
      <w:pPr>
        <w:keepNext/>
        <w:spacing w:after="50" w:before="110"/>
      </w:pPr>
      <w:r>
        <w:rPr>
          <w:b/>
          <w:bCs/>
          <w:color w:val="000000"/>
          <w:sz w:val="19"/>
          <w:szCs w:val="19"/>
        </w:rPr>
        <w:t xml:space="preserve">Supplementary Table S11 | </w:t>
      </w:r>
      <w:r>
        <w:rPr>
          <w:color w:val="000000"/>
          <w:sz w:val="19"/>
          <w:szCs w:val="19"/>
        </w:rPr>
        <w:t xml:space="preserve">Joint subject–sublineage discrimination and yield</w:t>
      </w:r>
    </w:p>
    <w:tbl>
      <w:tblPr>
        <w:tblW w:type="dxa" w:w="10206"/>
        <w:tblBorders>
          <w:top w:val="single" w:color="auto" w:sz="4"/>
          <w:left w:val="single" w:color="auto" w:sz="4"/>
          <w:bottom w:val="single" w:color="auto" w:sz="4"/>
          <w:right w:val="single" w:color="auto" w:sz="4"/>
          <w:insideH w:val="single" w:color="auto" w:sz="4"/>
          <w:insideV w:val="single" w:color="auto" w:sz="4"/>
        </w:tblBorders>
      </w:tblPr>
      <w:tblGrid>
        <w:gridCol w:w="1750"/>
        <w:gridCol w:w="1650"/>
        <w:gridCol w:w="1650"/>
        <w:gridCol w:w="1850"/>
        <w:gridCol w:w="1800"/>
        <w:gridCol w:w="1506"/>
      </w:tblGrid>
      <w:tr>
        <w:trPr>
          <w:cantSplit/>
          <w:tblHeader/>
        </w:trPr>
        <w:tc>
          <w:tcPr>
            <w:tcW w:type="dxa" w:w="17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Model</w:t>
            </w:r>
          </w:p>
        </w:tc>
        <w:tc>
          <w:tcPr>
            <w:tcW w:type="dxa" w:w="16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Pooled OOF AUPRC (95% CI)</w:t>
            </w:r>
          </w:p>
        </w:tc>
        <w:tc>
          <w:tcPr>
            <w:tcW w:type="dxa" w:w="16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Macro AUPRC (95% CI)</w:t>
            </w:r>
          </w:p>
        </w:tc>
        <w:tc>
          <w:tcPr>
            <w:tcW w:type="dxa" w:w="18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Outer-fold AUPRCs</w:t>
            </w:r>
          </w:p>
        </w:tc>
        <w:tc>
          <w:tcPr>
            <w:tcW w:type="dxa" w:w="18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10% recall (fold range)</w:t>
            </w:r>
          </w:p>
        </w:tc>
        <w:tc>
          <w:tcPr>
            <w:tcW w:type="dxa" w:w="1506"/>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Detected/events</w:t>
            </w:r>
          </w:p>
        </w:tc>
      </w:tr>
      <w:tr>
        <w:trPr>
          <w:cantSplit/>
          <w:tblHeader w:val="false"/>
        </w:trPr>
        <w:tc>
          <w:tcPr>
            <w:tcW w:type="dxa" w:w="17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Nested procedure</w:t>
            </w:r>
          </w:p>
        </w:tc>
        <w:tc>
          <w:tcPr>
            <w:tcW w:type="dxa" w:w="16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0.397 (0.339–0.467)</w:t>
            </w:r>
          </w:p>
        </w:tc>
        <w:tc>
          <w:tcPr>
            <w:tcW w:type="dxa" w:w="16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0.427 (0.366–0.508)</w:t>
            </w:r>
          </w:p>
        </w:tc>
        <w:tc>
          <w:tcPr>
            <w:tcW w:type="dxa" w:w="1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0.407; 0.416; 0.458</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68.8% (63.4%–71.2%)</w:t>
            </w:r>
          </w:p>
        </w:tc>
        <w:tc>
          <w:tcPr>
            <w:tcW w:type="dxa" w:w="15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144.5/210</w:t>
            </w:r>
          </w:p>
        </w:tc>
      </w:tr>
      <w:tr>
        <w:trPr>
          <w:cantSplit/>
          <w:tblHeader w:val="false"/>
        </w:trPr>
        <w:tc>
          <w:tcPr>
            <w:tcW w:type="dxa" w:w="17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Carrier≥10 </w:t>
            </w:r>
            <w:r>
              <w:rPr>
                <w:b w:val="false"/>
                <w:bCs w:val="false"/>
                <w:i/>
                <w:iCs/>
                <w:color w:val="000000"/>
                <w:sz w:val="17"/>
                <w:szCs w:val="17"/>
              </w:rPr>
              <w:t xml:space="preserve">rpoB</w:t>
            </w:r>
            <w:r>
              <w:rPr>
                <w:b w:val="false"/>
                <w:bCs w:val="false"/>
                <w:color w:val="000000"/>
                <w:sz w:val="17"/>
                <w:szCs w:val="17"/>
              </w:rPr>
              <w:t xml:space="preserve"> procedure</w:t>
            </w:r>
          </w:p>
        </w:tc>
        <w:tc>
          <w:tcPr>
            <w:tcW w:type="dxa" w:w="16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0.320 (0.306–0.346)</w:t>
            </w:r>
          </w:p>
        </w:tc>
        <w:tc>
          <w:tcPr>
            <w:tcW w:type="dxa" w:w="16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0.366 (0.275–0.477)</w:t>
            </w:r>
          </w:p>
        </w:tc>
        <w:tc>
          <w:tcPr>
            <w:tcW w:type="dxa" w:w="1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0.347; 0.365; 0.385</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67.1% (61.4%–74.7%)</w:t>
            </w:r>
          </w:p>
        </w:tc>
        <w:tc>
          <w:tcPr>
            <w:tcW w:type="dxa" w:w="15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141.0/210</w:t>
            </w:r>
          </w:p>
        </w:tc>
      </w:tr>
      <w:tr>
        <w:trPr>
          <w:cantSplit/>
          <w:tblHeader w:val="false"/>
        </w:trPr>
        <w:tc>
          <w:tcPr>
            <w:tcW w:type="dxa" w:w="17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Fixed-C all-token logistic</w:t>
            </w:r>
          </w:p>
        </w:tc>
        <w:tc>
          <w:tcPr>
            <w:tcW w:type="dxa" w:w="16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0.344 (0.290–0.409)</w:t>
            </w:r>
          </w:p>
        </w:tc>
        <w:tc>
          <w:tcPr>
            <w:tcW w:type="dxa" w:w="16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0.455 (0.388–0.534)</w:t>
            </w:r>
          </w:p>
        </w:tc>
        <w:tc>
          <w:tcPr>
            <w:tcW w:type="dxa" w:w="1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0.391; 0.355; 0.618</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70.6% (67.2%–83.6%)</w:t>
            </w:r>
          </w:p>
        </w:tc>
        <w:tc>
          <w:tcPr>
            <w:tcW w:type="dxa" w:w="15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148.4/210</w:t>
            </w:r>
          </w:p>
        </w:tc>
      </w:tr>
      <w:tr>
        <w:trPr>
          <w:cantSplit/>
          <w:tblHeader w:val="false"/>
        </w:trPr>
        <w:tc>
          <w:tcPr>
            <w:tcW w:type="dxa" w:w="17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XGBoost</w:t>
            </w:r>
          </w:p>
        </w:tc>
        <w:tc>
          <w:tcPr>
            <w:tcW w:type="dxa" w:w="16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0.408 (0.349–0.480)</w:t>
            </w:r>
          </w:p>
        </w:tc>
        <w:tc>
          <w:tcPr>
            <w:tcW w:type="dxa" w:w="16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0.425 (0.367–0.510)</w:t>
            </w:r>
          </w:p>
        </w:tc>
        <w:tc>
          <w:tcPr>
            <w:tcW w:type="dxa" w:w="18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0.404; 0.389; 0.482</w:t>
            </w:r>
          </w:p>
        </w:tc>
        <w:tc>
          <w:tcPr>
            <w:tcW w:type="dxa" w:w="18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69.7% (67.8%–74.1%)</w:t>
            </w:r>
          </w:p>
        </w:tc>
        <w:tc>
          <w:tcPr>
            <w:tcW w:type="dxa" w:w="1506"/>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146.3/210</w:t>
            </w:r>
          </w:p>
        </w:tc>
      </w:tr>
    </w:tbl>
    <w:p>
      <w:pPr>
        <w:keepLines/>
        <w:spacing w:after="100" w:before="45" w:line="220"/>
      </w:pPr>
      <w:r>
        <w:rPr>
          <w:color w:val="000000"/>
          <w:sz w:val="17"/>
          <w:szCs w:val="17"/>
        </w:rPr>
        <w:t xml:space="preserve">Budget values are exact uniform boundary-tie expectations after fold-local ranking; parentheses give the range across the three outer folds. Actual test folds contained 750/41, 2085/128 and 631/41 isolates/events. The carrier≥10 procedure selected its feature set and C in each development partition; the fixed-C row remains a separate full-token sensitivity comparator.</w:t>
      </w:r>
    </w:p>
    <w:p>
      <w:pPr>
        <w:keepNext/>
        <w:spacing w:after="50" w:before="110"/>
      </w:pPr>
      <w:r>
        <w:rPr>
          <w:b/>
          <w:bCs/>
          <w:color w:val="000000"/>
          <w:sz w:val="19"/>
          <w:szCs w:val="19"/>
        </w:rPr>
        <w:t xml:space="preserve">Supplementary Table S12 | </w:t>
      </w:r>
      <w:r>
        <w:rPr>
          <w:color w:val="000000"/>
          <w:sz w:val="19"/>
          <w:szCs w:val="19"/>
        </w:rPr>
        <w:t xml:space="preserve">Post-comparison parsimony envelope for an exploratory </w:t>
      </w:r>
      <w:r>
        <w:rPr>
          <w:i/>
          <w:iCs/>
          <w:color w:val="000000"/>
          <w:sz w:val="19"/>
          <w:szCs w:val="19"/>
        </w:rPr>
        <w:t xml:space="preserve">rpoB</w:t>
      </w:r>
      <w:r>
        <w:rPr>
          <w:color w:val="000000"/>
          <w:sz w:val="19"/>
          <w:szCs w:val="19"/>
        </w:rPr>
        <w:t xml:space="preserve"> procedure</w:t>
      </w:r>
    </w:p>
    <w:tbl>
      <w:tblPr>
        <w:tblW w:type="dxa" w:w="10206"/>
        <w:tblBorders>
          <w:top w:val="single" w:color="auto" w:sz="4"/>
          <w:left w:val="single" w:color="auto" w:sz="4"/>
          <w:bottom w:val="single" w:color="auto" w:sz="4"/>
          <w:right w:val="single" w:color="auto" w:sz="4"/>
          <w:insideH w:val="single" w:color="auto" w:sz="4"/>
          <w:insideV w:val="single" w:color="auto" w:sz="4"/>
        </w:tblBorders>
      </w:tblPr>
      <w:tblGrid>
        <w:gridCol w:w="1850"/>
        <w:gridCol w:w="1350"/>
        <w:gridCol w:w="1450"/>
        <w:gridCol w:w="1300"/>
        <w:gridCol w:w="1450"/>
        <w:gridCol w:w="1300"/>
        <w:gridCol w:w="1506"/>
      </w:tblGrid>
      <w:tr>
        <w:trPr>
          <w:cantSplit/>
          <w:tblHeader/>
        </w:trPr>
        <w:tc>
          <w:tcPr>
            <w:tcW w:type="dxa" w:w="18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Variant</w:t>
            </w:r>
          </w:p>
        </w:tc>
        <w:tc>
          <w:tcPr>
            <w:tcW w:type="dxa" w:w="13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Primary AUPRC</w:t>
            </w:r>
          </w:p>
        </w:tc>
        <w:tc>
          <w:tcPr>
            <w:tcW w:type="dxa" w:w="14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Primary 10% recall</w:t>
            </w:r>
          </w:p>
        </w:tc>
        <w:tc>
          <w:tcPr>
            <w:tcW w:type="dxa" w:w="13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Joint AUPRC</w:t>
            </w:r>
          </w:p>
        </w:tc>
        <w:tc>
          <w:tcPr>
            <w:tcW w:type="dxa" w:w="14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Joint 10% recall</w:t>
            </w:r>
          </w:p>
        </w:tc>
        <w:tc>
          <w:tcPr>
            <w:tcW w:type="dxa" w:w="13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Median features</w:t>
            </w:r>
          </w:p>
        </w:tc>
        <w:tc>
          <w:tcPr>
            <w:tcW w:type="dxa" w:w="1506"/>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Envelope</w:t>
            </w:r>
          </w:p>
        </w:tc>
      </w:tr>
      <w:tr>
        <w:trPr>
          <w:cantSplit/>
          <w:tblHeader w:val="false"/>
        </w:trPr>
        <w:tc>
          <w:tcPr>
            <w:tcW w:type="dxa" w:w="1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All </w:t>
            </w:r>
            <w:r>
              <w:rPr>
                <w:b w:val="false"/>
                <w:bCs w:val="false"/>
                <w:i/>
                <w:iCs/>
                <w:color w:val="000000"/>
                <w:sz w:val="17"/>
                <w:szCs w:val="17"/>
              </w:rPr>
              <w:t xml:space="preserve">rpoB</w:t>
            </w:r>
            <w:r>
              <w:rPr>
                <w:b w:val="false"/>
                <w:bCs w:val="false"/>
                <w:color w:val="000000"/>
                <w:sz w:val="17"/>
                <w:szCs w:val="17"/>
              </w:rPr>
              <w:t xml:space="preserve"> tokens</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0.431</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73.4%</w:t>
            </w:r>
          </w:p>
        </w:tc>
        <w:tc>
          <w:tcPr>
            <w:tcW w:type="dxa" w:w="13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0.304</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69.3%</w:t>
            </w:r>
          </w:p>
        </w:tc>
        <w:tc>
          <w:tcPr>
            <w:tcW w:type="dxa" w:w="13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477.5</w:t>
            </w:r>
          </w:p>
        </w:tc>
        <w:tc>
          <w:tcPr>
            <w:tcW w:type="dxa" w:w="15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No</w:t>
            </w:r>
          </w:p>
        </w:tc>
      </w:tr>
      <w:tr>
        <w:trPr>
          <w:cantSplit/>
          <w:tblHeader w:val="false"/>
        </w:trPr>
        <w:tc>
          <w:tcPr>
            <w:tcW w:type="dxa" w:w="1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Token carrier ≥5</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0.420</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73.5%</w:t>
            </w:r>
          </w:p>
        </w:tc>
        <w:tc>
          <w:tcPr>
            <w:tcW w:type="dxa" w:w="13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0.297</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68.8%</w:t>
            </w:r>
          </w:p>
        </w:tc>
        <w:tc>
          <w:tcPr>
            <w:tcW w:type="dxa" w:w="13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62.5</w:t>
            </w:r>
          </w:p>
        </w:tc>
        <w:tc>
          <w:tcPr>
            <w:tcW w:type="dxa" w:w="15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No</w:t>
            </w:r>
          </w:p>
        </w:tc>
      </w:tr>
      <w:tr>
        <w:trPr>
          <w:cantSplit/>
          <w:tblHeader w:val="false"/>
        </w:trPr>
        <w:tc>
          <w:tcPr>
            <w:tcW w:type="dxa" w:w="1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Token carrier ≥10</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0.425</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71.5%</w:t>
            </w:r>
          </w:p>
        </w:tc>
        <w:tc>
          <w:tcPr>
            <w:tcW w:type="dxa" w:w="13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0.320</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67.1%</w:t>
            </w:r>
          </w:p>
        </w:tc>
        <w:tc>
          <w:tcPr>
            <w:tcW w:type="dxa" w:w="13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33.5</w:t>
            </w:r>
          </w:p>
        </w:tc>
        <w:tc>
          <w:tcPr>
            <w:tcW w:type="dxa" w:w="15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Eligible; selected</w:t>
            </w:r>
          </w:p>
        </w:tc>
      </w:tr>
      <w:tr>
        <w:trPr>
          <w:cantSplit/>
          <w:tblHeader w:val="false"/>
        </w:trPr>
        <w:tc>
          <w:tcPr>
            <w:tcW w:type="dxa" w:w="18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Protein carrier ≥5</w:t>
            </w:r>
          </w:p>
        </w:tc>
        <w:tc>
          <w:tcPr>
            <w:tcW w:type="dxa" w:w="13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0.438</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74.6%</w:t>
            </w:r>
          </w:p>
        </w:tc>
        <w:tc>
          <w:tcPr>
            <w:tcW w:type="dxa" w:w="13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0.321</w:t>
            </w:r>
          </w:p>
        </w:tc>
        <w:tc>
          <w:tcPr>
            <w:tcW w:type="dxa" w:w="145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69.5%</w:t>
            </w:r>
          </w:p>
        </w:tc>
        <w:tc>
          <w:tcPr>
            <w:tcW w:type="dxa" w:w="13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60.0</w:t>
            </w:r>
          </w:p>
        </w:tc>
        <w:tc>
          <w:tcPr>
            <w:tcW w:type="dxa" w:w="15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Eligible</w:t>
            </w:r>
          </w:p>
        </w:tc>
      </w:tr>
      <w:tr>
        <w:trPr>
          <w:cantSplit/>
          <w:tblHeader w:val="false"/>
        </w:trPr>
        <w:tc>
          <w:tcPr>
            <w:tcW w:type="dxa" w:w="18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Protein carrier ≥10</w:t>
            </w:r>
          </w:p>
        </w:tc>
        <w:tc>
          <w:tcPr>
            <w:tcW w:type="dxa" w:w="13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0.406</w:t>
            </w:r>
          </w:p>
        </w:tc>
        <w:tc>
          <w:tcPr>
            <w:tcW w:type="dxa" w:w="14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69.7%</w:t>
            </w:r>
          </w:p>
        </w:tc>
        <w:tc>
          <w:tcPr>
            <w:tcW w:type="dxa" w:w="13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0.340</w:t>
            </w:r>
          </w:p>
        </w:tc>
        <w:tc>
          <w:tcPr>
            <w:tcW w:type="dxa" w:w="14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65.9%</w:t>
            </w:r>
          </w:p>
        </w:tc>
        <w:tc>
          <w:tcPr>
            <w:tcW w:type="dxa" w:w="13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31.5</w:t>
            </w:r>
          </w:p>
        </w:tc>
        <w:tc>
          <w:tcPr>
            <w:tcW w:type="dxa" w:w="1506"/>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No</w:t>
            </w:r>
          </w:p>
        </w:tc>
      </w:tr>
    </w:tbl>
    <w:p>
      <w:pPr>
        <w:keepLines/>
        <w:spacing w:after="100" w:before="45" w:line="220"/>
      </w:pPr>
      <w:r>
        <w:rPr>
          <w:color w:val="000000"/>
          <w:sz w:val="17"/>
          <w:szCs w:val="17"/>
        </w:rPr>
        <w:t xml:space="preserve">After the principal model comparison, eligibility required primary pooled AUPRC within 0.02 of the best variant, primary 10%-budget recall within 0.05, joint pooled AUPRC within 0.03 and joint recall within 0.05. The minimum median feature count was the first tie-breaker. Intervals for the selected procedure are conditional descriptive intervals and do not adjust for this selection step.</w:t>
      </w:r>
    </w:p>
    <w:p>
      <w:pPr>
        <w:keepNext/>
        <w:spacing w:after="50" w:before="110"/>
      </w:pPr>
      <w:r>
        <w:rPr>
          <w:b/>
          <w:bCs/>
          <w:color w:val="000000"/>
          <w:sz w:val="19"/>
          <w:szCs w:val="19"/>
        </w:rPr>
        <w:t xml:space="preserve">Supplementary Table S13 | </w:t>
      </w:r>
      <w:r>
        <w:rPr>
          <w:color w:val="000000"/>
          <w:sz w:val="19"/>
          <w:szCs w:val="19"/>
        </w:rPr>
        <w:t xml:space="preserve">Nested regularisation selections for the carrier≥10 procedure</w:t>
      </w:r>
    </w:p>
    <w:tbl>
      <w:tblPr>
        <w:tblW w:type="dxa" w:w="10206"/>
        <w:tblBorders>
          <w:top w:val="single" w:color="auto" w:sz="4"/>
          <w:left w:val="single" w:color="auto" w:sz="4"/>
          <w:bottom w:val="single" w:color="auto" w:sz="4"/>
          <w:right w:val="single" w:color="auto" w:sz="4"/>
          <w:insideH w:val="single" w:color="auto" w:sz="4"/>
          <w:insideV w:val="single" w:color="auto" w:sz="4"/>
        </w:tblBorders>
      </w:tblPr>
      <w:tblGrid>
        <w:gridCol w:w="1200"/>
        <w:gridCol w:w="1600"/>
        <w:gridCol w:w="1600"/>
        <w:gridCol w:w="1800"/>
        <w:gridCol w:w="1900"/>
        <w:gridCol w:w="2106"/>
      </w:tblGrid>
      <w:tr>
        <w:trPr>
          <w:cantSplit/>
          <w:tblHeader/>
        </w:trPr>
        <w:tc>
          <w:tcPr>
            <w:tcW w:type="dxa" w:w="12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Outer fold</w:t>
            </w:r>
          </w:p>
        </w:tc>
        <w:tc>
          <w:tcPr>
            <w:tcW w:type="dxa" w:w="16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Selected C</w:t>
            </w:r>
          </w:p>
        </w:tc>
        <w:tc>
          <w:tcPr>
            <w:tcW w:type="dxa" w:w="16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Features</w:t>
            </w:r>
          </w:p>
        </w:tc>
        <w:tc>
          <w:tcPr>
            <w:tcW w:type="dxa" w:w="18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Development n</w:t>
            </w:r>
          </w:p>
        </w:tc>
        <w:tc>
          <w:tcPr>
            <w:tcW w:type="dxa" w:w="19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Development events</w:t>
            </w:r>
          </w:p>
        </w:tc>
        <w:tc>
          <w:tcPr>
            <w:tcW w:type="dxa" w:w="2106"/>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Selection scope</w:t>
            </w:r>
          </w:p>
        </w:tc>
      </w:tr>
      <w:tr>
        <w:trPr>
          <w:cantSplit/>
          <w:tblHeader w:val="false"/>
        </w:trPr>
        <w:tc>
          <w:tcPr>
            <w:tcW w:type="dxa" w:w="12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w:t>
            </w:r>
          </w:p>
        </w:tc>
        <w:tc>
          <w:tcPr>
            <w:tcW w:type="dxa" w:w="16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0.1</w:t>
            </w:r>
          </w:p>
        </w:tc>
        <w:tc>
          <w:tcPr>
            <w:tcW w:type="dxa" w:w="16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31</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2,743</w:t>
            </w:r>
          </w:p>
        </w:tc>
        <w:tc>
          <w:tcPr>
            <w:tcW w:type="dxa" w:w="19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162</w:t>
            </w:r>
          </w:p>
        </w:tc>
        <w:tc>
          <w:tcPr>
            <w:tcW w:type="dxa" w:w="21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Inner-development selection</w:t>
            </w:r>
          </w:p>
        </w:tc>
      </w:tr>
      <w:tr>
        <w:trPr>
          <w:cantSplit/>
          <w:tblHeader w:val="false"/>
        </w:trPr>
        <w:tc>
          <w:tcPr>
            <w:tcW w:type="dxa" w:w="12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w:t>
            </w:r>
          </w:p>
        </w:tc>
        <w:tc>
          <w:tcPr>
            <w:tcW w:type="dxa" w:w="16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0.1</w:t>
            </w:r>
          </w:p>
        </w:tc>
        <w:tc>
          <w:tcPr>
            <w:tcW w:type="dxa" w:w="16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36</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2,758</w:t>
            </w:r>
          </w:p>
        </w:tc>
        <w:tc>
          <w:tcPr>
            <w:tcW w:type="dxa" w:w="19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173</w:t>
            </w:r>
          </w:p>
        </w:tc>
        <w:tc>
          <w:tcPr>
            <w:tcW w:type="dxa" w:w="21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Inner-development selection</w:t>
            </w:r>
          </w:p>
        </w:tc>
      </w:tr>
      <w:tr>
        <w:trPr>
          <w:cantSplit/>
          <w:tblHeader w:val="false"/>
        </w:trPr>
        <w:tc>
          <w:tcPr>
            <w:tcW w:type="dxa" w:w="12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w:t>
            </w:r>
          </w:p>
        </w:tc>
        <w:tc>
          <w:tcPr>
            <w:tcW w:type="dxa" w:w="16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0.1</w:t>
            </w:r>
          </w:p>
        </w:tc>
        <w:tc>
          <w:tcPr>
            <w:tcW w:type="dxa" w:w="16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33</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2,799</w:t>
            </w:r>
          </w:p>
        </w:tc>
        <w:tc>
          <w:tcPr>
            <w:tcW w:type="dxa" w:w="19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166</w:t>
            </w:r>
          </w:p>
        </w:tc>
        <w:tc>
          <w:tcPr>
            <w:tcW w:type="dxa" w:w="21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Inner-development selection</w:t>
            </w:r>
          </w:p>
        </w:tc>
      </w:tr>
      <w:tr>
        <w:trPr>
          <w:cantSplit/>
          <w:tblHeader w:val="false"/>
        </w:trPr>
        <w:tc>
          <w:tcPr>
            <w:tcW w:type="dxa" w:w="12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4</w:t>
            </w:r>
          </w:p>
        </w:tc>
        <w:tc>
          <w:tcPr>
            <w:tcW w:type="dxa" w:w="16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0.1</w:t>
            </w:r>
          </w:p>
        </w:tc>
        <w:tc>
          <w:tcPr>
            <w:tcW w:type="dxa" w:w="16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34</w:t>
            </w:r>
          </w:p>
        </w:tc>
        <w:tc>
          <w:tcPr>
            <w:tcW w:type="dxa" w:w="18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2,787</w:t>
            </w:r>
          </w:p>
        </w:tc>
        <w:tc>
          <w:tcPr>
            <w:tcW w:type="dxa" w:w="1900"/>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167</w:t>
            </w:r>
          </w:p>
        </w:tc>
        <w:tc>
          <w:tcPr>
            <w:tcW w:type="dxa" w:w="2106"/>
            <w:tcBorders>
              <w:top w:val="nil" w:color="000000" w:sz="0"/>
              <w:left w:val="nil" w:color="000000" w:sz="0"/>
              <w:bottom w:val="nil" w:color="000000" w:sz="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Inner-development selection</w:t>
            </w:r>
          </w:p>
        </w:tc>
      </w:tr>
      <w:tr>
        <w:trPr>
          <w:cantSplit/>
          <w:tblHeader w:val="false"/>
        </w:trPr>
        <w:tc>
          <w:tcPr>
            <w:tcW w:type="dxa" w:w="12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5</w:t>
            </w:r>
          </w:p>
        </w:tc>
        <w:tc>
          <w:tcPr>
            <w:tcW w:type="dxa" w:w="16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0.1</w:t>
            </w:r>
          </w:p>
        </w:tc>
        <w:tc>
          <w:tcPr>
            <w:tcW w:type="dxa" w:w="16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34</w:t>
            </w:r>
          </w:p>
        </w:tc>
        <w:tc>
          <w:tcPr>
            <w:tcW w:type="dxa" w:w="18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2,777</w:t>
            </w:r>
          </w:p>
        </w:tc>
        <w:tc>
          <w:tcPr>
            <w:tcW w:type="dxa" w:w="19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172</w:t>
            </w:r>
          </w:p>
        </w:tc>
        <w:tc>
          <w:tcPr>
            <w:tcW w:type="dxa" w:w="2106"/>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Inner-development selection</w:t>
            </w:r>
          </w:p>
        </w:tc>
      </w:tr>
    </w:tbl>
    <w:p>
      <w:pPr>
        <w:keepLines/>
        <w:spacing w:after="100" w:before="45" w:line="220"/>
      </w:pPr>
      <w:r>
        <w:rPr>
          <w:color w:val="000000"/>
          <w:sz w:val="17"/>
          <w:szCs w:val="17"/>
        </w:rPr>
        <w:t xml:space="preserve">The carrier filter and C were fitted independently inside each outer-development partition. Feature counts are fold-specific and are not the 37 features in the separate full-cohort refit. C was selected from 0.0001, 0.001, 0.01, 0.1, 1, 10 and 100 without using the outer-test fold.</w:t>
      </w:r>
    </w:p>
    <w:p>
      <w:pPr>
        <w:keepNext/>
        <w:spacing w:after="50" w:before="110"/>
      </w:pPr>
      <w:r>
        <w:rPr>
          <w:b/>
          <w:bCs/>
          <w:color w:val="000000"/>
          <w:sz w:val="19"/>
          <w:szCs w:val="19"/>
        </w:rPr>
        <w:t xml:space="preserve">Supplementary Table S14 | </w:t>
      </w:r>
      <w:r>
        <w:rPr>
          <w:color w:val="000000"/>
          <w:sz w:val="19"/>
          <w:szCs w:val="19"/>
        </w:rPr>
        <w:t xml:space="preserve">Fixed-score endpoint sensitivity excluding the nominal rifabutin 0.12-mg/L dilution</w:t>
      </w:r>
    </w:p>
    <w:tbl>
      <w:tblPr>
        <w:tblW w:type="dxa" w:w="10206"/>
        <w:tblBorders>
          <w:top w:val="single" w:color="auto" w:sz="4"/>
          <w:left w:val="single" w:color="auto" w:sz="4"/>
          <w:bottom w:val="single" w:color="auto" w:sz="4"/>
          <w:right w:val="single" w:color="auto" w:sz="4"/>
          <w:insideH w:val="single" w:color="auto" w:sz="4"/>
          <w:insideV w:val="single" w:color="auto" w:sz="4"/>
        </w:tblBorders>
      </w:tblPr>
      <w:tblGrid>
        <w:gridCol w:w="2200"/>
        <w:gridCol w:w="2250"/>
        <w:gridCol w:w="2250"/>
        <w:gridCol w:w="2000"/>
        <w:gridCol w:w="1706"/>
      </w:tblGrid>
      <w:tr>
        <w:trPr>
          <w:cantSplit/>
          <w:tblHeader/>
        </w:trPr>
        <w:tc>
          <w:tcPr>
            <w:tcW w:type="dxa" w:w="22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Model</w:t>
            </w:r>
          </w:p>
        </w:tc>
        <w:tc>
          <w:tcPr>
            <w:tcW w:type="dxa" w:w="22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AUPRC (95% CI)</w:t>
            </w:r>
          </w:p>
        </w:tc>
        <w:tc>
          <w:tcPr>
            <w:tcW w:type="dxa" w:w="225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10% recall (95% CI)</w:t>
            </w:r>
          </w:p>
        </w:tc>
        <w:tc>
          <w:tcPr>
            <w:tcW w:type="dxa" w:w="2000"/>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10% PPV (95% CI)</w:t>
            </w:r>
          </w:p>
        </w:tc>
        <w:tc>
          <w:tcPr>
            <w:tcW w:type="dxa" w:w="1706"/>
            <w:tcBorders>
              <w:top w:val="single" w:color="000000" w:sz="10"/>
              <w:left w:val="nil" w:color="000000" w:sz="0"/>
              <w:bottom w:val="single" w:color="000000" w:sz="6"/>
              <w:right w:val="nil" w:color="000000" w:sz="0"/>
            </w:tcBorders>
            <w:tcMar>
              <w:top w:type="dxa" w:w="40"/>
              <w:left w:type="dxa" w:w="90"/>
              <w:bottom w:type="dxa" w:w="40"/>
              <w:right w:type="dxa" w:w="90"/>
            </w:tcMar>
            <w:vAlign w:val="center"/>
          </w:tcPr>
          <w:p>
            <w:pPr>
              <w:spacing w:after="0" w:line="200"/>
              <w:jc w:val="left"/>
            </w:pPr>
            <w:r>
              <w:rPr>
                <w:b/>
                <w:bCs/>
                <w:color w:val="000000"/>
                <w:sz w:val="17"/>
                <w:szCs w:val="17"/>
              </w:rPr>
              <w:t xml:space="preserve">Tests/detected (95% CI)</w:t>
            </w:r>
          </w:p>
        </w:tc>
      </w:tr>
      <w:tr>
        <w:trPr>
          <w:cantSplit/>
          <w:tblHeader w:val="false"/>
        </w:trPr>
        <w:tc>
          <w:tcPr>
            <w:tcW w:type="dxa" w:w="22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Carrier≥10 </w:t>
            </w:r>
            <w:r>
              <w:rPr>
                <w:b w:val="false"/>
                <w:bCs w:val="false"/>
                <w:i/>
                <w:iCs/>
                <w:color w:val="000000"/>
                <w:sz w:val="17"/>
                <w:szCs w:val="17"/>
              </w:rPr>
              <w:t xml:space="preserve">rpoB</w:t>
            </w:r>
            <w:r>
              <w:rPr>
                <w:b w:val="false"/>
                <w:bCs w:val="false"/>
                <w:color w:val="000000"/>
                <w:sz w:val="17"/>
                <w:szCs w:val="17"/>
              </w:rPr>
              <w:t xml:space="preserve"> procedure</w:t>
            </w:r>
          </w:p>
        </w:tc>
        <w:tc>
          <w:tcPr>
            <w:tcW w:type="dxa" w:w="22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0.246 (0.173–0.350)</w:t>
            </w:r>
          </w:p>
        </w:tc>
        <w:tc>
          <w:tcPr>
            <w:tcW w:type="dxa" w:w="225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71.4% (61.1%–81.3%)</w:t>
            </w:r>
          </w:p>
        </w:tc>
        <w:tc>
          <w:tcPr>
            <w:tcW w:type="dxa" w:w="2000"/>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16.2% (12.3%–20.2%)</w:t>
            </w:r>
          </w:p>
        </w:tc>
        <w:tc>
          <w:tcPr>
            <w:tcW w:type="dxa" w:w="1706"/>
            <w:tcBorders>
              <w:top w:val="nil" w:color="000000" w:sz="0"/>
              <w:left w:val="nil" w:color="000000" w:sz="0"/>
              <w:bottom w:val="single" w:color="000000" w:sz="10"/>
              <w:right w:val="nil" w:color="000000" w:sz="0"/>
            </w:tcBorders>
            <w:tcMar>
              <w:top w:type="dxa" w:w="40"/>
              <w:left w:type="dxa" w:w="90"/>
              <w:bottom w:type="dxa" w:w="40"/>
              <w:right w:type="dxa" w:w="90"/>
            </w:tcMar>
            <w:vAlign w:val="center"/>
          </w:tcPr>
          <w:p>
            <w:pPr>
              <w:spacing w:after="0" w:line="200"/>
              <w:jc w:val="left"/>
            </w:pPr>
            <w:r>
              <w:rPr>
                <w:b w:val="false"/>
                <w:bCs w:val="false"/>
                <w:color w:val="000000"/>
                <w:sz w:val="17"/>
                <w:szCs w:val="17"/>
              </w:rPr>
              <w:t xml:space="preserve">6.19 (4.94–8.12)</w:t>
            </w:r>
          </w:p>
        </w:tc>
      </w:tr>
    </w:tbl>
    <w:p>
      <w:pPr>
        <w:keepLines/>
        <w:spacing w:after="100" w:before="45" w:line="220"/>
      </w:pPr>
      <w:r>
        <w:rPr>
          <w:color w:val="000000"/>
          <w:sz w:val="17"/>
          <w:szCs w:val="17"/>
        </w:rPr>
        <w:t xml:space="preserve">The analysis retained archived OOF scores and excluded 134 isolates whose numeric MIC was within ±0.0005 mg/L of 0.12, leaving 3332 isolates from 3263 subjects and 76 low-MIC events; no model was refitted. Intervals use 2000 SUBJID-cluster bootstrap replicates within locked outer folds.</w:t>
      </w:r>
    </w:p>
    <w:p>
      <w:pPr>
        <w:keepNext/>
        <w:spacing w:after="50" w:before="110"/>
      </w:pPr>
      <w:r>
        <w:rPr>
          <w:b/>
          <w:bCs/>
          <w:color w:val="000000"/>
          <w:sz w:val="19"/>
          <w:szCs w:val="19"/>
        </w:rPr>
        <w:t xml:space="preserve">Supplementary Table S15 | </w:t>
      </w:r>
      <w:r>
        <w:rPr>
          <w:color w:val="000000"/>
          <w:sz w:val="19"/>
          <w:szCs w:val="19"/>
        </w:rPr>
        <w:t xml:space="preserve">Frozen 37-feature coefficient and carrier specification</w:t>
      </w:r>
    </w:p>
    <w:tbl>
      <w:tblPr>
        <w:tblW w:type="dxa" w:w="10206"/>
        <w:tblBorders>
          <w:top w:val="single" w:color="auto" w:sz="4"/>
          <w:left w:val="single" w:color="auto" w:sz="4"/>
          <w:bottom w:val="single" w:color="auto" w:sz="4"/>
          <w:right w:val="single" w:color="auto" w:sz="4"/>
          <w:insideH w:val="single" w:color="auto" w:sz="4"/>
          <w:insideV w:val="single" w:color="auto" w:sz="4"/>
        </w:tblBorders>
      </w:tblPr>
      <w:tblGrid>
        <w:gridCol w:w="3100"/>
        <w:gridCol w:w="1500"/>
        <w:gridCol w:w="1400"/>
        <w:gridCol w:w="1600"/>
        <w:gridCol w:w="1300"/>
        <w:gridCol w:w="1306"/>
      </w:tblGrid>
      <w:tr>
        <w:trPr>
          <w:cantSplit/>
          <w:tblHeader/>
        </w:trPr>
        <w:tc>
          <w:tcPr>
            <w:tcW w:type="dxa" w:w="3100"/>
            <w:tcBorders>
              <w:top w:val="single" w:color="000000" w:sz="10"/>
              <w:left w:val="nil" w:color="000000" w:sz="0"/>
              <w:bottom w:val="single" w:color="000000" w:sz="6"/>
              <w:right w:val="nil" w:color="000000" w:sz="0"/>
            </w:tcBorders>
            <w:tcMar>
              <w:top w:type="dxa" w:w="20"/>
              <w:left w:type="dxa" w:w="65"/>
              <w:bottom w:type="dxa" w:w="20"/>
              <w:right w:type="dxa" w:w="65"/>
            </w:tcMar>
            <w:vAlign w:val="center"/>
          </w:tcPr>
          <w:p>
            <w:pPr>
              <w:spacing w:after="0" w:line="170"/>
              <w:jc w:val="left"/>
            </w:pPr>
            <w:r>
              <w:rPr>
                <w:b/>
                <w:bCs/>
                <w:color w:val="000000"/>
                <w:sz w:val="15"/>
                <w:szCs w:val="15"/>
              </w:rPr>
              <w:t xml:space="preserve">Mutation token</w:t>
            </w:r>
          </w:p>
        </w:tc>
        <w:tc>
          <w:tcPr>
            <w:tcW w:type="dxa" w:w="1500"/>
            <w:tcBorders>
              <w:top w:val="single" w:color="000000" w:sz="10"/>
              <w:left w:val="nil" w:color="000000" w:sz="0"/>
              <w:bottom w:val="single" w:color="000000" w:sz="6"/>
              <w:right w:val="nil" w:color="000000" w:sz="0"/>
            </w:tcBorders>
            <w:tcMar>
              <w:top w:type="dxa" w:w="20"/>
              <w:left w:type="dxa" w:w="65"/>
              <w:bottom w:type="dxa" w:w="20"/>
              <w:right w:type="dxa" w:w="65"/>
            </w:tcMar>
            <w:vAlign w:val="center"/>
          </w:tcPr>
          <w:p>
            <w:pPr>
              <w:spacing w:after="0" w:line="170"/>
              <w:jc w:val="left"/>
            </w:pPr>
            <w:r>
              <w:rPr>
                <w:b/>
                <w:bCs/>
                <w:color w:val="000000"/>
                <w:sz w:val="15"/>
                <w:szCs w:val="15"/>
              </w:rPr>
              <w:t xml:space="preserve">Coefficient</w:t>
            </w:r>
          </w:p>
        </w:tc>
        <w:tc>
          <w:tcPr>
            <w:tcW w:type="dxa" w:w="1400"/>
            <w:tcBorders>
              <w:top w:val="single" w:color="000000" w:sz="10"/>
              <w:left w:val="nil" w:color="000000" w:sz="0"/>
              <w:bottom w:val="single" w:color="000000" w:sz="6"/>
              <w:right w:val="nil" w:color="000000" w:sz="0"/>
            </w:tcBorders>
            <w:tcMar>
              <w:top w:type="dxa" w:w="20"/>
              <w:left w:type="dxa" w:w="65"/>
              <w:bottom w:type="dxa" w:w="20"/>
              <w:right w:type="dxa" w:w="65"/>
            </w:tcMar>
            <w:vAlign w:val="center"/>
          </w:tcPr>
          <w:p>
            <w:pPr>
              <w:spacing w:after="0" w:line="170"/>
              <w:jc w:val="left"/>
            </w:pPr>
            <w:r>
              <w:rPr>
                <w:b/>
                <w:bCs/>
                <w:color w:val="000000"/>
                <w:sz w:val="15"/>
                <w:szCs w:val="15"/>
              </w:rPr>
              <w:t xml:space="preserve">Carriers</w:t>
            </w:r>
          </w:p>
        </w:tc>
        <w:tc>
          <w:tcPr>
            <w:tcW w:type="dxa" w:w="1600"/>
            <w:tcBorders>
              <w:top w:val="single" w:color="000000" w:sz="10"/>
              <w:left w:val="nil" w:color="000000" w:sz="0"/>
              <w:bottom w:val="single" w:color="000000" w:sz="6"/>
              <w:right w:val="nil" w:color="000000" w:sz="0"/>
            </w:tcBorders>
            <w:tcMar>
              <w:top w:type="dxa" w:w="20"/>
              <w:left w:type="dxa" w:w="65"/>
              <w:bottom w:type="dxa" w:w="20"/>
              <w:right w:type="dxa" w:w="65"/>
            </w:tcMar>
            <w:vAlign w:val="center"/>
          </w:tcPr>
          <w:p>
            <w:pPr>
              <w:spacing w:after="0" w:line="170"/>
              <w:jc w:val="left"/>
            </w:pPr>
            <w:r>
              <w:rPr>
                <w:b/>
                <w:bCs/>
                <w:color w:val="000000"/>
                <w:sz w:val="15"/>
                <w:szCs w:val="15"/>
              </w:rPr>
              <w:t xml:space="preserve">Positive carriers</w:t>
            </w:r>
          </w:p>
        </w:tc>
        <w:tc>
          <w:tcPr>
            <w:tcW w:type="dxa" w:w="1300"/>
            <w:tcBorders>
              <w:top w:val="single" w:color="000000" w:sz="10"/>
              <w:left w:val="nil" w:color="000000" w:sz="0"/>
              <w:bottom w:val="single" w:color="000000" w:sz="6"/>
              <w:right w:val="nil" w:color="000000" w:sz="0"/>
            </w:tcBorders>
            <w:tcMar>
              <w:top w:type="dxa" w:w="20"/>
              <w:left w:type="dxa" w:w="65"/>
              <w:bottom w:type="dxa" w:w="20"/>
              <w:right w:type="dxa" w:w="65"/>
            </w:tcMar>
            <w:vAlign w:val="center"/>
          </w:tcPr>
          <w:p>
            <w:pPr>
              <w:spacing w:after="0" w:line="170"/>
              <w:jc w:val="left"/>
            </w:pPr>
            <w:r>
              <w:rPr>
                <w:b/>
                <w:bCs/>
                <w:color w:val="000000"/>
                <w:sz w:val="15"/>
                <w:szCs w:val="15"/>
              </w:rPr>
              <w:t xml:space="preserve">Positive folds</w:t>
            </w:r>
          </w:p>
        </w:tc>
        <w:tc>
          <w:tcPr>
            <w:tcW w:type="dxa" w:w="1306"/>
            <w:tcBorders>
              <w:top w:val="single" w:color="000000" w:sz="10"/>
              <w:left w:val="nil" w:color="000000" w:sz="0"/>
              <w:bottom w:val="single" w:color="000000" w:sz="6"/>
              <w:right w:val="nil" w:color="000000" w:sz="0"/>
            </w:tcBorders>
            <w:tcMar>
              <w:top w:type="dxa" w:w="20"/>
              <w:left w:type="dxa" w:w="65"/>
              <w:bottom w:type="dxa" w:w="20"/>
              <w:right w:type="dxa" w:w="65"/>
            </w:tcMar>
            <w:vAlign w:val="center"/>
          </w:tcPr>
          <w:p>
            <w:pPr>
              <w:spacing w:after="0" w:line="170"/>
              <w:jc w:val="left"/>
            </w:pPr>
            <w:r>
              <w:rPr>
                <w:b/>
                <w:bCs/>
                <w:color w:val="000000"/>
                <w:sz w:val="15"/>
                <w:szCs w:val="15"/>
              </w:rPr>
              <w:t xml:space="preserve">Sign consistency</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S450L</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-2.2274</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2,266</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17</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H445Y</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-1.5255</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125</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H445L</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1.4471</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33</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19</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5/5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H445D</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-1.3858</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93</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D435Y</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1.2377</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65</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24</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5/5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D435F</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1.2318</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17</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9</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5/5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I491F</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1.0391</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17</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5/5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A1075A</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-0.9140</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2,068</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54</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D435V</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0.8784</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373</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88</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5/5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L430P</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0.8390</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33</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8</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5/5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S450F</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-0.7236</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33</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H445R</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-0.5927</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29</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S450W</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-0.5485</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48</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V170F</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-0.5085</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21</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D435G</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-0.4309</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38</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D103D</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-0.4171</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163</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9</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1288_indel</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-0.3914</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16</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Q432P</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-0.3675</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12</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0/3</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A692T</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-0.3492</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37</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L452P</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0.3390</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43</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7</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5/5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I491L</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-0.3118</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17</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E561E</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0.2810</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49</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3</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5/5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L731P</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-0.1693</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24</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G876G</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0.1685</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329</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16</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5/5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Q409R</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-0.1525</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17</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0/4</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R552L</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-0.1329</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15</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0/3</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R827C</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-0.1318</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15</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S874Y</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-0.1255</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17</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Q975H</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-0.1232</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27</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c-61t</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0.1051</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318</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15</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3/5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0.60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P45S</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-0.1049</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18</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P45L</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-0.0912</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12</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0/3</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V695L</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0.0726</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38</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6</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4/5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0.80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A286V</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-0.0713</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15</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0/5</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L554P</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-0.0484</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11</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0/1</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V228V</w:t>
            </w:r>
          </w:p>
        </w:tc>
        <w:tc>
          <w:tcPr>
            <w:tcW w:type="dxa" w:w="15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0.0439</w:t>
            </w:r>
          </w:p>
        </w:tc>
        <w:tc>
          <w:tcPr>
            <w:tcW w:type="dxa" w:w="14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12</w:t>
            </w:r>
          </w:p>
        </w:tc>
        <w:tc>
          <w:tcPr>
            <w:tcW w:type="dxa" w:w="16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w:t>
            </w:r>
          </w:p>
        </w:tc>
        <w:tc>
          <w:tcPr>
            <w:tcW w:type="dxa" w:w="13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3/3</w:t>
            </w:r>
          </w:p>
        </w:tc>
        <w:tc>
          <w:tcPr>
            <w:tcW w:type="dxa" w:w="13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r>
        <w:trPr>
          <w:cantSplit/>
          <w:tblHeader w:val="false"/>
        </w:trPr>
        <w:tc>
          <w:tcPr>
            <w:tcW w:type="dxa" w:w="3100"/>
            <w:tcBorders>
              <w:top w:val="nil" w:color="000000" w:sz="0"/>
              <w:left w:val="nil" w:color="000000" w:sz="0"/>
              <w:bottom w:val="single" w:color="000000" w:sz="1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H445N</w:t>
            </w:r>
          </w:p>
        </w:tc>
        <w:tc>
          <w:tcPr>
            <w:tcW w:type="dxa" w:w="1500"/>
            <w:tcBorders>
              <w:top w:val="nil" w:color="000000" w:sz="0"/>
              <w:left w:val="nil" w:color="000000" w:sz="0"/>
              <w:bottom w:val="single" w:color="000000" w:sz="1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-0.0381</w:t>
            </w:r>
          </w:p>
        </w:tc>
        <w:tc>
          <w:tcPr>
            <w:tcW w:type="dxa" w:w="1400"/>
            <w:tcBorders>
              <w:top w:val="nil" w:color="000000" w:sz="0"/>
              <w:left w:val="nil" w:color="000000" w:sz="0"/>
              <w:bottom w:val="single" w:color="000000" w:sz="1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11</w:t>
            </w:r>
          </w:p>
        </w:tc>
        <w:tc>
          <w:tcPr>
            <w:tcW w:type="dxa" w:w="1600"/>
            <w:tcBorders>
              <w:top w:val="nil" w:color="000000" w:sz="0"/>
              <w:left w:val="nil" w:color="000000" w:sz="0"/>
              <w:bottom w:val="single" w:color="000000" w:sz="1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w:t>
            </w:r>
          </w:p>
        </w:tc>
        <w:tc>
          <w:tcPr>
            <w:tcW w:type="dxa" w:w="1300"/>
            <w:tcBorders>
              <w:top w:val="nil" w:color="000000" w:sz="0"/>
              <w:left w:val="nil" w:color="000000" w:sz="0"/>
              <w:bottom w:val="single" w:color="000000" w:sz="1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0/1</w:t>
            </w:r>
          </w:p>
        </w:tc>
        <w:tc>
          <w:tcPr>
            <w:tcW w:type="dxa" w:w="1306"/>
            <w:tcBorders>
              <w:top w:val="nil" w:color="000000" w:sz="0"/>
              <w:left w:val="nil" w:color="000000" w:sz="0"/>
              <w:bottom w:val="single" w:color="000000" w:sz="1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1.00</w:t>
            </w:r>
          </w:p>
        </w:tc>
      </w:tr>
    </w:tbl>
    <w:p>
      <w:pPr>
        <w:keepLines/>
        <w:spacing w:after="100" w:before="45" w:line="220"/>
      </w:pPr>
      <w:r>
        <w:rPr>
          <w:color w:val="000000"/>
          <w:sz w:val="17"/>
          <w:szCs w:val="17"/>
        </w:rPr>
        <w:t xml:space="preserve">Coefficients and intercept define the full-cohort frozen score. Cross-validated stability fields come from the five primary outer fits; coefficient magnitude does not establish causality.</w:t>
      </w:r>
    </w:p>
    <w:p>
      <w:pPr>
        <w:keepNext/>
        <w:spacing w:after="50" w:before="110"/>
      </w:pPr>
      <w:r>
        <w:rPr>
          <w:b/>
          <w:bCs/>
          <w:color w:val="000000"/>
          <w:sz w:val="19"/>
          <w:szCs w:val="19"/>
        </w:rPr>
        <w:t xml:space="preserve">Supplementary Table S16 | </w:t>
      </w:r>
      <w:r>
        <w:rPr>
          <w:color w:val="000000"/>
          <w:sz w:val="19"/>
          <w:szCs w:val="19"/>
        </w:rPr>
        <w:t xml:space="preserve">Frozen full-cohort score specification</w:t>
      </w:r>
    </w:p>
    <w:tbl>
      <w:tblPr>
        <w:tblW w:type="dxa" w:w="10206"/>
        <w:tblBorders>
          <w:top w:val="single" w:color="auto" w:sz="4"/>
          <w:left w:val="single" w:color="auto" w:sz="4"/>
          <w:bottom w:val="single" w:color="auto" w:sz="4"/>
          <w:right w:val="single" w:color="auto" w:sz="4"/>
          <w:insideH w:val="single" w:color="auto" w:sz="4"/>
          <w:insideV w:val="single" w:color="auto" w:sz="4"/>
        </w:tblBorders>
      </w:tblPr>
      <w:tblGrid>
        <w:gridCol w:w="3000"/>
        <w:gridCol w:w="7206"/>
      </w:tblGrid>
      <w:tr>
        <w:trPr>
          <w:cantSplit/>
          <w:tblHeader/>
        </w:trPr>
        <w:tc>
          <w:tcPr>
            <w:tcW w:type="dxa" w:w="3000"/>
            <w:tcBorders>
              <w:top w:val="single" w:color="000000" w:sz="10"/>
              <w:left w:val="nil" w:color="000000" w:sz="0"/>
              <w:bottom w:val="single" w:color="000000" w:sz="6"/>
              <w:right w:val="nil" w:color="000000" w:sz="0"/>
            </w:tcBorders>
            <w:tcMar>
              <w:top w:type="dxa" w:w="20"/>
              <w:left w:type="dxa" w:w="65"/>
              <w:bottom w:type="dxa" w:w="20"/>
              <w:right w:type="dxa" w:w="65"/>
            </w:tcMar>
            <w:vAlign w:val="center"/>
          </w:tcPr>
          <w:p>
            <w:pPr>
              <w:spacing w:after="0" w:line="170"/>
              <w:jc w:val="left"/>
            </w:pPr>
            <w:r>
              <w:rPr>
                <w:b/>
                <w:bCs/>
                <w:color w:val="000000"/>
                <w:sz w:val="15"/>
                <w:szCs w:val="15"/>
              </w:rPr>
              <w:t xml:space="preserve">Field</w:t>
            </w:r>
          </w:p>
        </w:tc>
        <w:tc>
          <w:tcPr>
            <w:tcW w:type="dxa" w:w="7206"/>
            <w:tcBorders>
              <w:top w:val="single" w:color="000000" w:sz="10"/>
              <w:left w:val="nil" w:color="000000" w:sz="0"/>
              <w:bottom w:val="single" w:color="000000" w:sz="6"/>
              <w:right w:val="nil" w:color="000000" w:sz="0"/>
            </w:tcBorders>
            <w:tcMar>
              <w:top w:type="dxa" w:w="20"/>
              <w:left w:type="dxa" w:w="65"/>
              <w:bottom w:type="dxa" w:w="20"/>
              <w:right w:type="dxa" w:w="65"/>
            </w:tcMar>
            <w:vAlign w:val="center"/>
          </w:tcPr>
          <w:p>
            <w:pPr>
              <w:spacing w:after="0" w:line="170"/>
              <w:jc w:val="left"/>
            </w:pPr>
            <w:r>
              <w:rPr>
                <w:b/>
                <w:bCs/>
                <w:color w:val="000000"/>
                <w:sz w:val="15"/>
                <w:szCs w:val="15"/>
              </w:rPr>
              <w:t xml:space="preserve">Locked value</w:t>
            </w:r>
          </w:p>
        </w:tc>
      </w:tr>
      <w:tr>
        <w:trPr>
          <w:cantSplit/>
          <w:tblHeader w:val="false"/>
        </w:trPr>
        <w:tc>
          <w:tcPr>
            <w:tcW w:type="dxa" w:w="30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Model type</w:t>
            </w:r>
          </w:p>
        </w:tc>
        <w:tc>
          <w:tcPr>
            <w:tcW w:type="dxa" w:w="72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class_weighted_L2_logistic_relative_ranking_score</w:t>
            </w:r>
          </w:p>
        </w:tc>
      </w:tr>
      <w:tr>
        <w:trPr>
          <w:cantSplit/>
          <w:tblHeader w:val="false"/>
        </w:trPr>
        <w:tc>
          <w:tcPr>
            <w:tcW w:type="dxa" w:w="30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Feature rule</w:t>
            </w:r>
          </w:p>
        </w:tc>
        <w:tc>
          <w:tcPr>
            <w:tcW w:type="dxa" w:w="72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i/>
                <w:iCs/>
                <w:color w:val="000000"/>
                <w:sz w:val="15"/>
                <w:szCs w:val="15"/>
              </w:rPr>
              <w:t xml:space="preserve">rpoB</w:t>
            </w:r>
            <w:r>
              <w:rPr>
                <w:b w:val="false"/>
                <w:bCs w:val="false"/>
                <w:color w:val="000000"/>
                <w:sz w:val="15"/>
                <w:szCs w:val="15"/>
              </w:rPr>
              <w:t xml:space="preserve"> mutation token; full-cohort carrier count ≥10</w:t>
            </w:r>
          </w:p>
        </w:tc>
      </w:tr>
      <w:tr>
        <w:trPr>
          <w:cantSplit/>
          <w:tblHeader w:val="false"/>
        </w:trPr>
        <w:tc>
          <w:tcPr>
            <w:tcW w:type="dxa" w:w="30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Feature count</w:t>
            </w:r>
          </w:p>
        </w:tc>
        <w:tc>
          <w:tcPr>
            <w:tcW w:type="dxa" w:w="72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37</w:t>
            </w:r>
          </w:p>
        </w:tc>
      </w:tr>
      <w:tr>
        <w:trPr>
          <w:cantSplit/>
          <w:tblHeader w:val="false"/>
        </w:trPr>
        <w:tc>
          <w:tcPr>
            <w:tcW w:type="dxa" w:w="30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Regularisation C</w:t>
            </w:r>
          </w:p>
        </w:tc>
        <w:tc>
          <w:tcPr>
            <w:tcW w:type="dxa" w:w="72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0.1</w:t>
            </w:r>
          </w:p>
        </w:tc>
      </w:tr>
      <w:tr>
        <w:trPr>
          <w:cantSplit/>
          <w:tblHeader w:val="false"/>
        </w:trPr>
        <w:tc>
          <w:tcPr>
            <w:tcW w:type="dxa" w:w="30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Intercept</w:t>
            </w:r>
          </w:p>
        </w:tc>
        <w:tc>
          <w:tcPr>
            <w:tcW w:type="dxa" w:w="72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0.7838316512</w:t>
            </w:r>
          </w:p>
        </w:tc>
      </w:tr>
      <w:tr>
        <w:trPr>
          <w:cantSplit/>
          <w:tblHeader w:val="false"/>
        </w:trPr>
        <w:tc>
          <w:tcPr>
            <w:tcW w:type="dxa" w:w="30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Training isolates/events</w:t>
            </w:r>
          </w:p>
        </w:tc>
        <w:tc>
          <w:tcPr>
            <w:tcW w:type="dxa" w:w="72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3,466/210</w:t>
            </w:r>
          </w:p>
        </w:tc>
      </w:tr>
      <w:tr>
        <w:trPr>
          <w:cantSplit/>
          <w:tblHeader w:val="false"/>
        </w:trPr>
        <w:tc>
          <w:tcPr>
            <w:tcW w:type="dxa" w:w="30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Unknown-token policy</w:t>
            </w:r>
          </w:p>
        </w:tc>
        <w:tc>
          <w:tcPr>
            <w:tcW w:type="dxa" w:w="72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ignore</w:t>
            </w:r>
          </w:p>
        </w:tc>
      </w:tr>
      <w:tr>
        <w:trPr>
          <w:cantSplit/>
          <w:tblHeader w:val="false"/>
        </w:trPr>
        <w:tc>
          <w:tcPr>
            <w:tcW w:type="dxa" w:w="30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No-recognised-event policy</w:t>
            </w:r>
          </w:p>
        </w:tc>
        <w:tc>
          <w:tcPr>
            <w:tcW w:type="dxa" w:w="72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all-zero feature vector</w:t>
            </w:r>
          </w:p>
        </w:tc>
      </w:tr>
      <w:tr>
        <w:trPr>
          <w:cantSplit/>
          <w:tblHeader w:val="false"/>
        </w:trPr>
        <w:tc>
          <w:tcPr>
            <w:tcW w:type="dxa" w:w="3000"/>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Output</w:t>
            </w:r>
          </w:p>
        </w:tc>
        <w:tc>
          <w:tcPr>
            <w:tcW w:type="dxa" w:w="7206"/>
            <w:tcBorders>
              <w:top w:val="nil" w:color="000000" w:sz="0"/>
              <w:left w:val="nil" w:color="000000" w:sz="0"/>
              <w:bottom w:val="nil" w:color="000000" w:sz="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relative ranking score; not an absolute RFB-lowMIC probability</w:t>
            </w:r>
          </w:p>
        </w:tc>
      </w:tr>
      <w:tr>
        <w:trPr>
          <w:cantSplit/>
          <w:tblHeader w:val="false"/>
        </w:trPr>
        <w:tc>
          <w:tcPr>
            <w:tcW w:type="dxa" w:w="3000"/>
            <w:tcBorders>
              <w:top w:val="nil" w:color="000000" w:sz="0"/>
              <w:left w:val="nil" w:color="000000" w:sz="0"/>
              <w:bottom w:val="single" w:color="000000" w:sz="1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Serialized model SHA-256</w:t>
            </w:r>
          </w:p>
        </w:tc>
        <w:tc>
          <w:tcPr>
            <w:tcW w:type="dxa" w:w="7206"/>
            <w:tcBorders>
              <w:top w:val="nil" w:color="000000" w:sz="0"/>
              <w:left w:val="nil" w:color="000000" w:sz="0"/>
              <w:bottom w:val="single" w:color="000000" w:sz="10"/>
              <w:right w:val="nil" w:color="000000" w:sz="0"/>
            </w:tcBorders>
            <w:tcMar>
              <w:top w:type="dxa" w:w="20"/>
              <w:left w:type="dxa" w:w="65"/>
              <w:bottom w:type="dxa" w:w="20"/>
              <w:right w:type="dxa" w:w="65"/>
            </w:tcMar>
            <w:vAlign w:val="center"/>
          </w:tcPr>
          <w:p>
            <w:pPr>
              <w:spacing w:after="0" w:line="170"/>
              <w:jc w:val="left"/>
            </w:pPr>
            <w:r>
              <w:rPr>
                <w:b w:val="false"/>
                <w:bCs w:val="false"/>
                <w:color w:val="000000"/>
                <w:sz w:val="15"/>
                <w:szCs w:val="15"/>
              </w:rPr>
              <w:t xml:space="preserve">7fa515b381935d9186ed17d937013052f0e3357859f9c4f5d7c74dfd0e4f629c</w:t>
            </w:r>
          </w:p>
        </w:tc>
      </w:tr>
    </w:tbl>
    <w:p>
      <w:pPr>
        <w:spacing w:after="100"/>
      </w:pPr>
    </w:p>
    <w:sectPr>
      <w:headerReference w:type="default" r:id="rId7"/>
      <w:footerReference w:type="default" r:id="rId20"/>
      <w:pgSz w:w="11906" w:h="16838" w:orient="portrait"/>
      <w:pgMar w:top="1440" w:right="1440" w:bottom="1440" w:left="1440" w:header="709" w:footer="709" w:gutter="0"/>
      <w:pgNumType/>
      <w:docGrid w:linePitch="360"/>
      <w:lnNumType w:countBy="1" w:restart="continuous" w:distance="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000000"/>
      </w:rPr>
      <w:fldChar w:fldCharType="begin"/>
      <w:instrText xml:space="preserve"> PAGE </w:instrText>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000000" w:sz="4" w:space="2"/>
      </w:pBdr>
      <w:spacing w:after="0"/>
    </w:pPr>
    <w:r>
      <w:rPr>
        <w:rFonts w:ascii="Arial" w:cs="Arial" w:eastAsia="Arial" w:hAnsi="Arial"/>
        <w:color w:val="000000"/>
        <w:sz w:val="16"/>
        <w:szCs w:val="16"/>
      </w:rPr>
      <w:t xml:space="preserve">Supplementary Information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left"/>
      <w:pPr>
        <w:ind w:left="560" w:hanging="28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color w:val="000000"/>
        <w:sz w:val="21"/>
        <w:szCs w:val="21"/>
      </w:rPr>
    </w:rPrDefault>
    <w:pPrDefault>
      <w:pPr>
        <w:spacing w:line="276"/>
      </w:pPr>
    </w:pPrDefault>
  </w:docDefaults>
  <w:style w:type="paragraph" w:styleId="Title">
    <w:name w:val="Title"/>
    <w:basedOn w:val="Normal"/>
    <w:next w:val="Normal"/>
    <w:qFormat/>
    <w:rPr>
      <w:rFonts w:ascii="Times New Roman" w:hAnsi="Times New Roman" w:eastAsia="Times New Roman"/>
      <w:color w:val="000000"/>
      <w:sz w:val="56"/>
      <w:szCs w:val="56"/>
    </w:rPr>
  </w:style>
  <w:style w:type="paragraph" w:styleId="Heading1">
    <w:name w:val="Heading 1"/>
    <w:basedOn w:val="Normal"/>
    <w:next w:val="Normal"/>
    <w:qFormat/>
    <w:rPr>
      <w:rFonts w:ascii="Times New Roman" w:hAnsi="Times New Roman" w:eastAsia="Times New Roman"/>
      <w:color w:val="000000"/>
      <w:sz w:val="32"/>
      <w:szCs w:val="32"/>
    </w:rPr>
  </w:style>
  <w:style w:type="paragraph" w:styleId="Heading2">
    <w:name w:val="Heading 2"/>
    <w:basedOn w:val="Normal"/>
    <w:next w:val="Normal"/>
    <w:qFormat/>
    <w:rPr>
      <w:rFonts w:ascii="Times New Roman" w:hAnsi="Times New Roman" w:eastAsia="Times New Roman"/>
      <w:color w:val="000000"/>
      <w:sz w:val="26"/>
      <w:szCs w:val="26"/>
    </w:rPr>
  </w:style>
  <w:style w:type="paragraph" w:styleId="Heading3">
    <w:name w:val="Heading 3"/>
    <w:basedOn w:val="Normal"/>
    <w:next w:val="Normal"/>
    <w:qFormat/>
    <w:rPr>
      <w:rFonts w:ascii="Times New Roman" w:hAnsi="Times New Roman" w:eastAsia="Times New Roman"/>
      <w:color w:val="000000"/>
      <w:sz w:val="24"/>
      <w:szCs w:val="24"/>
    </w:rPr>
  </w:style>
  <w:style w:type="paragraph" w:styleId="Heading4">
    <w:name w:val="Heading 4"/>
    <w:basedOn w:val="Normal"/>
    <w:next w:val="Normal"/>
    <w:qFormat/>
    <w:rPr>
      <w:i/>
      <w:iCs/>
      <w:color w:val="000000"/>
    </w:rPr>
  </w:style>
  <w:style w:type="paragraph" w:styleId="Heading5">
    <w:name w:val="Heading 5"/>
    <w:basedOn w:val="Normal"/>
    <w:next w:val="Normal"/>
    <w:qFormat/>
    <w:rPr>
      <w:color w:val="000000"/>
    </w:rPr>
  </w:style>
  <w:style w:type="paragraph" w:styleId="Heading6">
    <w:name w:val="Heading 6"/>
    <w:basedOn w:val="Normal"/>
    <w:next w:val="Normal"/>
    <w:qFormat/>
    <w:rPr>
      <w:color w:val="000000"/>
    </w:rPr>
  </w:style>
  <w:style w:type="paragraph" w:styleId="Strong">
    <w:name w:val="Strong"/>
    <w:basedOn w:val="Normal"/>
    <w:next w:val="Normal"/>
    <w:qFormat/>
    <w:rPr>
      <w:b/>
      <w:bCs/>
      <w:color w:val="000000"/>
    </w:rPr>
  </w:style>
  <w:style w:type="paragraph" w:styleId="ListParagraph">
    <w:name w:val="List Paragraph"/>
    <w:basedOn w:val="Normal"/>
    <w:qFormat/>
    <w:rPr>
      <w:color w:val="000000"/>
    </w:rPr>
  </w:style>
  <w:style w:type="character" w:styleId="Hyperlink">
    <w:name w:val="Hyperlink"/>
    <w:basedOn w:val="DefaultParagraphFont"/>
    <w:uiPriority w:val="99"/>
    <w:unhideWhenUsed/>
    <w:rPr>
      <w:color w:val="000000"/>
      <w:u w:val="single"/>
    </w:rPr>
  </w:style>
  <w:style w:type="character" w:styleId="FootnoteReference">
    <w:name w:val="footnote reference"/>
    <w:basedOn w:val="DefaultParagraphFont"/>
    <w:uiPriority w:val="99"/>
    <w:semiHidden/>
    <w:unhideWhenUsed/>
    <w:rPr>
      <w:color w:val="000000"/>
      <w:vertAlign w:val="superscript"/>
    </w:rPr>
  </w:style>
  <w:style w:type="paragraph" w:styleId="FootnoteText">
    <w:name w:val="footnote text"/>
    <w:basedOn w:val="Normal"/>
    <w:link w:val="FootnoteTextChar"/>
    <w:uiPriority w:val="99"/>
    <w:semiHidden/>
    <w:unhideWhenUsed/>
    <w:pPr>
      <w:spacing w:after="0" w:line="240" w:lineRule="auto"/>
    </w:pPr>
    <w:rPr>
      <w:color w:val="000000"/>
      <w:sz w:val="20"/>
      <w:szCs w:val="20"/>
    </w:rPr>
  </w:style>
  <w:style w:type="character" w:styleId="FootnoteTextChar">
    <w:name w:val="Footnote Text Char"/>
    <w:basedOn w:val="DefaultParagraphFont"/>
    <w:link w:val="FootnoteText"/>
    <w:uiPriority w:val="99"/>
    <w:semiHidden/>
    <w:unhideWhenUsed/>
    <w:rPr>
      <w:color w:val="000000"/>
      <w:sz w:val="20"/>
      <w:szCs w:val="20"/>
    </w:rPr>
  </w:style>
  <w:style w:type="character" w:styleId="EndnoteReference">
    <w:name w:val="endnote reference"/>
    <w:basedOn w:val="DefaultParagraphFont"/>
    <w:uiPriority w:val="99"/>
    <w:semiHidden/>
    <w:unhideWhenUsed/>
    <w:rPr>
      <w:color w:val="000000"/>
      <w:vertAlign w:val="superscript"/>
    </w:rPr>
  </w:style>
  <w:style w:type="paragraph" w:styleId="EndnoteText">
    <w:name w:val="endnote text"/>
    <w:basedOn w:val="Normal"/>
    <w:link w:val="EndnoteTextChar"/>
    <w:uiPriority w:val="99"/>
    <w:semiHidden/>
    <w:unhideWhenUsed/>
    <w:pPr>
      <w:spacing w:after="0" w:line="240" w:lineRule="auto"/>
    </w:pPr>
    <w:rPr>
      <w:color w:val="000000"/>
      <w:sz w:val="20"/>
      <w:szCs w:val="20"/>
    </w:rPr>
  </w:style>
  <w:style w:type="character" w:styleId="EndnoteTextChar">
    <w:name w:val="Endnote Text Char"/>
    <w:basedOn w:val="DefaultParagraphFont"/>
    <w:link w:val="EndnoteText"/>
    <w:uiPriority w:val="99"/>
    <w:semiHidden/>
    <w:unhideWhenUsed/>
    <w:rPr>
      <w:color w:val="000000"/>
      <w:sz w:val="20"/>
      <w:szCs w:val="20"/>
    </w:rPr>
  </w:style>
  <w:style w:type="paragraph" w:styleId="Title">
    <w:name w:val="Title"/>
    <w:basedOn w:val="Normal"/>
    <w:next w:val="Normal"/>
    <w:qFormat/>
    <w:pPr>
      <w:keepNext/>
      <w:spacing w:after="240"/>
      <w:jc w:val="center"/>
    </w:pPr>
    <w:rPr>
      <w:rFonts w:ascii="Times New Roman" w:cs="Times New Roman" w:eastAsia="Times New Roman" w:hAnsi="Times New Roman"/>
      <w:b/>
      <w:bCs/>
      <w:color w:val="000000"/>
      <w:sz w:val="32"/>
      <w:szCs w:val="32"/>
    </w:rPr>
  </w:style>
  <w:style w:type="paragraph" w:styleId="Heading1">
    <w:name w:val="Heading 1"/>
    <w:basedOn w:val="Normal"/>
    <w:next w:val="Normal"/>
    <w:qFormat/>
    <w:pPr>
      <w:keepNext/>
      <w:spacing w:after="120" w:before="280"/>
      <w:outlineLvl w:val="0"/>
    </w:pPr>
    <w:rPr>
      <w:rFonts w:ascii="Times New Roman" w:cs="Times New Roman" w:eastAsia="Times New Roman" w:hAnsi="Times New Roman"/>
      <w:b/>
      <w:bCs/>
      <w:color w:val="000000"/>
      <w:sz w:val="26"/>
      <w:szCs w:val="26"/>
    </w:rPr>
  </w:style>
  <w:style w:type="paragraph" w:styleId="Heading2">
    <w:name w:val="Heading 2"/>
    <w:basedOn w:val="Normal"/>
    <w:next w:val="Normal"/>
    <w:qFormat/>
    <w:pPr>
      <w:keepNext/>
      <w:spacing w:after="90" w:before="220"/>
      <w:outlineLvl w:val="1"/>
    </w:pPr>
    <w:rPr>
      <w:rFonts w:ascii="Times New Roman" w:cs="Times New Roman" w:eastAsia="Times New Roman" w:hAnsi="Times New Roman"/>
      <w:b/>
      <w:bCs/>
      <w:color w:val="000000"/>
      <w:sz w:val="23"/>
      <w:szCs w:val="23"/>
    </w:rPr>
  </w:style>
  <w:style w:type="paragraph" w:styleId="Heading3">
    <w:name w:val="Heading 3"/>
    <w:basedOn w:val="Normal"/>
    <w:next w:val="Normal"/>
    <w:qFormat/>
    <w:pPr>
      <w:keepNext/>
      <w:spacing w:after="70" w:before="180"/>
      <w:outlineLvl w:val="2"/>
    </w:pPr>
    <w:rPr>
      <w:rFonts w:ascii="Times New Roman" w:cs="Times New Roman" w:eastAsia="Times New Roman" w:hAnsi="Times New Roman"/>
      <w:b/>
      <w:bCs/>
      <w:color w:val="000000"/>
      <w:sz w:val="21"/>
      <w:szCs w:val="21"/>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image" Target="media/4504ac951dca9c6442f3ee2e07034b15d8f05a06.png"/><Relationship Id="rId9" Type="http://schemas.openxmlformats.org/officeDocument/2006/relationships/image" Target="media/bbb5d018b62f0fe946fb78be786541bb9e358da4.png"/><Relationship Id="rId10" Type="http://schemas.openxmlformats.org/officeDocument/2006/relationships/image" Target="media/2988bde3aa0a905cca7038ae53688783854d3224.png"/><Relationship Id="rId11" Type="http://schemas.openxmlformats.org/officeDocument/2006/relationships/image" Target="media/22808525c90c1b3cc286e09ee383b91894221354.png"/><Relationship Id="rId12" Type="http://schemas.openxmlformats.org/officeDocument/2006/relationships/image" Target="media/8826622acfc4b60503de2b782063752f9eb1e254.png"/><Relationship Id="rId13" Type="http://schemas.openxmlformats.org/officeDocument/2006/relationships/image" Target="media/ab06330df64fcf793ad33f2e5bdc69a1737084fa.png"/><Relationship Id="rId14" Type="http://schemas.openxmlformats.org/officeDocument/2006/relationships/image" Target="media/46f9ddc0121887ccbeddce0d9eb238dfb2768805.png"/><Relationship Id="rId15" Type="http://schemas.openxmlformats.org/officeDocument/2006/relationships/image" Target="media/2d775814449e3c59515205d4a20fe08d9e2b639d.png"/><Relationship Id="rId16" Type="http://schemas.openxmlformats.org/officeDocument/2006/relationships/image" Target="media/46f803c79794a07a09d45c70ee4249878257eada.png"/><Relationship Id="rId17" Type="http://schemas.openxmlformats.org/officeDocument/2006/relationships/image" Target="media/ab0812605538b71267eea084eefc046a27457a62.png"/><Relationship Id="rId18" Type="http://schemas.openxmlformats.org/officeDocument/2006/relationships/image" Target="media/a8b3cd912a585b6df916b176a3c7015770c2f337.png"/><Relationship Id="rId19" Type="http://schemas.openxmlformats.org/officeDocument/2006/relationships/fontTable" Target="fontTable.xml"/><Relationship Id="rId20" Type="http://schemas.openxmlformats.org/officeDocument/2006/relationships/footer" Target="footer1.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Supplementary Material: genome-guided rifabutin low-MIC phenotyping</dc:title>
  <dc:creator>Codex</dc:creator>
  <cp:lastModifiedBy>Un-named</cp:lastModifiedBy>
  <cp:revision>1</cp:revision>
  <dcterms:created xsi:type="dcterms:W3CDTF">2026-07-29T02:36:44.671Z</dcterms:created>
  <dcterms:modified xsi:type="dcterms:W3CDTF">2026-07-29T02:36:44.671Z</dcterms:modified>
</cp:coreProperties>
</file>

<file path=docProps/custom.xml><?xml version="1.0" encoding="utf-8"?>
<Properties xmlns="http://schemas.openxmlformats.org/officeDocument/2006/custom-properties" xmlns:vt="http://schemas.openxmlformats.org/officeDocument/2006/docPropsVTypes"/>
</file>