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21C32" w14:textId="6F6335C7" w:rsidR="001362A0" w:rsidRPr="00A931B8" w:rsidRDefault="001362A0" w:rsidP="001362A0">
      <w:pPr>
        <w:ind w:left="-680" w:right="-794"/>
        <w:rPr>
          <w:sz w:val="20"/>
          <w:szCs w:val="20"/>
          <w:lang w:val="en-US"/>
        </w:rPr>
      </w:pPr>
      <w:r w:rsidRPr="00A931B8">
        <w:rPr>
          <w:rFonts w:eastAsia="PMingLiU"/>
          <w:b/>
          <w:iCs/>
          <w:sz w:val="20"/>
          <w:szCs w:val="20"/>
          <w:lang w:val="en-US"/>
        </w:rPr>
        <w:t xml:space="preserve">Table </w:t>
      </w:r>
      <w:r w:rsidR="0069118C" w:rsidRPr="00A931B8">
        <w:rPr>
          <w:rFonts w:eastAsia="PMingLiU"/>
          <w:b/>
          <w:iCs/>
          <w:sz w:val="20"/>
          <w:szCs w:val="20"/>
          <w:lang w:val="en-US"/>
        </w:rPr>
        <w:t>1</w:t>
      </w:r>
      <w:r w:rsidRPr="00A931B8">
        <w:rPr>
          <w:rFonts w:eastAsia="PMingLiU"/>
          <w:b/>
          <w:iCs/>
          <w:sz w:val="20"/>
          <w:szCs w:val="20"/>
          <w:lang w:val="en-US"/>
        </w:rPr>
        <w:t xml:space="preserve"> </w:t>
      </w:r>
      <w:r w:rsidRPr="00A931B8">
        <w:rPr>
          <w:sz w:val="20"/>
          <w:szCs w:val="20"/>
          <w:lang w:val="en-US"/>
        </w:rPr>
        <w:t xml:space="preserve">Clinical and surgical characteristics of patients with </w:t>
      </w:r>
      <w:r w:rsidR="00A931B8" w:rsidRPr="00A931B8">
        <w:rPr>
          <w:rFonts w:eastAsia="Aptos"/>
          <w:sz w:val="20"/>
          <w:szCs w:val="20"/>
          <w:lang w:val="en-US"/>
        </w:rPr>
        <w:t>Hirschsprung</w:t>
      </w:r>
      <w:r w:rsidR="00A931B8" w:rsidRPr="00A931B8">
        <w:rPr>
          <w:rFonts w:eastAsia="Aptos"/>
          <w:sz w:val="20"/>
          <w:szCs w:val="20"/>
          <w:lang w:val="en-US"/>
        </w:rPr>
        <w:t xml:space="preserve">’s Disease </w:t>
      </w:r>
      <w:r w:rsidR="00A931B8" w:rsidRPr="00A931B8">
        <w:rPr>
          <w:sz w:val="20"/>
          <w:szCs w:val="20"/>
          <w:lang w:val="en-US"/>
        </w:rPr>
        <w:t>according</w:t>
      </w:r>
      <w:r w:rsidRPr="00A931B8">
        <w:rPr>
          <w:sz w:val="20"/>
          <w:szCs w:val="20"/>
          <w:lang w:val="en-US"/>
        </w:rPr>
        <w:t xml:space="preserve"> to </w:t>
      </w:r>
      <w:r w:rsidR="00A931B8" w:rsidRPr="00A931B8">
        <w:rPr>
          <w:rFonts w:eastAsia="Aptos"/>
          <w:sz w:val="20"/>
          <w:szCs w:val="20"/>
          <w:lang w:val="en-US"/>
        </w:rPr>
        <w:t>Hirschsprung-associated enterocolitis</w:t>
      </w:r>
      <w:r w:rsidRPr="00A931B8">
        <w:rPr>
          <w:sz w:val="20"/>
          <w:szCs w:val="20"/>
          <w:lang w:val="en-US"/>
        </w:rPr>
        <w:t xml:space="preserve"> status</w:t>
      </w:r>
    </w:p>
    <w:p w14:paraId="11A06EE0" w14:textId="77777777" w:rsidR="001362A0" w:rsidRPr="00A931B8" w:rsidRDefault="001362A0" w:rsidP="001362A0">
      <w:pPr>
        <w:rPr>
          <w:rFonts w:eastAsia="Aptos"/>
          <w:sz w:val="20"/>
          <w:szCs w:val="20"/>
          <w:lang w:val="en-US"/>
        </w:rPr>
      </w:pPr>
    </w:p>
    <w:tbl>
      <w:tblPr>
        <w:tblStyle w:val="TabloKlavuzu22"/>
        <w:tblW w:w="6072" w:type="pct"/>
        <w:tblInd w:w="-971" w:type="dxa"/>
        <w:tblLook w:val="04A0" w:firstRow="1" w:lastRow="0" w:firstColumn="1" w:lastColumn="0" w:noHBand="0" w:noVBand="1"/>
      </w:tblPr>
      <w:tblGrid>
        <w:gridCol w:w="5503"/>
        <w:gridCol w:w="1699"/>
        <w:gridCol w:w="1565"/>
        <w:gridCol w:w="1492"/>
        <w:gridCol w:w="746"/>
      </w:tblGrid>
      <w:tr w:rsidR="001362A0" w:rsidRPr="00A931B8" w14:paraId="1B6A10CA" w14:textId="77777777" w:rsidTr="00B33CF6">
        <w:trPr>
          <w:trHeight w:val="522"/>
        </w:trPr>
        <w:tc>
          <w:tcPr>
            <w:tcW w:w="2500" w:type="pct"/>
            <w:vAlign w:val="center"/>
            <w:hideMark/>
          </w:tcPr>
          <w:p w14:paraId="52CA5081" w14:textId="77777777" w:rsidR="001362A0" w:rsidRPr="00A931B8" w:rsidRDefault="001362A0" w:rsidP="00B33CF6">
            <w:pPr>
              <w:spacing w:before="120" w:after="120"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2" w:type="pct"/>
            <w:vAlign w:val="center"/>
            <w:hideMark/>
          </w:tcPr>
          <w:p w14:paraId="367F497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HAEC+ (n=14)</w:t>
            </w:r>
          </w:p>
        </w:tc>
        <w:tc>
          <w:tcPr>
            <w:tcW w:w="711" w:type="pct"/>
            <w:vAlign w:val="center"/>
            <w:hideMark/>
          </w:tcPr>
          <w:p w14:paraId="4C333E7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HAEC- (n=20)</w:t>
            </w:r>
          </w:p>
        </w:tc>
        <w:tc>
          <w:tcPr>
            <w:tcW w:w="678" w:type="pct"/>
            <w:vAlign w:val="center"/>
            <w:hideMark/>
          </w:tcPr>
          <w:p w14:paraId="64EF3C75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Total (n=34)</w:t>
            </w:r>
          </w:p>
        </w:tc>
        <w:tc>
          <w:tcPr>
            <w:tcW w:w="339" w:type="pct"/>
            <w:vAlign w:val="center"/>
            <w:hideMark/>
          </w:tcPr>
          <w:p w14:paraId="48EF325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1362A0" w:rsidRPr="00A931B8" w14:paraId="731DCF6B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4F12D42C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Sex (male) (n, %) *</w:t>
            </w:r>
          </w:p>
        </w:tc>
        <w:tc>
          <w:tcPr>
            <w:tcW w:w="772" w:type="pct"/>
            <w:vAlign w:val="center"/>
          </w:tcPr>
          <w:p w14:paraId="20627E11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12 (85.7)</w:t>
            </w:r>
          </w:p>
        </w:tc>
        <w:tc>
          <w:tcPr>
            <w:tcW w:w="711" w:type="pct"/>
            <w:noWrap/>
            <w:vAlign w:val="center"/>
          </w:tcPr>
          <w:p w14:paraId="7D8B2318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13 (65)</w:t>
            </w:r>
          </w:p>
        </w:tc>
        <w:tc>
          <w:tcPr>
            <w:tcW w:w="678" w:type="pct"/>
            <w:noWrap/>
            <w:vAlign w:val="center"/>
          </w:tcPr>
          <w:p w14:paraId="5DCE5683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35 (72.9)</w:t>
            </w:r>
          </w:p>
        </w:tc>
        <w:tc>
          <w:tcPr>
            <w:tcW w:w="339" w:type="pct"/>
            <w:noWrap/>
            <w:vAlign w:val="center"/>
          </w:tcPr>
          <w:p w14:paraId="4FD9D71A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0.404</w:t>
            </w:r>
          </w:p>
        </w:tc>
      </w:tr>
      <w:tr w:rsidR="001362A0" w:rsidRPr="00A931B8" w14:paraId="0EE5AA5A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59AB26F1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Age at presentation (days) 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</w:tcPr>
          <w:p w14:paraId="1601DB1F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240.36±355.29</w:t>
            </w:r>
          </w:p>
        </w:tc>
        <w:tc>
          <w:tcPr>
            <w:tcW w:w="711" w:type="pct"/>
            <w:noWrap/>
            <w:vAlign w:val="center"/>
          </w:tcPr>
          <w:p w14:paraId="603FF97E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338.1±758.74</w:t>
            </w:r>
          </w:p>
        </w:tc>
        <w:tc>
          <w:tcPr>
            <w:tcW w:w="678" w:type="pct"/>
            <w:noWrap/>
            <w:vAlign w:val="center"/>
          </w:tcPr>
          <w:p w14:paraId="115350AF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297.85±619.33</w:t>
            </w:r>
          </w:p>
        </w:tc>
        <w:tc>
          <w:tcPr>
            <w:tcW w:w="339" w:type="pct"/>
            <w:noWrap/>
            <w:vAlign w:val="center"/>
          </w:tcPr>
          <w:p w14:paraId="444B115B" w14:textId="77777777" w:rsidR="001362A0" w:rsidRPr="00A931B8" w:rsidRDefault="001362A0" w:rsidP="00B33CF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>0.687</w:t>
            </w:r>
          </w:p>
        </w:tc>
      </w:tr>
      <w:tr w:rsidR="001362A0" w:rsidRPr="00A931B8" w14:paraId="2948E081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1BC4ED74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Delayed meconium passage (n, %) *</w:t>
            </w:r>
          </w:p>
        </w:tc>
        <w:tc>
          <w:tcPr>
            <w:tcW w:w="772" w:type="pct"/>
            <w:vAlign w:val="center"/>
          </w:tcPr>
          <w:p w14:paraId="6CD63BCD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7 (50)</w:t>
            </w:r>
          </w:p>
        </w:tc>
        <w:tc>
          <w:tcPr>
            <w:tcW w:w="711" w:type="pct"/>
            <w:noWrap/>
            <w:vAlign w:val="center"/>
          </w:tcPr>
          <w:p w14:paraId="71C11E4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10 (50)</w:t>
            </w:r>
          </w:p>
        </w:tc>
        <w:tc>
          <w:tcPr>
            <w:tcW w:w="678" w:type="pct"/>
            <w:noWrap/>
            <w:vAlign w:val="center"/>
          </w:tcPr>
          <w:p w14:paraId="18B499B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17 (50)</w:t>
            </w:r>
          </w:p>
        </w:tc>
        <w:tc>
          <w:tcPr>
            <w:tcW w:w="339" w:type="pct"/>
            <w:noWrap/>
            <w:vAlign w:val="center"/>
          </w:tcPr>
          <w:p w14:paraId="6378B872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1.000</w:t>
            </w:r>
          </w:p>
        </w:tc>
      </w:tr>
      <w:tr w:rsidR="001362A0" w:rsidRPr="00A931B8" w14:paraId="2CE941B9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6BD98EB3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Vomiting (n, %) *</w:t>
            </w:r>
          </w:p>
        </w:tc>
        <w:tc>
          <w:tcPr>
            <w:tcW w:w="772" w:type="pct"/>
            <w:vAlign w:val="center"/>
          </w:tcPr>
          <w:p w14:paraId="14446111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8 (57.1)</w:t>
            </w:r>
          </w:p>
        </w:tc>
        <w:tc>
          <w:tcPr>
            <w:tcW w:w="711" w:type="pct"/>
            <w:noWrap/>
            <w:vAlign w:val="center"/>
          </w:tcPr>
          <w:p w14:paraId="1E4C7C34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9 (45)</w:t>
            </w:r>
          </w:p>
        </w:tc>
        <w:tc>
          <w:tcPr>
            <w:tcW w:w="678" w:type="pct"/>
            <w:noWrap/>
            <w:vAlign w:val="center"/>
          </w:tcPr>
          <w:p w14:paraId="7745A51D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17 (50)</w:t>
            </w:r>
          </w:p>
        </w:tc>
        <w:tc>
          <w:tcPr>
            <w:tcW w:w="339" w:type="pct"/>
            <w:noWrap/>
            <w:vAlign w:val="center"/>
          </w:tcPr>
          <w:p w14:paraId="45DC3BA7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0.727</w:t>
            </w:r>
          </w:p>
        </w:tc>
      </w:tr>
      <w:tr w:rsidR="001362A0" w:rsidRPr="00A931B8" w14:paraId="0ED54F86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0B8B17B3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Abdominal distension (n, %) *</w:t>
            </w:r>
          </w:p>
        </w:tc>
        <w:tc>
          <w:tcPr>
            <w:tcW w:w="772" w:type="pct"/>
            <w:vAlign w:val="center"/>
          </w:tcPr>
          <w:p w14:paraId="7218D80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8 (57.1)</w:t>
            </w:r>
          </w:p>
        </w:tc>
        <w:tc>
          <w:tcPr>
            <w:tcW w:w="711" w:type="pct"/>
            <w:noWrap/>
            <w:vAlign w:val="center"/>
          </w:tcPr>
          <w:p w14:paraId="3E25B3D5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12 (60)</w:t>
            </w:r>
          </w:p>
        </w:tc>
        <w:tc>
          <w:tcPr>
            <w:tcW w:w="678" w:type="pct"/>
            <w:noWrap/>
            <w:vAlign w:val="center"/>
          </w:tcPr>
          <w:p w14:paraId="4770B9E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20 (58.8)</w:t>
            </w:r>
          </w:p>
        </w:tc>
        <w:tc>
          <w:tcPr>
            <w:tcW w:w="339" w:type="pct"/>
            <w:noWrap/>
            <w:vAlign w:val="center"/>
          </w:tcPr>
          <w:p w14:paraId="4A99F192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1.000</w:t>
            </w:r>
          </w:p>
        </w:tc>
      </w:tr>
      <w:tr w:rsidR="001362A0" w:rsidRPr="00A931B8" w14:paraId="17376CFA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28588738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Constipation (n, %) *</w:t>
            </w:r>
          </w:p>
        </w:tc>
        <w:tc>
          <w:tcPr>
            <w:tcW w:w="772" w:type="pct"/>
            <w:vAlign w:val="center"/>
          </w:tcPr>
          <w:p w14:paraId="67484A61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 (7.1)</w:t>
            </w:r>
          </w:p>
        </w:tc>
        <w:tc>
          <w:tcPr>
            <w:tcW w:w="711" w:type="pct"/>
            <w:noWrap/>
            <w:vAlign w:val="center"/>
          </w:tcPr>
          <w:p w14:paraId="5B5A5FAD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9 (45)</w:t>
            </w:r>
          </w:p>
        </w:tc>
        <w:tc>
          <w:tcPr>
            <w:tcW w:w="678" w:type="pct"/>
            <w:noWrap/>
            <w:vAlign w:val="center"/>
          </w:tcPr>
          <w:p w14:paraId="35155407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10 (29.4)</w:t>
            </w:r>
          </w:p>
        </w:tc>
        <w:tc>
          <w:tcPr>
            <w:tcW w:w="339" w:type="pct"/>
            <w:noWrap/>
            <w:vAlign w:val="center"/>
          </w:tcPr>
          <w:p w14:paraId="0E4564C4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0.017</w:t>
            </w:r>
          </w:p>
        </w:tc>
      </w:tr>
      <w:tr w:rsidR="001362A0" w:rsidRPr="00A931B8" w14:paraId="56E15C15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445C6805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Stoma formation (present) (n, %) *</w:t>
            </w:r>
          </w:p>
        </w:tc>
        <w:tc>
          <w:tcPr>
            <w:tcW w:w="772" w:type="pct"/>
            <w:vAlign w:val="center"/>
          </w:tcPr>
          <w:p w14:paraId="280F604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11 (78.6)</w:t>
            </w:r>
          </w:p>
        </w:tc>
        <w:tc>
          <w:tcPr>
            <w:tcW w:w="711" w:type="pct"/>
            <w:noWrap/>
            <w:vAlign w:val="center"/>
          </w:tcPr>
          <w:p w14:paraId="70EE7E07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10 (50)</w:t>
            </w:r>
          </w:p>
        </w:tc>
        <w:tc>
          <w:tcPr>
            <w:tcW w:w="678" w:type="pct"/>
            <w:noWrap/>
            <w:vAlign w:val="center"/>
          </w:tcPr>
          <w:p w14:paraId="0865CFC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21 (61.8)</w:t>
            </w:r>
          </w:p>
        </w:tc>
        <w:tc>
          <w:tcPr>
            <w:tcW w:w="339" w:type="pct"/>
            <w:noWrap/>
            <w:vAlign w:val="center"/>
          </w:tcPr>
          <w:p w14:paraId="44DFC04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0.091</w:t>
            </w:r>
          </w:p>
        </w:tc>
      </w:tr>
      <w:tr w:rsidR="001362A0" w:rsidRPr="00A931B8" w14:paraId="01D83BA2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1E96731D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Age at definitive surgery (months) 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</w:tcPr>
          <w:p w14:paraId="0CCADF14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12.97</w:t>
            </w:r>
            <w:r w:rsidRPr="00A931B8">
              <w:rPr>
                <w:bCs/>
                <w:sz w:val="20"/>
                <w:szCs w:val="20"/>
                <w:lang w:val="en-US"/>
              </w:rPr>
              <w:t>±11.26</w:t>
            </w:r>
          </w:p>
        </w:tc>
        <w:tc>
          <w:tcPr>
            <w:tcW w:w="711" w:type="pct"/>
            <w:noWrap/>
            <w:vAlign w:val="center"/>
          </w:tcPr>
          <w:p w14:paraId="5DDCB6F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18.97</w:t>
            </w:r>
            <w:r w:rsidRPr="00A931B8">
              <w:rPr>
                <w:bCs/>
                <w:sz w:val="20"/>
                <w:szCs w:val="20"/>
                <w:lang w:val="en-US"/>
              </w:rPr>
              <w:t>±29.42</w:t>
            </w:r>
          </w:p>
        </w:tc>
        <w:tc>
          <w:tcPr>
            <w:tcW w:w="678" w:type="pct"/>
            <w:noWrap/>
            <w:vAlign w:val="center"/>
          </w:tcPr>
          <w:p w14:paraId="7763099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18.24</w:t>
            </w:r>
            <w:r w:rsidRPr="00A931B8">
              <w:rPr>
                <w:bCs/>
                <w:sz w:val="20"/>
                <w:szCs w:val="20"/>
                <w:lang w:val="en-US"/>
              </w:rPr>
              <w:t>±25.9</w:t>
            </w:r>
          </w:p>
        </w:tc>
        <w:tc>
          <w:tcPr>
            <w:tcW w:w="339" w:type="pct"/>
            <w:noWrap/>
            <w:vAlign w:val="center"/>
          </w:tcPr>
          <w:p w14:paraId="2D75234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0.155</w:t>
            </w:r>
          </w:p>
        </w:tc>
      </w:tr>
      <w:tr w:rsidR="001362A0" w:rsidRPr="00A931B8" w14:paraId="27CB9876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5F747697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Follow-up duration (years) 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</w:tcPr>
          <w:p w14:paraId="11F6564D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4.03±2.07</w:t>
            </w:r>
          </w:p>
        </w:tc>
        <w:tc>
          <w:tcPr>
            <w:tcW w:w="711" w:type="pct"/>
            <w:noWrap/>
            <w:vAlign w:val="center"/>
          </w:tcPr>
          <w:p w14:paraId="3259917A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5.33±2.91</w:t>
            </w:r>
          </w:p>
        </w:tc>
        <w:tc>
          <w:tcPr>
            <w:tcW w:w="678" w:type="pct"/>
            <w:noWrap/>
            <w:vAlign w:val="center"/>
          </w:tcPr>
          <w:p w14:paraId="312ED66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4.79±2.64</w:t>
            </w:r>
          </w:p>
        </w:tc>
        <w:tc>
          <w:tcPr>
            <w:tcW w:w="339" w:type="pct"/>
            <w:noWrap/>
            <w:vAlign w:val="center"/>
          </w:tcPr>
          <w:p w14:paraId="6CE4FD05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0.142</w:t>
            </w:r>
          </w:p>
        </w:tc>
      </w:tr>
      <w:tr w:rsidR="001362A0" w:rsidRPr="00A931B8" w14:paraId="01030170" w14:textId="77777777" w:rsidTr="00B33CF6">
        <w:trPr>
          <w:trHeight w:hRule="exact" w:val="454"/>
        </w:trPr>
        <w:tc>
          <w:tcPr>
            <w:tcW w:w="2500" w:type="pct"/>
            <w:vAlign w:val="center"/>
            <w:hideMark/>
          </w:tcPr>
          <w:p w14:paraId="48A4B312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Resected Bowel Length (cm) 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  <w:hideMark/>
          </w:tcPr>
          <w:p w14:paraId="717688F6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22.07±11.54</w:t>
            </w:r>
          </w:p>
        </w:tc>
        <w:tc>
          <w:tcPr>
            <w:tcW w:w="711" w:type="pct"/>
            <w:noWrap/>
            <w:vAlign w:val="center"/>
            <w:hideMark/>
          </w:tcPr>
          <w:p w14:paraId="6B7133E2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17.15±9.28</w:t>
            </w:r>
          </w:p>
        </w:tc>
        <w:tc>
          <w:tcPr>
            <w:tcW w:w="678" w:type="pct"/>
            <w:noWrap/>
            <w:vAlign w:val="center"/>
            <w:hideMark/>
          </w:tcPr>
          <w:p w14:paraId="70E0624E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19.24±10.42</w:t>
            </w:r>
          </w:p>
        </w:tc>
        <w:tc>
          <w:tcPr>
            <w:tcW w:w="339" w:type="pct"/>
            <w:noWrap/>
            <w:vAlign w:val="center"/>
            <w:hideMark/>
          </w:tcPr>
          <w:p w14:paraId="6B283841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0.183</w:t>
            </w:r>
          </w:p>
        </w:tc>
      </w:tr>
      <w:tr w:rsidR="001362A0" w:rsidRPr="00A931B8" w14:paraId="26B151C7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6B5AE7D9" w14:textId="77777777" w:rsidR="001362A0" w:rsidRPr="00A931B8" w:rsidRDefault="001362A0" w:rsidP="00B33CF6">
            <w:pPr>
              <w:spacing w:line="360" w:lineRule="auto"/>
              <w:rPr>
                <w:bCs/>
                <w:sz w:val="20"/>
                <w:szCs w:val="20"/>
                <w:lang w:val="en-US"/>
              </w:rPr>
            </w:pPr>
            <w:r w:rsidRPr="00A931B8">
              <w:rPr>
                <w:bCs/>
                <w:sz w:val="20"/>
                <w:szCs w:val="20"/>
                <w:lang w:val="en-US"/>
              </w:rPr>
              <w:t xml:space="preserve">The Length of </w:t>
            </w:r>
            <w:proofErr w:type="spellStart"/>
            <w:r w:rsidRPr="00A931B8">
              <w:rPr>
                <w:bCs/>
                <w:sz w:val="20"/>
                <w:szCs w:val="20"/>
                <w:lang w:val="en-US"/>
              </w:rPr>
              <w:t>Aganglionic</w:t>
            </w:r>
            <w:proofErr w:type="spellEnd"/>
            <w:r w:rsidRPr="00A931B8">
              <w:rPr>
                <w:bCs/>
                <w:sz w:val="20"/>
                <w:szCs w:val="20"/>
                <w:lang w:val="en-US"/>
              </w:rPr>
              <w:t xml:space="preserve"> Segment (cm) </w:t>
            </w: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</w:tcPr>
          <w:p w14:paraId="197D5896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17.27±12.04</w:t>
            </w:r>
          </w:p>
        </w:tc>
        <w:tc>
          <w:tcPr>
            <w:tcW w:w="711" w:type="pct"/>
            <w:noWrap/>
            <w:vAlign w:val="center"/>
          </w:tcPr>
          <w:p w14:paraId="78BC2EF5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8.78±8.56</w:t>
            </w:r>
          </w:p>
        </w:tc>
        <w:tc>
          <w:tcPr>
            <w:tcW w:w="678" w:type="pct"/>
            <w:noWrap/>
            <w:vAlign w:val="center"/>
          </w:tcPr>
          <w:p w14:paraId="66625D3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12.38±10.87</w:t>
            </w:r>
          </w:p>
        </w:tc>
        <w:tc>
          <w:tcPr>
            <w:tcW w:w="339" w:type="pct"/>
            <w:noWrap/>
            <w:vAlign w:val="center"/>
          </w:tcPr>
          <w:p w14:paraId="66A01778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0.018</w:t>
            </w:r>
          </w:p>
        </w:tc>
      </w:tr>
      <w:tr w:rsidR="001362A0" w:rsidRPr="00A931B8" w14:paraId="7B37F7D1" w14:textId="77777777" w:rsidTr="00B33CF6">
        <w:trPr>
          <w:trHeight w:hRule="exact" w:val="454"/>
        </w:trPr>
        <w:tc>
          <w:tcPr>
            <w:tcW w:w="2500" w:type="pct"/>
            <w:vAlign w:val="center"/>
          </w:tcPr>
          <w:p w14:paraId="7B9B0A71" w14:textId="77777777" w:rsidR="001362A0" w:rsidRPr="00A931B8" w:rsidRDefault="001362A0" w:rsidP="00B33CF6">
            <w:pPr>
              <w:spacing w:line="36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Aganglionic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 xml:space="preserve"> Segment/</w:t>
            </w:r>
            <w:r w:rsidRPr="00A931B8">
              <w:rPr>
                <w:bCs/>
                <w:sz w:val="20"/>
                <w:szCs w:val="20"/>
                <w:lang w:val="en-US"/>
              </w:rPr>
              <w:t>Resected bowel length ratio (</w:t>
            </w:r>
            <w:proofErr w:type="spellStart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) **</w:t>
            </w:r>
          </w:p>
        </w:tc>
        <w:tc>
          <w:tcPr>
            <w:tcW w:w="772" w:type="pct"/>
            <w:vAlign w:val="center"/>
          </w:tcPr>
          <w:p w14:paraId="05EC9860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0.82 (0.72±0.21)</w:t>
            </w:r>
          </w:p>
        </w:tc>
        <w:tc>
          <w:tcPr>
            <w:tcW w:w="711" w:type="pct"/>
            <w:noWrap/>
            <w:vAlign w:val="center"/>
          </w:tcPr>
          <w:p w14:paraId="609E4FFF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0.57 (0.48±0.28)</w:t>
            </w:r>
          </w:p>
        </w:tc>
        <w:tc>
          <w:tcPr>
            <w:tcW w:w="678" w:type="pct"/>
            <w:noWrap/>
            <w:vAlign w:val="center"/>
          </w:tcPr>
          <w:p w14:paraId="346FE186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Cs/>
                <w:color w:val="000000"/>
                <w:sz w:val="20"/>
                <w:szCs w:val="20"/>
                <w:lang w:val="en-US"/>
              </w:rPr>
              <w:t>0.6 (0.58±0.28)</w:t>
            </w:r>
          </w:p>
        </w:tc>
        <w:tc>
          <w:tcPr>
            <w:tcW w:w="339" w:type="pct"/>
            <w:noWrap/>
            <w:vAlign w:val="center"/>
          </w:tcPr>
          <w:p w14:paraId="432B9D22" w14:textId="77777777" w:rsidR="001362A0" w:rsidRPr="00A931B8" w:rsidRDefault="001362A0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A931B8">
              <w:rPr>
                <w:b/>
                <w:color w:val="000000"/>
                <w:sz w:val="20"/>
                <w:szCs w:val="20"/>
                <w:lang w:val="en-US"/>
              </w:rPr>
              <w:t>0.009</w:t>
            </w:r>
          </w:p>
        </w:tc>
      </w:tr>
    </w:tbl>
    <w:p w14:paraId="2D2AFE4B" w14:textId="77777777" w:rsidR="001362A0" w:rsidRPr="00A931B8" w:rsidRDefault="001362A0" w:rsidP="001362A0">
      <w:pPr>
        <w:spacing w:before="120" w:after="120"/>
        <w:jc w:val="both"/>
        <w:rPr>
          <w:rFonts w:eastAsia="Aptos"/>
          <w:i/>
          <w:iCs/>
          <w:sz w:val="20"/>
          <w:szCs w:val="20"/>
          <w:lang w:val="en-US"/>
          <w:rPrChange w:id="0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</w:pPr>
    </w:p>
    <w:p w14:paraId="656A5657" w14:textId="77777777" w:rsidR="001362A0" w:rsidRPr="00A931B8" w:rsidRDefault="001362A0" w:rsidP="001362A0">
      <w:pPr>
        <w:spacing w:before="120" w:after="120"/>
        <w:ind w:left="-680" w:right="-794"/>
        <w:jc w:val="both"/>
        <w:rPr>
          <w:rFonts w:eastAsia="Aptos"/>
          <w:i/>
          <w:iCs/>
          <w:sz w:val="20"/>
          <w:szCs w:val="20"/>
          <w:lang w:val="en-US"/>
          <w:rPrChange w:id="1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</w:pPr>
      <w:r w:rsidRPr="00A931B8">
        <w:rPr>
          <w:rFonts w:eastAsia="Aptos"/>
          <w:i/>
          <w:iCs/>
          <w:sz w:val="20"/>
          <w:szCs w:val="20"/>
          <w:lang w:val="en-US"/>
          <w:rPrChange w:id="2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  <w:t xml:space="preserve">*= </w:t>
      </w:r>
      <w:r w:rsidRPr="00A931B8">
        <w:rPr>
          <w:i/>
          <w:iCs/>
          <w:sz w:val="20"/>
          <w:szCs w:val="20"/>
          <w:lang w:val="en-US"/>
          <w:rPrChange w:id="3" w:author="Rbusra Usta" w:date="2026-07-30T21:25:00Z" w16du:dateUtc="2026-07-30T18:25:00Z">
            <w:rPr>
              <w:i/>
              <w:iCs/>
              <w:sz w:val="22"/>
              <w:szCs w:val="22"/>
              <w:lang w:val="en-US"/>
            </w:rPr>
          </w:rPrChange>
        </w:rPr>
        <w:t xml:space="preserve">Chi-square test, **= </w:t>
      </w:r>
      <w:r w:rsidRPr="00A931B8">
        <w:rPr>
          <w:rFonts w:eastAsia="Aptos"/>
          <w:i/>
          <w:iCs/>
          <w:sz w:val="20"/>
          <w:szCs w:val="20"/>
          <w:lang w:val="en-US"/>
          <w:rPrChange w:id="4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  <w:t>Mann Whitney U test</w:t>
      </w:r>
    </w:p>
    <w:p w14:paraId="3B7F324E" w14:textId="77777777" w:rsidR="001362A0" w:rsidRPr="00A931B8" w:rsidRDefault="001362A0" w:rsidP="001362A0">
      <w:pPr>
        <w:spacing w:after="480"/>
        <w:ind w:left="-680" w:right="-794"/>
        <w:jc w:val="both"/>
        <w:rPr>
          <w:rFonts w:eastAsia="Aptos"/>
          <w:i/>
          <w:iCs/>
          <w:sz w:val="20"/>
          <w:szCs w:val="20"/>
          <w:lang w:val="en-US"/>
          <w:rPrChange w:id="5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</w:pPr>
      <w:r w:rsidRPr="00A931B8">
        <w:rPr>
          <w:rFonts w:eastAsia="Aptos"/>
          <w:i/>
          <w:iCs/>
          <w:sz w:val="20"/>
          <w:szCs w:val="20"/>
          <w:lang w:val="en-US"/>
          <w:rPrChange w:id="6" w:author="Rbusra Usta" w:date="2026-07-30T21:25:00Z" w16du:dateUtc="2026-07-30T18:25:00Z">
            <w:rPr>
              <w:rFonts w:eastAsia="Aptos"/>
              <w:i/>
              <w:iCs/>
              <w:sz w:val="22"/>
              <w:szCs w:val="22"/>
              <w:lang w:val="en-US"/>
            </w:rPr>
          </w:rPrChange>
        </w:rPr>
        <w:t>HAEC+: Patients with Hirschsprung-associated enterocolitis, HAEC-: Patients without Hirschsprung-associated enterocolitis</w:t>
      </w:r>
    </w:p>
    <w:p w14:paraId="0BC712B3" w14:textId="77777777" w:rsidR="009F0BE2" w:rsidRPr="00A931B8" w:rsidRDefault="009F0BE2">
      <w:pPr>
        <w:rPr>
          <w:sz w:val="20"/>
          <w:szCs w:val="20"/>
          <w:rPrChange w:id="7" w:author="Rbusra Usta" w:date="2026-07-30T21:25:00Z" w16du:dateUtc="2026-07-30T18:25:00Z">
            <w:rPr/>
          </w:rPrChange>
        </w:rPr>
      </w:pPr>
    </w:p>
    <w:sectPr w:rsidR="009F0BE2" w:rsidRPr="00A93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Rbusra Usta">
    <w15:presenceInfo w15:providerId="Windows Live" w15:userId="b66ec5ef3054ac81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A0"/>
    <w:rsid w:val="00032F18"/>
    <w:rsid w:val="000F4301"/>
    <w:rsid w:val="001362A0"/>
    <w:rsid w:val="0069118C"/>
    <w:rsid w:val="006C4FAC"/>
    <w:rsid w:val="00961C9F"/>
    <w:rsid w:val="00985309"/>
    <w:rsid w:val="009F0BE2"/>
    <w:rsid w:val="00A4786A"/>
    <w:rsid w:val="00A54DF7"/>
    <w:rsid w:val="00A931B8"/>
    <w:rsid w:val="00AA3FC9"/>
    <w:rsid w:val="00B16557"/>
    <w:rsid w:val="00B51C20"/>
    <w:rsid w:val="00B56330"/>
    <w:rsid w:val="00F60EA3"/>
    <w:rsid w:val="00F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D9C3D5"/>
  <w15:chartTrackingRefBased/>
  <w15:docId w15:val="{358666FC-436C-C849-A4C4-37E4B8AC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2A0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54DF7"/>
    <w:pPr>
      <w:keepNext/>
      <w:keepLines/>
      <w:spacing w:before="360" w:after="80" w:line="360" w:lineRule="auto"/>
      <w:ind w:firstLine="709"/>
      <w:jc w:val="both"/>
      <w:outlineLvl w:val="0"/>
    </w:pPr>
    <w:rPr>
      <w:rFonts w:eastAsiaTheme="majorEastAsia" w:cstheme="majorBidi"/>
      <w:b/>
      <w:color w:val="000000" w:themeColor="text1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A54DF7"/>
    <w:pPr>
      <w:keepNext/>
      <w:keepLines/>
      <w:spacing w:before="160" w:after="80" w:line="360" w:lineRule="auto"/>
      <w:ind w:firstLine="709"/>
      <w:jc w:val="both"/>
      <w:outlineLvl w:val="1"/>
    </w:pPr>
    <w:rPr>
      <w:rFonts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62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62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62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62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62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62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62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4DF7"/>
    <w:rPr>
      <w:rFonts w:ascii="Times New Roman" w:eastAsiaTheme="majorEastAsia" w:hAnsi="Times New Roman" w:cstheme="majorBidi"/>
      <w:b/>
      <w:color w:val="000000" w:themeColor="text1"/>
      <w:kern w:val="0"/>
      <w:sz w:val="40"/>
      <w:szCs w:val="4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A54DF7"/>
    <w:rPr>
      <w:rFonts w:ascii="Times New Roman" w:eastAsiaTheme="majorEastAsia" w:hAnsi="Times New Roman" w:cstheme="majorBidi"/>
      <w:color w:val="0F4761" w:themeColor="accent1" w:themeShade="BF"/>
      <w:kern w:val="0"/>
      <w:sz w:val="32"/>
      <w:szCs w:val="32"/>
      <w14:ligatures w14:val="none"/>
    </w:rPr>
  </w:style>
  <w:style w:type="paragraph" w:customStyle="1" w:styleId="A1">
    <w:name w:val="A1"/>
    <w:basedOn w:val="Normal"/>
    <w:autoRedefine/>
    <w:qFormat/>
    <w:rsid w:val="00A54DF7"/>
    <w:pPr>
      <w:spacing w:after="240" w:line="360" w:lineRule="auto"/>
      <w:jc w:val="center"/>
    </w:pPr>
    <w:rPr>
      <w:b/>
      <w:color w:val="000000" w:themeColor="text1"/>
      <w:sz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6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62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62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62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62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62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62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62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6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62A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36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62A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362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62A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362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6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62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62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362A0"/>
    <w:pPr>
      <w:autoSpaceDE w:val="0"/>
      <w:autoSpaceDN w:val="0"/>
      <w:adjustRightInd w:val="0"/>
    </w:pPr>
    <w:rPr>
      <w:rFonts w:ascii="Times New Roman" w:eastAsia="PMingLiU" w:hAnsi="Times New Roman" w:cs="Times New Roman"/>
      <w:color w:val="000000"/>
      <w:kern w:val="0"/>
      <w14:ligatures w14:val="none"/>
    </w:rPr>
  </w:style>
  <w:style w:type="table" w:customStyle="1" w:styleId="TabloKlavuzu22">
    <w:name w:val="Tablo Kılavuzu22"/>
    <w:basedOn w:val="NormalTablo"/>
    <w:next w:val="TabloKlavuzu"/>
    <w:uiPriority w:val="39"/>
    <w:rsid w:val="001362A0"/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36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A931B8"/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Rbusra Usta</dc:creator>
  <cp:keywords/>
  <dc:description/>
  <cp:lastModifiedBy>Rbusra Usta</cp:lastModifiedBy>
  <cp:revision>2</cp:revision>
  <dcterms:created xsi:type="dcterms:W3CDTF">2026-07-30T18:25:00Z</dcterms:created>
  <dcterms:modified xsi:type="dcterms:W3CDTF">2026-07-30T18:25:00Z</dcterms:modified>
</cp:coreProperties>
</file>