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402F9">
      <w:pPr>
        <w:jc w:val="center"/>
        <w:rPr>
          <w:rFonts w:hint="default"/>
          <w:highlight w:val="none"/>
          <w:lang w:val="en-US" w:eastAsia="zh-CN"/>
        </w:rPr>
      </w:pPr>
      <w:r>
        <w:rPr>
          <w:rFonts w:hint="default"/>
          <w:highlight w:val="none"/>
          <w:lang w:val="en-US" w:eastAsia="zh-CN"/>
        </w:rPr>
        <w:drawing>
          <wp:inline distT="0" distB="0" distL="114300" distR="114300">
            <wp:extent cx="6199505" cy="4649470"/>
            <wp:effectExtent l="0" t="0" r="1270" b="8255"/>
            <wp:docPr id="7" name="图片 7" descr="分子对接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分子对接_05(1)"/>
                    <pic:cNvPicPr>
                      <a:picLocks noChangeAspect="1"/>
                    </pic:cNvPicPr>
                  </pic:nvPicPr>
                  <pic:blipFill>
                    <a:blip r:embed="rId5"/>
                    <a:stretch>
                      <a:fillRect/>
                    </a:stretch>
                  </pic:blipFill>
                  <pic:spPr>
                    <a:xfrm>
                      <a:off x="0" y="0"/>
                      <a:ext cx="6199505" cy="4649470"/>
                    </a:xfrm>
                    <a:prstGeom prst="rect">
                      <a:avLst/>
                    </a:prstGeom>
                  </pic:spPr>
                </pic:pic>
              </a:graphicData>
            </a:graphic>
          </wp:inline>
        </w:drawing>
      </w:r>
    </w:p>
    <w:p w14:paraId="5DC7D5AD">
      <w:pPr>
        <w:ind w:left="0" w:leftChars="0" w:firstLine="0" w:firstLineChars="0"/>
        <w:jc w:val="both"/>
        <w:rPr>
          <w:rFonts w:hint="default"/>
          <w:sz w:val="21"/>
          <w:szCs w:val="21"/>
          <w:highlight w:val="none"/>
          <w:lang w:val="en-US" w:eastAsia="zh-CN"/>
        </w:rPr>
      </w:pPr>
      <w:r>
        <w:rPr>
          <w:rFonts w:hint="default"/>
          <w:b/>
          <w:bCs/>
          <w:sz w:val="21"/>
          <w:szCs w:val="21"/>
          <w:highlight w:val="none"/>
          <w:lang w:val="en-US" w:eastAsia="zh-CN"/>
        </w:rPr>
        <w:t xml:space="preserve">Fig </w:t>
      </w:r>
      <w:r>
        <w:rPr>
          <w:rFonts w:hint="eastAsia"/>
          <w:b/>
          <w:bCs/>
          <w:sz w:val="21"/>
          <w:szCs w:val="21"/>
          <w:highlight w:val="none"/>
          <w:lang w:val="en-US" w:eastAsia="zh-CN"/>
        </w:rPr>
        <w:t>S1</w:t>
      </w:r>
      <w:r>
        <w:rPr>
          <w:rFonts w:hint="default"/>
          <w:b/>
          <w:bCs/>
          <w:sz w:val="21"/>
          <w:szCs w:val="21"/>
          <w:highlight w:val="none"/>
          <w:lang w:val="en-US" w:eastAsia="zh-CN"/>
        </w:rPr>
        <w:t xml:space="preserve"> Results of PMS herbal combination and compound-level analysis. </w:t>
      </w:r>
      <w:r>
        <w:rPr>
          <w:rFonts w:hint="default"/>
          <w:sz w:val="21"/>
          <w:szCs w:val="21"/>
          <w:highlight w:val="none"/>
          <w:lang w:val="en-US" w:eastAsia="zh-CN"/>
        </w:rPr>
        <w:t>A Herbal-level analysis extracted the herbal combination. B Compound-phenotype association network analysis (ARM) and compound-phenotype network analysis extracted 10 common compounds. C Structural network analysis: Nodes were divided into compound targets (upper layer) and phenotype-related genes (lower layer). Compound targets were represented by diamond-shaped nodes, and phenotype-related genes were represented by circular nodes. The lines between the upper and lower boxes represent the interactions between compound targets and phenotype-related genes. Phenotype-related genes were classified into more than ten categories according to the biological pathways they belong to.</w:t>
      </w:r>
    </w:p>
    <w:p w14:paraId="0A37FC6B">
      <w:pPr>
        <w:bidi w:val="0"/>
        <w:jc w:val="center"/>
        <w:rPr>
          <w:rFonts w:hint="default"/>
          <w:highlight w:val="none"/>
          <w:lang w:val="en-US" w:eastAsia="zh-CN"/>
        </w:rPr>
      </w:pPr>
      <w:r>
        <w:rPr>
          <w:rFonts w:hint="default"/>
          <w:highlight w:val="none"/>
          <w:lang w:val="en-US" w:eastAsia="zh-CN"/>
        </w:rPr>
        <w:drawing>
          <wp:inline distT="0" distB="0" distL="114300" distR="114300">
            <wp:extent cx="6188710" cy="4641215"/>
            <wp:effectExtent l="0" t="0" r="2540" b="6985"/>
            <wp:docPr id="8" name="图片 8" descr="分子对接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分子对接_06"/>
                    <pic:cNvPicPr>
                      <a:picLocks noChangeAspect="1"/>
                    </pic:cNvPicPr>
                  </pic:nvPicPr>
                  <pic:blipFill>
                    <a:blip r:embed="rId6"/>
                    <a:stretch>
                      <a:fillRect/>
                    </a:stretch>
                  </pic:blipFill>
                  <pic:spPr>
                    <a:xfrm>
                      <a:off x="0" y="0"/>
                      <a:ext cx="6188710" cy="4641215"/>
                    </a:xfrm>
                    <a:prstGeom prst="rect">
                      <a:avLst/>
                    </a:prstGeom>
                  </pic:spPr>
                </pic:pic>
              </a:graphicData>
            </a:graphic>
          </wp:inline>
        </w:drawing>
      </w:r>
    </w:p>
    <w:p w14:paraId="6FDB12CB">
      <w:pPr>
        <w:bidi w:val="0"/>
        <w:ind w:left="0" w:leftChars="0" w:firstLine="0" w:firstLineChars="0"/>
        <w:jc w:val="both"/>
        <w:rPr>
          <w:rFonts w:hint="default"/>
          <w:sz w:val="21"/>
          <w:szCs w:val="21"/>
          <w:highlight w:val="none"/>
          <w:lang w:val="en-US" w:eastAsia="zh-CN"/>
        </w:rPr>
      </w:pPr>
      <w:r>
        <w:rPr>
          <w:rFonts w:hint="default"/>
          <w:b/>
          <w:bCs/>
          <w:sz w:val="21"/>
          <w:szCs w:val="21"/>
          <w:highlight w:val="none"/>
          <w:lang w:val="en-US" w:eastAsia="zh-CN"/>
        </w:rPr>
        <w:t xml:space="preserve">Figure </w:t>
      </w:r>
      <w:r>
        <w:rPr>
          <w:rFonts w:hint="eastAsia"/>
          <w:b/>
          <w:bCs/>
          <w:sz w:val="21"/>
          <w:szCs w:val="21"/>
          <w:highlight w:val="none"/>
          <w:lang w:val="en-US" w:eastAsia="zh-CN"/>
        </w:rPr>
        <w:t>S2</w:t>
      </w:r>
      <w:r>
        <w:rPr>
          <w:rFonts w:hint="default"/>
          <w:b/>
          <w:bCs/>
          <w:sz w:val="21"/>
          <w:szCs w:val="21"/>
          <w:highlight w:val="none"/>
          <w:lang w:val="en-US" w:eastAsia="zh-CN"/>
        </w:rPr>
        <w:t xml:space="preserve"> Results of the analysis of the Anxiety herbal combination and compounds. </w:t>
      </w:r>
      <w:r>
        <w:rPr>
          <w:rFonts w:hint="default"/>
          <w:sz w:val="21"/>
          <w:szCs w:val="21"/>
          <w:highlight w:val="none"/>
          <w:lang w:val="en-US" w:eastAsia="zh-CN"/>
        </w:rPr>
        <w:t>A Herbal level analysis extracted the herbal combination. B Compound-phenotype association network analysis (ARM) and compound-phenotype network analysis identified five common compounds. C Structural network analysis: Nodes were divided into compound targets (upper layer) and phenotype-related genes (lower layer). Compound targets were represented by diamond-shaped nodes, and phenotype-related genes were represented by circular nodes. The lines between the upper and lower boxes represent the interactions between compound targets and phenotype-related genes. Phenotype-related genes were classified into more than ten categories according to the biological pathways they belong to.</w:t>
      </w:r>
    </w:p>
    <w:p w14:paraId="59D77154">
      <w:pPr>
        <w:jc w:val="center"/>
        <w:rPr>
          <w:rFonts w:hint="default"/>
          <w:highlight w:val="none"/>
          <w:lang w:val="en-US" w:eastAsia="zh-CN"/>
        </w:rPr>
      </w:pPr>
      <w:r>
        <w:rPr>
          <w:rFonts w:hint="default"/>
          <w:highlight w:val="none"/>
          <w:lang w:val="en-US" w:eastAsia="zh-CN"/>
        </w:rPr>
        <w:drawing>
          <wp:inline distT="0" distB="0" distL="114300" distR="114300">
            <wp:extent cx="6188710" cy="4641215"/>
            <wp:effectExtent l="0" t="0" r="2540" b="6985"/>
            <wp:docPr id="9" name="图片 9" descr="分子对接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分子对接_07"/>
                    <pic:cNvPicPr>
                      <a:picLocks noChangeAspect="1"/>
                    </pic:cNvPicPr>
                  </pic:nvPicPr>
                  <pic:blipFill>
                    <a:blip r:embed="rId7"/>
                    <a:stretch>
                      <a:fillRect/>
                    </a:stretch>
                  </pic:blipFill>
                  <pic:spPr>
                    <a:xfrm>
                      <a:off x="0" y="0"/>
                      <a:ext cx="6188710" cy="4641215"/>
                    </a:xfrm>
                    <a:prstGeom prst="rect">
                      <a:avLst/>
                    </a:prstGeom>
                  </pic:spPr>
                </pic:pic>
              </a:graphicData>
            </a:graphic>
          </wp:inline>
        </w:drawing>
      </w:r>
    </w:p>
    <w:p w14:paraId="22C30C5D">
      <w:pPr>
        <w:ind w:left="0" w:leftChars="0" w:firstLine="0" w:firstLineChars="0"/>
        <w:jc w:val="both"/>
        <w:rPr>
          <w:rFonts w:hint="default"/>
          <w:sz w:val="21"/>
          <w:szCs w:val="21"/>
          <w:highlight w:val="none"/>
          <w:lang w:val="en-US" w:eastAsia="zh-CN"/>
        </w:rPr>
      </w:pPr>
      <w:r>
        <w:rPr>
          <w:rFonts w:hint="default"/>
          <w:b/>
          <w:bCs/>
          <w:sz w:val="21"/>
          <w:szCs w:val="21"/>
          <w:highlight w:val="none"/>
          <w:lang w:val="en-US" w:eastAsia="zh-CN"/>
        </w:rPr>
        <w:t xml:space="preserve">Fig </w:t>
      </w:r>
      <w:r>
        <w:rPr>
          <w:rFonts w:hint="eastAsia"/>
          <w:b/>
          <w:bCs/>
          <w:sz w:val="21"/>
          <w:szCs w:val="21"/>
          <w:highlight w:val="none"/>
          <w:lang w:val="en-US" w:eastAsia="zh-CN"/>
        </w:rPr>
        <w:t>S3</w:t>
      </w:r>
      <w:r>
        <w:rPr>
          <w:rFonts w:hint="default"/>
          <w:b/>
          <w:bCs/>
          <w:sz w:val="21"/>
          <w:szCs w:val="21"/>
          <w:highlight w:val="none"/>
          <w:lang w:val="en-US" w:eastAsia="zh-CN"/>
        </w:rPr>
        <w:t xml:space="preserve"> Results of </w:t>
      </w:r>
      <w:r>
        <w:rPr>
          <w:rFonts w:hint="eastAsia"/>
          <w:b/>
          <w:bCs/>
          <w:sz w:val="21"/>
          <w:szCs w:val="21"/>
          <w:highlight w:val="none"/>
          <w:lang w:val="en-US" w:eastAsia="zh-CN"/>
        </w:rPr>
        <w:t>depression</w:t>
      </w:r>
      <w:r>
        <w:rPr>
          <w:rFonts w:hint="default"/>
          <w:b/>
          <w:bCs/>
          <w:sz w:val="21"/>
          <w:szCs w:val="21"/>
          <w:highlight w:val="none"/>
          <w:lang w:val="en-US" w:eastAsia="zh-CN"/>
        </w:rPr>
        <w:t xml:space="preserve"> herbal combination and compound-level analysis.</w:t>
      </w:r>
      <w:r>
        <w:rPr>
          <w:rFonts w:hint="eastAsia"/>
          <w:b/>
          <w:bCs/>
          <w:sz w:val="21"/>
          <w:szCs w:val="21"/>
          <w:highlight w:val="none"/>
          <w:lang w:val="en-US" w:eastAsia="zh-CN"/>
        </w:rPr>
        <w:t xml:space="preserve"> </w:t>
      </w:r>
      <w:r>
        <w:rPr>
          <w:rFonts w:hint="default"/>
          <w:sz w:val="21"/>
          <w:szCs w:val="21"/>
          <w:highlight w:val="none"/>
          <w:lang w:val="en-US" w:eastAsia="zh-CN"/>
        </w:rPr>
        <w:t>A Herbal-level analysis extracted the herbal combination. B Compound-phenotype association network analysis (ARM) and compound-phenotype network analysis identified two common compounds. C Structural network analysis: Nodes were divided into compound targets (upper layer) and phenotype-related genes (lower layer). Compound targets were represented by diamond-shaped nodes, and phenotype-related genes were represented by circular nodes. The lines between the upper and lower boxes represent the interactions between compound targets and phenotype-related genes. Phenotype-related genes were classified into more than ten categories based on their biological pathways.</w:t>
      </w:r>
    </w:p>
    <w:p w14:paraId="54E74066">
      <w:pPr>
        <w:jc w:val="center"/>
        <w:rPr>
          <w:rFonts w:hint="default"/>
          <w:highlight w:val="none"/>
          <w:lang w:val="en-US" w:eastAsia="zh-CN"/>
        </w:rPr>
      </w:pPr>
      <w:r>
        <w:rPr>
          <w:rFonts w:hint="default"/>
          <w:highlight w:val="none"/>
          <w:lang w:val="en-US" w:eastAsia="zh-CN"/>
        </w:rPr>
        <w:drawing>
          <wp:inline distT="0" distB="0" distL="114300" distR="114300">
            <wp:extent cx="6188710" cy="4641215"/>
            <wp:effectExtent l="0" t="0" r="2540" b="6985"/>
            <wp:docPr id="10" name="图片 10" descr="分子对接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分子对接_08"/>
                    <pic:cNvPicPr>
                      <a:picLocks noChangeAspect="1"/>
                    </pic:cNvPicPr>
                  </pic:nvPicPr>
                  <pic:blipFill>
                    <a:blip r:embed="rId8"/>
                    <a:stretch>
                      <a:fillRect/>
                    </a:stretch>
                  </pic:blipFill>
                  <pic:spPr>
                    <a:xfrm>
                      <a:off x="0" y="0"/>
                      <a:ext cx="6188710" cy="4641215"/>
                    </a:xfrm>
                    <a:prstGeom prst="rect">
                      <a:avLst/>
                    </a:prstGeom>
                  </pic:spPr>
                </pic:pic>
              </a:graphicData>
            </a:graphic>
          </wp:inline>
        </w:drawing>
      </w:r>
    </w:p>
    <w:p w14:paraId="2FCFF317">
      <w:pPr>
        <w:ind w:left="0" w:leftChars="0" w:firstLine="0" w:firstLineChars="0"/>
        <w:jc w:val="both"/>
        <w:rPr>
          <w:rFonts w:hint="eastAsia"/>
          <w:sz w:val="21"/>
          <w:szCs w:val="21"/>
          <w:highlight w:val="none"/>
          <w:lang w:val="en-US" w:eastAsia="en-US"/>
        </w:rPr>
      </w:pPr>
      <w:r>
        <w:rPr>
          <w:rFonts w:hint="default"/>
          <w:b/>
          <w:bCs/>
          <w:sz w:val="21"/>
          <w:szCs w:val="21"/>
          <w:highlight w:val="none"/>
          <w:lang w:val="en-US" w:eastAsia="zh-CN"/>
        </w:rPr>
        <w:t xml:space="preserve">Fig </w:t>
      </w:r>
      <w:r>
        <w:rPr>
          <w:rFonts w:hint="eastAsia"/>
          <w:b/>
          <w:bCs/>
          <w:sz w:val="21"/>
          <w:szCs w:val="21"/>
          <w:highlight w:val="none"/>
          <w:lang w:val="en-US" w:eastAsia="zh-CN"/>
        </w:rPr>
        <w:t>S4</w:t>
      </w:r>
      <w:r>
        <w:rPr>
          <w:rFonts w:hint="default"/>
          <w:b/>
          <w:bCs/>
          <w:sz w:val="21"/>
          <w:szCs w:val="21"/>
          <w:highlight w:val="none"/>
          <w:lang w:val="en-US" w:eastAsia="zh-CN"/>
        </w:rPr>
        <w:t xml:space="preserve"> Results of </w:t>
      </w:r>
      <w:r>
        <w:rPr>
          <w:rFonts w:hint="eastAsia"/>
          <w:b/>
          <w:bCs/>
          <w:sz w:val="21"/>
          <w:szCs w:val="21"/>
          <w:highlight w:val="none"/>
          <w:lang w:val="en-US" w:eastAsia="zh-CN"/>
        </w:rPr>
        <w:t>insomnia</w:t>
      </w:r>
      <w:r>
        <w:rPr>
          <w:rFonts w:hint="default"/>
          <w:b/>
          <w:bCs/>
          <w:sz w:val="21"/>
          <w:szCs w:val="21"/>
          <w:highlight w:val="none"/>
          <w:lang w:val="en-US" w:eastAsia="zh-CN"/>
        </w:rPr>
        <w:t xml:space="preserve"> herbal combination and compound level analysis.</w:t>
      </w:r>
      <w:r>
        <w:rPr>
          <w:rFonts w:hint="default"/>
          <w:sz w:val="21"/>
          <w:szCs w:val="21"/>
          <w:highlight w:val="none"/>
          <w:lang w:val="en-US" w:eastAsia="zh-CN"/>
        </w:rPr>
        <w:t xml:space="preserve"> A Herbal level analysis extracted the herbal combination. B Compound-phenotype association network analysis (ARM) and compound-phenotype network analysis extracted 7 common compounds from both. C Structural network analysis: Nodes were divided into compound targets (upper layer) and phenotype-related genes (lower layer). Compound targets were represented by rhombus nodes, and phenotype-related genes were represented by circular nodes. The connections between the upper and lower boxes represent the interactions between compound targets and phenotype-related genes. Phenotype-related genes were classified into more than ten categories based on the biological pathways they belonged to.</w:t>
      </w:r>
    </w:p>
    <w:p w14:paraId="205AE429">
      <w:pPr>
        <w:ind w:left="0" w:leftChars="0" w:firstLine="0" w:firstLineChars="0"/>
        <w:jc w:val="both"/>
        <w:rPr>
          <w:rFonts w:hint="eastAsia"/>
          <w:highlight w:val="none"/>
          <w:lang w:val="en-US" w:eastAsia="zh-CN"/>
        </w:rPr>
      </w:pPr>
      <w:r>
        <w:rPr>
          <w:highlight w:val="none"/>
        </w:rPr>
        <w:drawing>
          <wp:inline distT="0" distB="0" distL="114300" distR="114300">
            <wp:extent cx="5799455" cy="4338955"/>
            <wp:effectExtent l="0" t="0" r="127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799455" cy="4338955"/>
                    </a:xfrm>
                    <a:prstGeom prst="rect">
                      <a:avLst/>
                    </a:prstGeom>
                    <a:noFill/>
                    <a:ln>
                      <a:noFill/>
                    </a:ln>
                  </pic:spPr>
                </pic:pic>
              </a:graphicData>
            </a:graphic>
          </wp:inline>
        </w:drawing>
      </w:r>
    </w:p>
    <w:p w14:paraId="5C077AEA">
      <w:pPr>
        <w:numPr>
          <w:ilvl w:val="0"/>
          <w:numId w:val="0"/>
        </w:numPr>
        <w:jc w:val="both"/>
        <w:rPr>
          <w:rFonts w:hint="default"/>
          <w:sz w:val="21"/>
          <w:szCs w:val="21"/>
          <w:highlight w:val="none"/>
          <w:lang w:val="en-US" w:eastAsia="zh-CN"/>
        </w:rPr>
      </w:pPr>
      <w:r>
        <w:rPr>
          <w:rFonts w:hint="default"/>
          <w:b/>
          <w:bCs/>
          <w:sz w:val="21"/>
          <w:szCs w:val="21"/>
          <w:highlight w:val="none"/>
          <w:lang w:val="en-US" w:eastAsia="zh-CN"/>
        </w:rPr>
        <w:t xml:space="preserve">Fig </w:t>
      </w:r>
      <w:r>
        <w:rPr>
          <w:rFonts w:hint="eastAsia"/>
          <w:b/>
          <w:bCs/>
          <w:sz w:val="21"/>
          <w:szCs w:val="21"/>
          <w:highlight w:val="none"/>
          <w:lang w:val="en-US" w:eastAsia="zh-CN"/>
        </w:rPr>
        <w:t>S5</w:t>
      </w:r>
      <w:r>
        <w:rPr>
          <w:rFonts w:hint="default"/>
          <w:b/>
          <w:bCs/>
          <w:sz w:val="21"/>
          <w:szCs w:val="21"/>
          <w:highlight w:val="none"/>
          <w:lang w:val="en-US" w:eastAsia="zh-CN"/>
        </w:rPr>
        <w:t xml:space="preserve"> Herbal Medicine - Core Compounds - Disease Core Genes</w:t>
      </w:r>
      <w:r>
        <w:rPr>
          <w:rFonts w:hint="eastAsia"/>
          <w:b/>
          <w:bCs/>
          <w:sz w:val="21"/>
          <w:szCs w:val="21"/>
          <w:highlight w:val="none"/>
          <w:lang w:val="en-US" w:eastAsia="zh-CN"/>
        </w:rPr>
        <w:t xml:space="preserve">. </w:t>
      </w:r>
      <w:r>
        <w:rPr>
          <w:rFonts w:hint="default"/>
          <w:sz w:val="21"/>
          <w:szCs w:val="21"/>
          <w:highlight w:val="none"/>
          <w:lang w:val="en-US" w:eastAsia="zh-CN"/>
        </w:rPr>
        <w:t>The outer orange-background white-letter rectangle represents traditional Chinese medicine, the ones connected to it are compounds, the blue rhombus represents drug targets, the orange circle represents disease targets, the blue-background white-letter rectangle represents diseases, and the innermost circle shows the 4 common disease targets shared by all diseases (APP is also a drug target)</w:t>
      </w:r>
      <w:r>
        <w:rPr>
          <w:rFonts w:hint="eastAsia"/>
          <w:sz w:val="21"/>
          <w:szCs w:val="21"/>
          <w:highlight w:val="none"/>
          <w:lang w:val="en-US" w:eastAsia="zh-CN"/>
        </w:rPr>
        <w:t>.</w:t>
      </w:r>
    </w:p>
    <w:p w14:paraId="6862F05E">
      <w:pPr>
        <w:jc w:val="center"/>
        <w:rPr>
          <w:rFonts w:hint="eastAsia"/>
          <w:highlight w:val="none"/>
          <w:lang w:val="en-US" w:eastAsia="zh-CN"/>
        </w:rPr>
      </w:pPr>
      <w:r>
        <w:rPr>
          <w:rFonts w:hint="eastAsia"/>
          <w:highlight w:val="none"/>
          <w:lang w:val="en-US" w:eastAsia="zh-CN"/>
        </w:rPr>
        <w:drawing>
          <wp:inline distT="0" distB="0" distL="114300" distR="114300">
            <wp:extent cx="4291330" cy="2867025"/>
            <wp:effectExtent l="0" t="0" r="4445" b="0"/>
            <wp:docPr id="11" name="图片 11" descr="key_disease_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key_disease_target"/>
                    <pic:cNvPicPr>
                      <a:picLocks noChangeAspect="1"/>
                    </pic:cNvPicPr>
                  </pic:nvPicPr>
                  <pic:blipFill>
                    <a:blip r:embed="rId10"/>
                    <a:stretch>
                      <a:fillRect/>
                    </a:stretch>
                  </pic:blipFill>
                  <pic:spPr>
                    <a:xfrm>
                      <a:off x="0" y="0"/>
                      <a:ext cx="4291330" cy="2867025"/>
                    </a:xfrm>
                    <a:prstGeom prst="rect">
                      <a:avLst/>
                    </a:prstGeom>
                  </pic:spPr>
                </pic:pic>
              </a:graphicData>
            </a:graphic>
          </wp:inline>
        </w:drawing>
      </w:r>
    </w:p>
    <w:p w14:paraId="46312A9B">
      <w:pPr>
        <w:numPr>
          <w:ilvl w:val="0"/>
          <w:numId w:val="0"/>
        </w:numPr>
        <w:jc w:val="both"/>
        <w:rPr>
          <w:rFonts w:hint="default"/>
          <w:highlight w:val="none"/>
          <w:lang w:val="en-US" w:eastAsia="en-US"/>
        </w:rPr>
      </w:pPr>
      <w:r>
        <w:rPr>
          <w:rFonts w:hint="default"/>
          <w:b/>
          <w:bCs/>
          <w:sz w:val="21"/>
          <w:szCs w:val="21"/>
          <w:highlight w:val="none"/>
          <w:lang w:val="en-US" w:eastAsia="zh-CN"/>
        </w:rPr>
        <w:t xml:space="preserve">Fig </w:t>
      </w:r>
      <w:r>
        <w:rPr>
          <w:rFonts w:hint="eastAsia"/>
          <w:b/>
          <w:bCs/>
          <w:sz w:val="21"/>
          <w:szCs w:val="21"/>
          <w:highlight w:val="none"/>
          <w:lang w:val="en-US" w:eastAsia="zh-CN"/>
        </w:rPr>
        <w:t>S6</w:t>
      </w:r>
      <w:r>
        <w:rPr>
          <w:rFonts w:hint="default"/>
          <w:b/>
          <w:bCs/>
          <w:sz w:val="21"/>
          <w:szCs w:val="21"/>
          <w:highlight w:val="none"/>
          <w:lang w:val="en-US" w:eastAsia="zh-CN"/>
        </w:rPr>
        <w:t xml:space="preserve"> Herbal medicine - Core compounds - Disease core disease target genes</w:t>
      </w:r>
      <w:r>
        <w:rPr>
          <w:rFonts w:hint="eastAsia"/>
          <w:b/>
          <w:bCs/>
          <w:sz w:val="21"/>
          <w:szCs w:val="21"/>
          <w:highlight w:val="none"/>
          <w:lang w:val="en-US" w:eastAsia="zh-CN"/>
        </w:rPr>
        <w:t xml:space="preserve">. </w:t>
      </w:r>
      <w:r>
        <w:rPr>
          <w:rFonts w:hint="default"/>
          <w:sz w:val="21"/>
          <w:szCs w:val="21"/>
          <w:highlight w:val="none"/>
          <w:lang w:val="en-US" w:eastAsia="zh-CN"/>
        </w:rPr>
        <w:t>The outer circle with orange background and white text is for traditional Chinese medicine, the part connected to traditional Chinese medicine is for compounds, the blue rhombus is for drug targets, the orange circle is for disease targets, the blue background with white text rectangle is for diseases, and the innermost circle shows the 4 common disease targets shared by all diseases (APP is also a drug target)</w:t>
      </w:r>
      <w:r>
        <w:rPr>
          <w:rFonts w:hint="eastAsia"/>
          <w:sz w:val="21"/>
          <w:szCs w:val="21"/>
          <w:highlight w:val="none"/>
          <w:lang w:val="en-US" w:eastAsia="zh-CN"/>
        </w:rPr>
        <w:t>.</w:t>
      </w:r>
    </w:p>
    <w:p w14:paraId="0C5B6331">
      <w:pPr>
        <w:jc w:val="center"/>
        <w:rPr>
          <w:rFonts w:hint="default"/>
          <w:sz w:val="21"/>
          <w:szCs w:val="21"/>
          <w:highlight w:val="none"/>
          <w:lang w:val="en-US" w:eastAsia="zh-CN"/>
        </w:rPr>
      </w:pPr>
      <w:r>
        <w:rPr>
          <w:rFonts w:hint="default"/>
          <w:sz w:val="21"/>
          <w:szCs w:val="21"/>
          <w:highlight w:val="none"/>
          <w:lang w:val="en-US" w:eastAsia="zh-CN"/>
        </w:rPr>
        <w:t xml:space="preserve">Tab </w:t>
      </w:r>
      <w:r>
        <w:rPr>
          <w:rFonts w:hint="eastAsia"/>
          <w:sz w:val="21"/>
          <w:szCs w:val="21"/>
          <w:highlight w:val="none"/>
          <w:lang w:val="en-US" w:eastAsia="zh-CN"/>
        </w:rPr>
        <w:t>S1</w:t>
      </w:r>
      <w:r>
        <w:rPr>
          <w:rFonts w:hint="default"/>
          <w:sz w:val="21"/>
          <w:szCs w:val="21"/>
          <w:highlight w:val="none"/>
          <w:lang w:val="en-US" w:eastAsia="zh-CN"/>
        </w:rPr>
        <w:t xml:space="preserve"> Molecular Docking Binding Energy</w:t>
      </w:r>
    </w:p>
    <w:tbl>
      <w:tblPr>
        <w:tblStyle w:val="2"/>
        <w:tblW w:w="94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69"/>
        <w:gridCol w:w="1480"/>
        <w:gridCol w:w="2172"/>
        <w:gridCol w:w="2177"/>
      </w:tblGrid>
      <w:tr w14:paraId="3AF4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669" w:type="dxa"/>
            <w:tcBorders>
              <w:top w:val="single" w:color="000000" w:sz="12" w:space="0"/>
              <w:left w:val="nil"/>
              <w:bottom w:val="single" w:color="000000" w:sz="4" w:space="0"/>
              <w:right w:val="nil"/>
              <w:tl2br w:val="nil"/>
            </w:tcBorders>
            <w:shd w:val="clear" w:color="auto" w:fill="FFFFFF"/>
            <w:noWrap/>
            <w:vAlign w:val="center"/>
          </w:tcPr>
          <w:p w14:paraId="2C7197DA">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compound</w:t>
            </w:r>
          </w:p>
        </w:tc>
        <w:tc>
          <w:tcPr>
            <w:tcW w:w="1480" w:type="dxa"/>
            <w:tcBorders>
              <w:top w:val="single" w:color="000000" w:sz="12" w:space="0"/>
              <w:left w:val="nil"/>
              <w:bottom w:val="single" w:color="000000" w:sz="4" w:space="0"/>
              <w:right w:val="nil"/>
            </w:tcBorders>
            <w:shd w:val="clear" w:color="auto" w:fill="FFFFFF"/>
            <w:noWrap/>
            <w:vAlign w:val="center"/>
          </w:tcPr>
          <w:p w14:paraId="611225CF">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gene</w:t>
            </w:r>
          </w:p>
        </w:tc>
        <w:tc>
          <w:tcPr>
            <w:tcW w:w="2172" w:type="dxa"/>
            <w:tcBorders>
              <w:top w:val="single" w:color="000000" w:sz="12" w:space="0"/>
              <w:left w:val="nil"/>
              <w:bottom w:val="single" w:color="000000" w:sz="4" w:space="0"/>
              <w:right w:val="nil"/>
            </w:tcBorders>
            <w:shd w:val="clear" w:color="auto" w:fill="FFFFFF"/>
            <w:noWrap/>
            <w:vAlign w:val="center"/>
          </w:tcPr>
          <w:p w14:paraId="1DE3FAFE">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Energy(kcal/mol)</w:t>
            </w:r>
          </w:p>
        </w:tc>
        <w:tc>
          <w:tcPr>
            <w:tcW w:w="2177" w:type="dxa"/>
            <w:tcBorders>
              <w:top w:val="single" w:color="000000" w:sz="12" w:space="0"/>
              <w:left w:val="nil"/>
              <w:bottom w:val="single" w:color="000000" w:sz="4" w:space="0"/>
              <w:right w:val="nil"/>
            </w:tcBorders>
            <w:shd w:val="clear" w:color="auto" w:fill="FFFFFF"/>
            <w:noWrap/>
            <w:vAlign w:val="center"/>
          </w:tcPr>
          <w:p w14:paraId="15C9CE01">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Cavities_volume</w:t>
            </w:r>
          </w:p>
        </w:tc>
      </w:tr>
      <w:tr w14:paraId="38D63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669" w:type="dxa"/>
            <w:tcBorders>
              <w:top w:val="single" w:color="000000" w:sz="4" w:space="0"/>
              <w:left w:val="nil"/>
              <w:bottom w:val="nil"/>
              <w:right w:val="nil"/>
            </w:tcBorders>
            <w:shd w:val="clear" w:color="auto" w:fill="FFFFFF"/>
            <w:noWrap/>
            <w:vAlign w:val="center"/>
          </w:tcPr>
          <w:p w14:paraId="489C5CD0">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folate</w:t>
            </w:r>
          </w:p>
        </w:tc>
        <w:tc>
          <w:tcPr>
            <w:tcW w:w="1480" w:type="dxa"/>
            <w:tcBorders>
              <w:top w:val="single" w:color="000000" w:sz="4" w:space="0"/>
              <w:left w:val="nil"/>
              <w:bottom w:val="nil"/>
              <w:right w:val="nil"/>
            </w:tcBorders>
            <w:shd w:val="clear" w:color="auto" w:fill="FFFFFF"/>
            <w:noWrap/>
            <w:vAlign w:val="center"/>
          </w:tcPr>
          <w:p w14:paraId="1382997E">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TYMS</w:t>
            </w:r>
          </w:p>
        </w:tc>
        <w:tc>
          <w:tcPr>
            <w:tcW w:w="2172" w:type="dxa"/>
            <w:tcBorders>
              <w:top w:val="single" w:color="000000" w:sz="4" w:space="0"/>
              <w:left w:val="nil"/>
              <w:bottom w:val="nil"/>
              <w:right w:val="nil"/>
            </w:tcBorders>
            <w:shd w:val="clear" w:color="auto" w:fill="FFFFFF"/>
            <w:noWrap/>
            <w:vAlign w:val="center"/>
          </w:tcPr>
          <w:p w14:paraId="23257BA6">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-9.1</w:t>
            </w:r>
          </w:p>
        </w:tc>
        <w:tc>
          <w:tcPr>
            <w:tcW w:w="2177" w:type="dxa"/>
            <w:tcBorders>
              <w:top w:val="single" w:color="000000" w:sz="4" w:space="0"/>
              <w:left w:val="nil"/>
              <w:bottom w:val="nil"/>
              <w:right w:val="nil"/>
            </w:tcBorders>
            <w:shd w:val="clear" w:color="auto" w:fill="FFFFFF"/>
            <w:noWrap/>
            <w:vAlign w:val="center"/>
          </w:tcPr>
          <w:p w14:paraId="1362D66F">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1019</w:t>
            </w:r>
          </w:p>
        </w:tc>
      </w:tr>
      <w:tr w14:paraId="24E0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669" w:type="dxa"/>
            <w:tcBorders>
              <w:top w:val="nil"/>
              <w:left w:val="nil"/>
              <w:bottom w:val="nil"/>
              <w:right w:val="nil"/>
            </w:tcBorders>
            <w:shd w:val="clear" w:color="auto" w:fill="FFFFFF"/>
            <w:noWrap/>
            <w:vAlign w:val="center"/>
          </w:tcPr>
          <w:p w14:paraId="2C843CEB">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resveratrol</w:t>
            </w:r>
          </w:p>
        </w:tc>
        <w:tc>
          <w:tcPr>
            <w:tcW w:w="1480" w:type="dxa"/>
            <w:tcBorders>
              <w:top w:val="nil"/>
              <w:left w:val="nil"/>
              <w:bottom w:val="nil"/>
              <w:right w:val="nil"/>
            </w:tcBorders>
            <w:shd w:val="clear" w:color="auto" w:fill="FFFFFF"/>
            <w:noWrap/>
            <w:vAlign w:val="center"/>
          </w:tcPr>
          <w:p w14:paraId="55CF0EEF">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ESR1</w:t>
            </w:r>
          </w:p>
        </w:tc>
        <w:tc>
          <w:tcPr>
            <w:tcW w:w="2172" w:type="dxa"/>
            <w:tcBorders>
              <w:top w:val="nil"/>
              <w:left w:val="nil"/>
              <w:bottom w:val="nil"/>
              <w:right w:val="nil"/>
            </w:tcBorders>
            <w:shd w:val="clear" w:color="auto" w:fill="FFFFFF"/>
            <w:noWrap/>
            <w:vAlign w:val="center"/>
          </w:tcPr>
          <w:p w14:paraId="5AD4CDD6">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-7.8</w:t>
            </w:r>
          </w:p>
        </w:tc>
        <w:tc>
          <w:tcPr>
            <w:tcW w:w="2177" w:type="dxa"/>
            <w:tcBorders>
              <w:top w:val="nil"/>
              <w:left w:val="nil"/>
              <w:bottom w:val="nil"/>
              <w:right w:val="nil"/>
            </w:tcBorders>
            <w:shd w:val="clear" w:color="auto" w:fill="FFFFFF"/>
            <w:noWrap/>
            <w:vAlign w:val="center"/>
          </w:tcPr>
          <w:p w14:paraId="4DB5851A">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543</w:t>
            </w:r>
          </w:p>
        </w:tc>
      </w:tr>
      <w:tr w14:paraId="567A0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669" w:type="dxa"/>
            <w:tcBorders>
              <w:top w:val="nil"/>
              <w:left w:val="nil"/>
              <w:bottom w:val="nil"/>
              <w:right w:val="nil"/>
            </w:tcBorders>
            <w:shd w:val="clear" w:color="auto" w:fill="FFFFFF"/>
            <w:noWrap/>
            <w:vAlign w:val="center"/>
          </w:tcPr>
          <w:p w14:paraId="769B58D5">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D-tryptophan</w:t>
            </w:r>
          </w:p>
        </w:tc>
        <w:tc>
          <w:tcPr>
            <w:tcW w:w="1480" w:type="dxa"/>
            <w:tcBorders>
              <w:top w:val="nil"/>
              <w:left w:val="nil"/>
              <w:bottom w:val="nil"/>
              <w:right w:val="nil"/>
            </w:tcBorders>
            <w:shd w:val="clear" w:color="auto" w:fill="FFFFFF"/>
            <w:noWrap/>
            <w:vAlign w:val="center"/>
          </w:tcPr>
          <w:p w14:paraId="423F9988">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MMP3</w:t>
            </w:r>
          </w:p>
        </w:tc>
        <w:tc>
          <w:tcPr>
            <w:tcW w:w="2172" w:type="dxa"/>
            <w:tcBorders>
              <w:top w:val="nil"/>
              <w:left w:val="nil"/>
              <w:bottom w:val="nil"/>
              <w:right w:val="nil"/>
            </w:tcBorders>
            <w:shd w:val="clear" w:color="auto" w:fill="FFFFFF"/>
            <w:noWrap/>
            <w:vAlign w:val="center"/>
          </w:tcPr>
          <w:p w14:paraId="0982E3FD">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-7.7</w:t>
            </w:r>
          </w:p>
        </w:tc>
        <w:tc>
          <w:tcPr>
            <w:tcW w:w="2177" w:type="dxa"/>
            <w:tcBorders>
              <w:top w:val="nil"/>
              <w:left w:val="nil"/>
              <w:bottom w:val="nil"/>
              <w:right w:val="nil"/>
            </w:tcBorders>
            <w:shd w:val="clear" w:color="auto" w:fill="FFFFFF"/>
            <w:noWrap/>
            <w:vAlign w:val="center"/>
          </w:tcPr>
          <w:p w14:paraId="414D23A4">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1197</w:t>
            </w:r>
          </w:p>
        </w:tc>
      </w:tr>
      <w:tr w14:paraId="14E75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669" w:type="dxa"/>
            <w:tcBorders>
              <w:top w:val="nil"/>
              <w:left w:val="nil"/>
              <w:bottom w:val="nil"/>
              <w:right w:val="nil"/>
            </w:tcBorders>
            <w:shd w:val="clear" w:color="auto" w:fill="FFFFFF"/>
            <w:noWrap/>
            <w:vAlign w:val="center"/>
          </w:tcPr>
          <w:p w14:paraId="2831CB46">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reduced_glutathione</w:t>
            </w:r>
          </w:p>
        </w:tc>
        <w:tc>
          <w:tcPr>
            <w:tcW w:w="1480" w:type="dxa"/>
            <w:tcBorders>
              <w:top w:val="nil"/>
              <w:left w:val="nil"/>
              <w:bottom w:val="nil"/>
              <w:right w:val="nil"/>
            </w:tcBorders>
            <w:shd w:val="clear" w:color="auto" w:fill="FFFFFF"/>
            <w:noWrap/>
            <w:vAlign w:val="center"/>
          </w:tcPr>
          <w:p w14:paraId="105EDD4F">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EHMT2</w:t>
            </w:r>
          </w:p>
        </w:tc>
        <w:tc>
          <w:tcPr>
            <w:tcW w:w="2172" w:type="dxa"/>
            <w:tcBorders>
              <w:top w:val="nil"/>
              <w:left w:val="nil"/>
              <w:bottom w:val="nil"/>
              <w:right w:val="nil"/>
            </w:tcBorders>
            <w:shd w:val="clear" w:color="auto" w:fill="FFFFFF"/>
            <w:noWrap/>
            <w:vAlign w:val="center"/>
          </w:tcPr>
          <w:p w14:paraId="766C448C">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-6.8</w:t>
            </w:r>
          </w:p>
        </w:tc>
        <w:tc>
          <w:tcPr>
            <w:tcW w:w="2177" w:type="dxa"/>
            <w:tcBorders>
              <w:top w:val="nil"/>
              <w:left w:val="nil"/>
              <w:bottom w:val="nil"/>
              <w:right w:val="nil"/>
            </w:tcBorders>
            <w:shd w:val="clear" w:color="auto" w:fill="FFFFFF"/>
            <w:noWrap/>
            <w:vAlign w:val="center"/>
          </w:tcPr>
          <w:p w14:paraId="6559F907">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2664</w:t>
            </w:r>
          </w:p>
        </w:tc>
      </w:tr>
      <w:tr w14:paraId="48C5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669" w:type="dxa"/>
            <w:tcBorders>
              <w:top w:val="nil"/>
              <w:left w:val="nil"/>
              <w:bottom w:val="nil"/>
              <w:right w:val="nil"/>
            </w:tcBorders>
            <w:shd w:val="clear" w:color="auto" w:fill="FFFFFF"/>
            <w:noWrap/>
            <w:vAlign w:val="center"/>
          </w:tcPr>
          <w:p w14:paraId="701221EB">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linalool</w:t>
            </w:r>
          </w:p>
        </w:tc>
        <w:tc>
          <w:tcPr>
            <w:tcW w:w="1480" w:type="dxa"/>
            <w:tcBorders>
              <w:top w:val="nil"/>
              <w:left w:val="nil"/>
              <w:bottom w:val="nil"/>
              <w:right w:val="nil"/>
            </w:tcBorders>
            <w:shd w:val="clear" w:color="auto" w:fill="FFFFFF"/>
            <w:noWrap/>
            <w:vAlign w:val="center"/>
          </w:tcPr>
          <w:p w14:paraId="7232E23F">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HTR3A</w:t>
            </w:r>
          </w:p>
        </w:tc>
        <w:tc>
          <w:tcPr>
            <w:tcW w:w="2172" w:type="dxa"/>
            <w:tcBorders>
              <w:top w:val="nil"/>
              <w:left w:val="nil"/>
              <w:bottom w:val="nil"/>
              <w:right w:val="nil"/>
            </w:tcBorders>
            <w:shd w:val="clear" w:color="auto" w:fill="FFFFFF"/>
            <w:noWrap/>
            <w:vAlign w:val="center"/>
          </w:tcPr>
          <w:p w14:paraId="07157A58">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-6.1</w:t>
            </w:r>
          </w:p>
        </w:tc>
        <w:tc>
          <w:tcPr>
            <w:tcW w:w="2177" w:type="dxa"/>
            <w:tcBorders>
              <w:top w:val="nil"/>
              <w:left w:val="nil"/>
              <w:bottom w:val="nil"/>
              <w:right w:val="nil"/>
            </w:tcBorders>
            <w:shd w:val="clear" w:color="auto" w:fill="FFFFFF"/>
            <w:noWrap/>
            <w:vAlign w:val="center"/>
          </w:tcPr>
          <w:p w14:paraId="2D8AA638">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633</w:t>
            </w:r>
          </w:p>
        </w:tc>
      </w:tr>
      <w:tr w14:paraId="537BE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669" w:type="dxa"/>
            <w:tcBorders>
              <w:top w:val="nil"/>
              <w:left w:val="nil"/>
              <w:bottom w:val="single" w:color="000000" w:sz="12" w:space="0"/>
              <w:right w:val="nil"/>
            </w:tcBorders>
            <w:shd w:val="clear" w:color="auto" w:fill="FFFFFF"/>
            <w:noWrap/>
            <w:vAlign w:val="center"/>
          </w:tcPr>
          <w:p w14:paraId="225C7992">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gamma-aminobutyric_acid_(GABA</w:t>
            </w:r>
          </w:p>
        </w:tc>
        <w:tc>
          <w:tcPr>
            <w:tcW w:w="1480" w:type="dxa"/>
            <w:tcBorders>
              <w:top w:val="nil"/>
              <w:left w:val="nil"/>
              <w:bottom w:val="single" w:color="000000" w:sz="12" w:space="0"/>
              <w:right w:val="nil"/>
            </w:tcBorders>
            <w:shd w:val="clear" w:color="auto" w:fill="FFFFFF"/>
            <w:noWrap/>
            <w:vAlign w:val="center"/>
          </w:tcPr>
          <w:p w14:paraId="10D1C9AF">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SLC6A11</w:t>
            </w:r>
          </w:p>
        </w:tc>
        <w:tc>
          <w:tcPr>
            <w:tcW w:w="2172" w:type="dxa"/>
            <w:tcBorders>
              <w:top w:val="nil"/>
              <w:left w:val="nil"/>
              <w:bottom w:val="single" w:color="000000" w:sz="12" w:space="0"/>
              <w:right w:val="nil"/>
            </w:tcBorders>
            <w:shd w:val="clear" w:color="auto" w:fill="FFFFFF"/>
            <w:noWrap/>
            <w:vAlign w:val="center"/>
          </w:tcPr>
          <w:p w14:paraId="6A1DA2D1">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-4.3</w:t>
            </w:r>
          </w:p>
        </w:tc>
        <w:tc>
          <w:tcPr>
            <w:tcW w:w="2177" w:type="dxa"/>
            <w:tcBorders>
              <w:top w:val="nil"/>
              <w:left w:val="nil"/>
              <w:bottom w:val="single" w:color="000000" w:sz="12" w:space="0"/>
              <w:right w:val="nil"/>
            </w:tcBorders>
            <w:shd w:val="clear" w:color="auto" w:fill="FFFFFF"/>
            <w:noWrap/>
            <w:vAlign w:val="center"/>
          </w:tcPr>
          <w:p w14:paraId="508956CA">
            <w:pPr>
              <w:pStyle w:val="4"/>
              <w:bidi w:val="0"/>
              <w:ind w:left="0" w:leftChars="0" w:firstLine="0" w:firstLineChars="0"/>
              <w:jc w:val="center"/>
              <w:rPr>
                <w:rFonts w:hint="eastAsia"/>
                <w:b w:val="0"/>
                <w:color w:val="000000"/>
                <w:highlight w:val="none"/>
              </w:rPr>
            </w:pPr>
            <w:r>
              <w:rPr>
                <w:rFonts w:hint="eastAsia"/>
                <w:b w:val="0"/>
                <w:color w:val="000000"/>
                <w:highlight w:val="none"/>
                <w:lang w:val="en-US" w:eastAsia="zh-CN"/>
              </w:rPr>
              <w:t>3104</w:t>
            </w:r>
          </w:p>
        </w:tc>
      </w:tr>
    </w:tbl>
    <w:p w14:paraId="488B555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823310"/>
    <w:rsid w:val="4A2C1D3E"/>
    <w:rsid w:val="6C823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240"/>
      <w:ind w:firstLine="567"/>
      <w:jc w:val="both"/>
    </w:pPr>
    <w:rPr>
      <w:rFonts w:ascii="Times New Roman" w:hAnsi="Times New Roman" w:eastAsiaTheme="minorEastAsia" w:cstheme="minorBidi"/>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表"/>
    <w:basedOn w:val="1"/>
    <w:next w:val="1"/>
    <w:qFormat/>
    <w:uiPriority w:val="0"/>
    <w:pPr>
      <w:spacing w:line="240" w:lineRule="auto"/>
      <w:jc w:val="center"/>
    </w:pPr>
    <w:rPr>
      <w:rFonts w:cs="Times New Roman"/>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2026-08-02T06:23:00Z</dcterms:created>
  <dc:creator>WPS_1596073119</dc:creator>
  <cp:lastModifiedBy>WPS_1596073119</cp:lastModifiedBy>
  <dcterms:modified xsi:type="dcterms:W3CDTF">2026-08-02T06:49:46Z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85944CBABD7944C08370BC0BAC36247A_11</vt:lpwstr>
  </property>
  <property fmtid="{D5CDD505-2E9C-101B-9397-08002B2CF9AE}" pid="4" name="KSOTemplateDocerSaveRecord">
    <vt:lpwstr>eyJoZGlkIjoiNjVhN2EwNTI3Yzg5YTU2OTAzM2IxOTdkZDI4Zjc2NmQiLCJ1c2VySWQiOiIxMDQ3MDk0NTEwIn0=</vt:lpwstr>
  </property>
</Properties>
</file>