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C6471">
      <w:pPr>
        <w:jc w:val="center"/>
        <w:rPr>
          <w:rFonts w:hint="default" w:ascii="Arial" w:hAnsi="Arial" w:cs="Arial"/>
          <w:sz w:val="30"/>
          <w:szCs w:val="30"/>
        </w:rPr>
      </w:pPr>
      <w:r>
        <w:rPr>
          <w:rFonts w:hint="default" w:ascii="Arial" w:hAnsi="Arial" w:cs="Arial"/>
          <w:sz w:val="30"/>
          <w:szCs w:val="30"/>
        </w:rPr>
        <w:t>SUPPLEMENTARY INFORMATION</w:t>
      </w:r>
    </w:p>
    <w:p w14:paraId="31B63B9C">
      <w:pPr>
        <w:jc w:val="center"/>
        <w:rPr>
          <w:rFonts w:ascii="Arial" w:hAnsi="Arial" w:eastAsia="宋体" w:cs="Arial"/>
          <w:b/>
          <w:bCs/>
          <w:i w:val="0"/>
          <w:iCs w:val="0"/>
          <w:caps w:val="0"/>
          <w:color w:val="000000"/>
          <w:spacing w:val="0"/>
          <w:sz w:val="28"/>
          <w:szCs w:val="28"/>
          <w:shd w:val="clear" w:fill="FFFFFF"/>
        </w:rPr>
      </w:pPr>
      <w:r>
        <w:rPr>
          <w:rFonts w:hint="default" w:ascii="Arial" w:hAnsi="Arial" w:cs="Arial"/>
          <w:sz w:val="30"/>
          <w:szCs w:val="30"/>
        </w:rPr>
        <w:t xml:space="preserve"> </w:t>
      </w:r>
      <w:r>
        <w:rPr>
          <w:rFonts w:hint="eastAsia" w:ascii="Arial" w:hAnsi="Arial" w:eastAsia="宋体" w:cs="Arial"/>
          <w:b w:val="0"/>
          <w:bCs w:val="0"/>
          <w:i w:val="0"/>
          <w:iCs w:val="0"/>
          <w:caps w:val="0"/>
          <w:color w:val="000000"/>
          <w:spacing w:val="0"/>
          <w:sz w:val="28"/>
          <w:szCs w:val="28"/>
          <w:shd w:val="clear" w:fill="FFFFFF"/>
        </w:rPr>
        <w:t>Targeting the Stress-Driven Loop in Glioma with Exosomes Co-loaded with BDNF Antibody and Propranolol</w:t>
      </w:r>
    </w:p>
    <w:p w14:paraId="2019C13E">
      <w:pPr>
        <w:numPr>
          <w:ilvl w:val="0"/>
          <w:numId w:val="0"/>
        </w:numPr>
        <w:rPr>
          <w:rFonts w:hint="eastAsia" w:ascii="Arial" w:hAnsi="Arial" w:cs="Arial" w:eastAsiaTheme="minorEastAsia"/>
          <w:sz w:val="30"/>
          <w:szCs w:val="30"/>
          <w:lang w:eastAsia="zh-CN"/>
        </w:rPr>
      </w:pPr>
      <w:r>
        <w:rPr>
          <w:rFonts w:hint="default" w:ascii="Arial" w:hAnsi="Arial" w:cs="Arial"/>
          <w:sz w:val="30"/>
          <w:szCs w:val="30"/>
        </w:rPr>
        <w:t>Supplementary Figures</w:t>
      </w:r>
    </w:p>
    <w:p w14:paraId="5E83F987">
      <w:pPr>
        <w:numPr>
          <w:ilvl w:val="0"/>
          <w:numId w:val="0"/>
        </w:numPr>
        <w:rPr>
          <w:rFonts w:hint="eastAsia" w:ascii="Arial" w:hAnsi="Arial" w:eastAsia="宋体" w:cs="Arial"/>
          <w:sz w:val="24"/>
          <w:szCs w:val="24"/>
          <w:lang w:eastAsia="zh-CN"/>
        </w:rPr>
      </w:pPr>
      <w:r>
        <w:rPr>
          <w:rFonts w:hint="eastAsia" w:ascii="Arial" w:hAnsi="Arial" w:eastAsia="宋体" w:cs="Arial"/>
          <w:sz w:val="24"/>
          <w:szCs w:val="24"/>
          <w:lang w:eastAsia="zh-CN"/>
        </w:rPr>
        <w:drawing>
          <wp:inline distT="0" distB="0" distL="114300" distR="114300">
            <wp:extent cx="5272405" cy="5172075"/>
            <wp:effectExtent l="0" t="0" r="4445" b="0"/>
            <wp:docPr id="11" name="图片 11" descr="补充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补充图1"/>
                    <pic:cNvPicPr>
                      <a:picLocks noChangeAspect="1"/>
                    </pic:cNvPicPr>
                  </pic:nvPicPr>
                  <pic:blipFill>
                    <a:blip r:embed="rId4"/>
                    <a:stretch>
                      <a:fillRect/>
                    </a:stretch>
                  </pic:blipFill>
                  <pic:spPr>
                    <a:xfrm>
                      <a:off x="0" y="0"/>
                      <a:ext cx="5272405" cy="5172075"/>
                    </a:xfrm>
                    <a:prstGeom prst="rect">
                      <a:avLst/>
                    </a:prstGeom>
                  </pic:spPr>
                </pic:pic>
              </a:graphicData>
            </a:graphic>
          </wp:inline>
        </w:drawing>
      </w:r>
    </w:p>
    <w:p w14:paraId="5F62E1D2">
      <w:pPr>
        <w:numPr>
          <w:ilvl w:val="0"/>
          <w:numId w:val="0"/>
        </w:numPr>
        <w:rPr>
          <w:rFonts w:hint="default" w:ascii="Arial" w:hAnsi="Arial" w:eastAsia="宋体" w:cs="Arial"/>
          <w:sz w:val="24"/>
          <w:szCs w:val="24"/>
          <w:lang w:val="en-US" w:eastAsia="zh-CN"/>
        </w:rPr>
      </w:pPr>
      <w:r>
        <w:rPr>
          <w:rFonts w:hint="default" w:ascii="Arial" w:hAnsi="Arial" w:eastAsia="宋体" w:cs="Arial"/>
          <w:sz w:val="24"/>
          <w:szCs w:val="24"/>
          <w:lang w:val="en-US" w:eastAsia="zh-CN"/>
        </w:rPr>
        <w:t>Supplementary Fig. 1</w:t>
      </w:r>
      <w:r>
        <w:rPr>
          <w:rFonts w:hint="eastAsia" w:ascii="Arial" w:hAnsi="Arial" w:eastAsia="宋体" w:cs="Arial"/>
          <w:sz w:val="24"/>
          <w:szCs w:val="24"/>
          <w:lang w:val="en-US" w:eastAsia="zh-CN"/>
        </w:rPr>
        <w:t xml:space="preserve">. a, </w:t>
      </w:r>
      <w:r>
        <w:rPr>
          <w:rFonts w:hint="default" w:ascii="Arial" w:hAnsi="Arial" w:eastAsia="宋体" w:cs="Arial"/>
          <w:sz w:val="24"/>
          <w:szCs w:val="24"/>
          <w:lang w:val="en-US" w:eastAsia="zh-CN"/>
        </w:rPr>
        <w:t>Photograph of the customized restraint stress device used for CRS model establishment.</w:t>
      </w:r>
      <w:r>
        <w:rPr>
          <w:rFonts w:hint="eastAsia" w:ascii="Arial" w:hAnsi="Arial" w:eastAsia="宋体" w:cs="Arial"/>
          <w:sz w:val="24"/>
          <w:szCs w:val="24"/>
          <w:lang w:val="en-US" w:eastAsia="zh-CN"/>
        </w:rPr>
        <w:t xml:space="preserve"> b,</w:t>
      </w:r>
      <w:r>
        <w:rPr>
          <w:rFonts w:hint="default" w:ascii="Arial" w:hAnsi="Arial" w:eastAsia="宋体" w:cs="Arial"/>
          <w:sz w:val="24"/>
          <w:szCs w:val="24"/>
          <w:lang w:val="en-US" w:eastAsia="zh-CN"/>
        </w:rPr>
        <w:t>Tail suspension test confirms depression-like behavior in chronically stressed mice. Representative images of the tail suspension test.</w:t>
      </w:r>
      <w:r>
        <w:rPr>
          <w:rFonts w:hint="eastAsia" w:ascii="Arial" w:hAnsi="Arial" w:eastAsia="宋体" w:cs="Arial"/>
          <w:sz w:val="24"/>
          <w:szCs w:val="24"/>
          <w:lang w:val="en-US" w:eastAsia="zh-CN"/>
        </w:rPr>
        <w:t xml:space="preserve"> </w:t>
      </w:r>
      <w:r>
        <w:rPr>
          <w:rFonts w:hint="default" w:ascii="Arial" w:hAnsi="Arial" w:eastAsia="宋体" w:cs="Arial"/>
          <w:sz w:val="24"/>
          <w:szCs w:val="24"/>
          <w:lang w:val="en-US" w:eastAsia="zh-CN"/>
        </w:rPr>
        <w:t>Immobility time was significantly prolonged in stressed mice compared to non-stressed controls.</w:t>
      </w:r>
      <w:r>
        <w:rPr>
          <w:rFonts w:hint="eastAsia" w:ascii="Arial" w:hAnsi="Arial" w:eastAsia="宋体" w:cs="Arial"/>
          <w:sz w:val="24"/>
          <w:szCs w:val="24"/>
          <w:lang w:val="en-US" w:eastAsia="zh-CN"/>
        </w:rPr>
        <w:t xml:space="preserve"> c, Representative MRI images of glioma-bearing mouse brains at 0 and 15 days post-inoculation (n=5). Red outlines indicate tumor regions. d, Body weight changes of glioma-bearing mice over 15 days. Chronic stress induced significant body weight loss compared to control, with GL261-bearing mice demonstrating greater vulnerability(n=5). e, Box plot of log</w:t>
      </w:r>
      <w:r>
        <w:rPr>
          <w:rFonts w:hint="eastAsia" w:ascii="Arial" w:hAnsi="Arial" w:eastAsia="宋体" w:cs="Arial"/>
          <w:sz w:val="24"/>
          <w:szCs w:val="24"/>
          <w:vertAlign w:val="subscript"/>
          <w:lang w:val="en-US" w:eastAsia="zh-CN"/>
        </w:rPr>
        <w:t>10</w:t>
      </w:r>
      <w:r>
        <w:rPr>
          <w:rFonts w:hint="eastAsia" w:ascii="Arial" w:hAnsi="Arial" w:eastAsia="宋体" w:cs="Arial"/>
          <w:sz w:val="24"/>
          <w:szCs w:val="24"/>
          <w:lang w:val="en-US" w:eastAsia="zh-CN"/>
        </w:rPr>
        <w:t xml:space="preserve">(FPKM) gene expression in control and stressed glioma tissues (n=2 biological replicates per group). PCA plot of glioma transcriptomes. Control (blue) and stress (red) groups are distinctly separated (PC1: 52.07%, PC2: 25.69%), confirming stress-induced transcriptomic changes and good intra-group reproducibility. f, GSEA plot of glioma transcriptomes under chronic stress. Immune pathways are downregulated (negative enrichment), while synaptic/neuronal pathways are upregulated (positive enrichment), confirming stress-induced immune suppression and neuronal activation. g, Western blot analysis of DBH, CGA, and BDNF expression in tumor tissues from U251MG glioma-bearing mice in the Non-stress and Stress groups. </w:t>
      </w:r>
      <w:r>
        <w:rPr>
          <w:rFonts w:hint="default" w:ascii="Arial" w:hAnsi="Arial" w:eastAsia="宋体" w:cs="Arial"/>
          <w:sz w:val="24"/>
          <w:szCs w:val="24"/>
          <w:lang w:val="en-US" w:eastAsia="zh-CN"/>
        </w:rPr>
        <w:t>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74874C97">
      <w:pPr>
        <w:numPr>
          <w:ilvl w:val="0"/>
          <w:numId w:val="0"/>
        </w:numPr>
        <w:rPr>
          <w:rFonts w:hint="default" w:ascii="Arial" w:hAnsi="Arial" w:eastAsia="宋体" w:cs="Arial"/>
          <w:sz w:val="24"/>
          <w:szCs w:val="24"/>
          <w:lang w:val="en-US" w:eastAsia="zh-CN"/>
        </w:rPr>
      </w:pPr>
    </w:p>
    <w:p w14:paraId="5FD3D5E8">
      <w:pPr>
        <w:numPr>
          <w:ilvl w:val="0"/>
          <w:numId w:val="0"/>
        </w:numPr>
        <w:rPr>
          <w:rFonts w:hint="default" w:ascii="Arial" w:hAnsi="Arial" w:eastAsia="宋体" w:cs="Arial"/>
          <w:sz w:val="24"/>
          <w:szCs w:val="24"/>
          <w:lang w:val="en-US" w:eastAsia="zh-CN"/>
        </w:rPr>
      </w:pPr>
      <w:r>
        <w:rPr>
          <w:rFonts w:hint="default" w:ascii="Arial" w:hAnsi="Arial" w:eastAsia="宋体" w:cs="Arial"/>
          <w:sz w:val="24"/>
          <w:szCs w:val="24"/>
          <w:lang w:val="en-US" w:eastAsia="zh-CN"/>
        </w:rPr>
        <w:drawing>
          <wp:inline distT="0" distB="0" distL="114300" distR="114300">
            <wp:extent cx="5271770" cy="3023870"/>
            <wp:effectExtent l="0" t="0" r="5080" b="5080"/>
            <wp:docPr id="12" name="图片 12" descr="补充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补充图2"/>
                    <pic:cNvPicPr>
                      <a:picLocks noChangeAspect="1"/>
                    </pic:cNvPicPr>
                  </pic:nvPicPr>
                  <pic:blipFill>
                    <a:blip r:embed="rId5"/>
                    <a:stretch>
                      <a:fillRect/>
                    </a:stretch>
                  </pic:blipFill>
                  <pic:spPr>
                    <a:xfrm>
                      <a:off x="0" y="0"/>
                      <a:ext cx="5271770" cy="3023870"/>
                    </a:xfrm>
                    <a:prstGeom prst="rect">
                      <a:avLst/>
                    </a:prstGeom>
                  </pic:spPr>
                </pic:pic>
              </a:graphicData>
            </a:graphic>
          </wp:inline>
        </w:drawing>
      </w:r>
    </w:p>
    <w:p w14:paraId="6115E4E7">
      <w:pPr>
        <w:numPr>
          <w:ilvl w:val="0"/>
          <w:numId w:val="0"/>
        </w:numPr>
        <w:rPr>
          <w:rFonts w:hint="default" w:ascii="Arial" w:hAnsi="Arial" w:eastAsia="宋体" w:cs="Arial"/>
          <w:sz w:val="24"/>
          <w:szCs w:val="24"/>
          <w:lang w:val="en-US" w:eastAsia="zh-CN"/>
        </w:rPr>
      </w:pPr>
      <w:r>
        <w:rPr>
          <w:rFonts w:hint="default" w:ascii="Arial" w:hAnsi="Arial" w:eastAsia="宋体" w:cs="Arial"/>
          <w:sz w:val="24"/>
          <w:szCs w:val="24"/>
          <w:lang w:val="en-US" w:eastAsia="zh-CN"/>
        </w:rPr>
        <w:t>Supplementary Fig. 2. a, Relative glioma cell proliferation under control (Ctrl) and stimulated (Stim) conditions (n=4). b, PKA expression and CREB phosphorylation in astrocytes treated with NE ± PROP. NE activates PKA/CREB signaling via β-adrenergic receptors, and PROP blocks this effect (n=3).</w:t>
      </w:r>
      <w:r>
        <w:rPr>
          <w:rFonts w:hint="eastAsia" w:ascii="Arial" w:hAnsi="Arial" w:eastAsia="宋体" w:cs="Arial"/>
          <w:sz w:val="24"/>
          <w:szCs w:val="24"/>
          <w:lang w:val="en-US" w:eastAsia="zh-CN"/>
        </w:rPr>
        <w:t xml:space="preserve"> c, </w:t>
      </w:r>
      <w:r>
        <w:rPr>
          <w:rFonts w:hint="default" w:ascii="Arial" w:hAnsi="Arial" w:eastAsia="宋体" w:cs="Arial"/>
          <w:sz w:val="24"/>
          <w:szCs w:val="24"/>
          <w:lang w:val="en-US" w:eastAsia="zh-CN"/>
        </w:rPr>
        <w:t>MEK and ERK phosphorylation in cells treated with Ctrl, BDNF, NE, or NE+PROP. NE activates MEK/ERK via β-adrenergic receptors, and PROP blocks this effect</w:t>
      </w:r>
      <w:r>
        <w:rPr>
          <w:rFonts w:hint="eastAsia" w:ascii="Arial" w:hAnsi="Arial" w:eastAsia="宋体" w:cs="Arial"/>
          <w:sz w:val="24"/>
          <w:szCs w:val="24"/>
          <w:lang w:val="en-US" w:eastAsia="zh-CN"/>
        </w:rPr>
        <w:t xml:space="preserve">. d, Western blot validation of Trk B knockdown in glioma cells (Ctrl vs. Clone 1/2). Tubulin serves as loading control. Trk B expression is significantly reduced in knockdown clones. e, ChIP-qPCR analysis of p-CREB enrichment at the Bdnf promoter in C8-D1A astrocytes treated with Control, NE, or NE plus PROP for the indicated time. f, Schematic of Transwell co-culture: neurons (Low/Mid/High differentiation) in upper chamber, GL261 glioma cells in lower chamber. Neuronal-secreted NE mediates paracrine signaling to glioma cells. </w:t>
      </w:r>
      <w:r>
        <w:rPr>
          <w:rFonts w:hint="default" w:ascii="Arial" w:hAnsi="Arial" w:eastAsia="宋体" w:cs="Arial"/>
          <w:sz w:val="24"/>
          <w:szCs w:val="24"/>
          <w:lang w:val="en-US" w:eastAsia="zh-CN"/>
        </w:rPr>
        <w:t>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108F050C">
      <w:pPr>
        <w:numPr>
          <w:ilvl w:val="0"/>
          <w:numId w:val="0"/>
        </w:numPr>
        <w:rPr>
          <w:rFonts w:hint="default" w:ascii="Arial" w:hAnsi="Arial" w:eastAsia="宋体" w:cs="Arial"/>
          <w:sz w:val="24"/>
          <w:szCs w:val="24"/>
          <w:lang w:val="en-US" w:eastAsia="zh-CN"/>
        </w:rPr>
      </w:pPr>
    </w:p>
    <w:p w14:paraId="19A0586F">
      <w:pPr>
        <w:numPr>
          <w:ilvl w:val="0"/>
          <w:numId w:val="0"/>
        </w:numPr>
        <w:rPr>
          <w:rFonts w:hint="default" w:ascii="Arial" w:hAnsi="Arial" w:eastAsia="宋体" w:cs="Arial"/>
          <w:sz w:val="24"/>
          <w:szCs w:val="24"/>
          <w:lang w:val="en-US" w:eastAsia="zh-CN"/>
        </w:rPr>
      </w:pPr>
    </w:p>
    <w:p w14:paraId="66F494C4">
      <w:pPr>
        <w:numPr>
          <w:ilvl w:val="0"/>
          <w:numId w:val="0"/>
        </w:numPr>
        <w:rPr>
          <w:rFonts w:hint="default" w:ascii="Arial" w:hAnsi="Arial" w:eastAsia="宋体" w:cs="Arial"/>
          <w:sz w:val="24"/>
          <w:szCs w:val="24"/>
          <w:lang w:val="en-US" w:eastAsia="zh-CN"/>
        </w:rPr>
      </w:pPr>
    </w:p>
    <w:p w14:paraId="3EF5733A">
      <w:pPr>
        <w:numPr>
          <w:ilvl w:val="0"/>
          <w:numId w:val="0"/>
        </w:numPr>
        <w:rPr>
          <w:rFonts w:hint="default" w:ascii="Arial" w:hAnsi="Arial" w:eastAsia="宋体" w:cs="Arial"/>
          <w:sz w:val="24"/>
          <w:szCs w:val="24"/>
          <w:lang w:val="en-US" w:eastAsia="zh-CN"/>
        </w:rPr>
      </w:pPr>
    </w:p>
    <w:p w14:paraId="7A84A3E6">
      <w:pPr>
        <w:numPr>
          <w:ilvl w:val="0"/>
          <w:numId w:val="0"/>
        </w:numPr>
        <w:rPr>
          <w:rFonts w:hint="default" w:ascii="Arial" w:hAnsi="Arial" w:eastAsia="宋体" w:cs="Arial"/>
          <w:sz w:val="24"/>
          <w:szCs w:val="24"/>
          <w:lang w:val="en-US" w:eastAsia="zh-CN"/>
        </w:rPr>
      </w:pPr>
    </w:p>
    <w:p w14:paraId="678CB5B1">
      <w:pPr>
        <w:numPr>
          <w:ilvl w:val="0"/>
          <w:numId w:val="0"/>
        </w:numPr>
        <w:rPr>
          <w:rFonts w:hint="default" w:ascii="Arial" w:hAnsi="Arial" w:eastAsia="宋体" w:cs="Arial"/>
          <w:sz w:val="24"/>
          <w:szCs w:val="24"/>
          <w:lang w:val="en-US" w:eastAsia="zh-CN"/>
        </w:rPr>
      </w:pPr>
    </w:p>
    <w:p w14:paraId="776BA2AB">
      <w:pPr>
        <w:numPr>
          <w:ilvl w:val="0"/>
          <w:numId w:val="0"/>
        </w:numPr>
        <w:rPr>
          <w:rFonts w:hint="default" w:ascii="Arial" w:hAnsi="Arial" w:eastAsia="宋体" w:cs="Arial"/>
          <w:sz w:val="24"/>
          <w:szCs w:val="24"/>
          <w:lang w:val="en-US" w:eastAsia="zh-CN"/>
        </w:rPr>
      </w:pPr>
    </w:p>
    <w:p w14:paraId="40CED5FE">
      <w:pPr>
        <w:numPr>
          <w:ilvl w:val="0"/>
          <w:numId w:val="0"/>
        </w:numPr>
        <w:rPr>
          <w:rFonts w:hint="default" w:ascii="Arial" w:hAnsi="Arial" w:eastAsia="宋体" w:cs="Arial"/>
          <w:sz w:val="24"/>
          <w:szCs w:val="24"/>
          <w:lang w:val="en-US" w:eastAsia="zh-CN"/>
        </w:rPr>
      </w:pPr>
    </w:p>
    <w:p w14:paraId="1903B95D">
      <w:pPr>
        <w:numPr>
          <w:ilvl w:val="0"/>
          <w:numId w:val="0"/>
        </w:numPr>
        <w:rPr>
          <w:rFonts w:hint="default" w:ascii="Arial" w:hAnsi="Arial" w:eastAsia="宋体" w:cs="Arial"/>
          <w:sz w:val="24"/>
          <w:szCs w:val="24"/>
          <w:lang w:val="en-US" w:eastAsia="zh-CN"/>
        </w:rPr>
      </w:pPr>
    </w:p>
    <w:p w14:paraId="6182C556">
      <w:pPr>
        <w:numPr>
          <w:ilvl w:val="0"/>
          <w:numId w:val="0"/>
        </w:numPr>
        <w:rPr>
          <w:rFonts w:hint="default" w:ascii="Arial" w:hAnsi="Arial" w:eastAsia="宋体" w:cs="Arial"/>
          <w:sz w:val="24"/>
          <w:szCs w:val="24"/>
          <w:lang w:val="en-US" w:eastAsia="zh-CN"/>
        </w:rPr>
      </w:pPr>
    </w:p>
    <w:p w14:paraId="3F7B1DFD">
      <w:pPr>
        <w:numPr>
          <w:ilvl w:val="0"/>
          <w:numId w:val="0"/>
        </w:numPr>
        <w:rPr>
          <w:rFonts w:hint="default" w:ascii="Arial" w:hAnsi="Arial" w:eastAsia="宋体" w:cs="Arial"/>
          <w:sz w:val="24"/>
          <w:szCs w:val="24"/>
          <w:lang w:val="en-US" w:eastAsia="zh-CN"/>
        </w:rPr>
      </w:pPr>
    </w:p>
    <w:p w14:paraId="63B40DF2">
      <w:pPr>
        <w:numPr>
          <w:ilvl w:val="0"/>
          <w:numId w:val="0"/>
        </w:numPr>
        <w:rPr>
          <w:rFonts w:hint="default" w:ascii="Arial" w:hAnsi="Arial" w:eastAsia="宋体" w:cs="Arial"/>
          <w:sz w:val="24"/>
          <w:szCs w:val="24"/>
          <w:lang w:val="en-US" w:eastAsia="zh-CN"/>
        </w:rPr>
      </w:pPr>
    </w:p>
    <w:p w14:paraId="4EC68370">
      <w:pPr>
        <w:numPr>
          <w:ilvl w:val="0"/>
          <w:numId w:val="0"/>
        </w:numPr>
        <w:rPr>
          <w:rFonts w:hint="default" w:ascii="Arial" w:hAnsi="Arial" w:eastAsia="宋体" w:cs="Arial"/>
          <w:sz w:val="24"/>
          <w:szCs w:val="24"/>
          <w:lang w:val="en-US" w:eastAsia="zh-CN"/>
        </w:rPr>
      </w:pPr>
    </w:p>
    <w:p w14:paraId="75052073">
      <w:pPr>
        <w:numPr>
          <w:ilvl w:val="0"/>
          <w:numId w:val="0"/>
        </w:numPr>
        <w:rPr>
          <w:rFonts w:hint="default" w:ascii="Arial" w:hAnsi="Arial" w:eastAsia="宋体" w:cs="Arial"/>
          <w:sz w:val="24"/>
          <w:szCs w:val="24"/>
          <w:lang w:val="en-US" w:eastAsia="zh-CN"/>
        </w:rPr>
      </w:pPr>
    </w:p>
    <w:p w14:paraId="37FA744E">
      <w:pPr>
        <w:numPr>
          <w:ilvl w:val="0"/>
          <w:numId w:val="0"/>
        </w:numPr>
        <w:rPr>
          <w:rFonts w:hint="default" w:ascii="Arial" w:hAnsi="Arial" w:eastAsia="宋体" w:cs="Arial"/>
          <w:sz w:val="24"/>
          <w:szCs w:val="24"/>
          <w:lang w:val="en-US" w:eastAsia="zh-CN"/>
        </w:rPr>
      </w:pPr>
      <w:r>
        <w:rPr>
          <w:rFonts w:hint="default" w:ascii="Arial" w:hAnsi="Arial" w:eastAsia="宋体" w:cs="Arial"/>
          <w:sz w:val="24"/>
          <w:szCs w:val="24"/>
          <w:lang w:val="en-US" w:eastAsia="zh-CN"/>
        </w:rPr>
        <w:drawing>
          <wp:inline distT="0" distB="0" distL="114300" distR="114300">
            <wp:extent cx="5267960" cy="2906395"/>
            <wp:effectExtent l="0" t="0" r="8890" b="8255"/>
            <wp:docPr id="4" name="图片 4" descr="未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标题-3"/>
                    <pic:cNvPicPr>
                      <a:picLocks noChangeAspect="1"/>
                    </pic:cNvPicPr>
                  </pic:nvPicPr>
                  <pic:blipFill>
                    <a:blip r:embed="rId6"/>
                    <a:stretch>
                      <a:fillRect/>
                    </a:stretch>
                  </pic:blipFill>
                  <pic:spPr>
                    <a:xfrm>
                      <a:off x="0" y="0"/>
                      <a:ext cx="5267960" cy="2906395"/>
                    </a:xfrm>
                    <a:prstGeom prst="rect">
                      <a:avLst/>
                    </a:prstGeom>
                  </pic:spPr>
                </pic:pic>
              </a:graphicData>
            </a:graphic>
          </wp:inline>
        </w:drawing>
      </w:r>
    </w:p>
    <w:p w14:paraId="3B5D64B4">
      <w:pPr>
        <w:numPr>
          <w:ilvl w:val="0"/>
          <w:numId w:val="0"/>
        </w:numPr>
        <w:rPr>
          <w:rFonts w:hint="default" w:ascii="Arial" w:hAnsi="Arial" w:eastAsia="宋体" w:cs="Arial"/>
          <w:sz w:val="24"/>
          <w:szCs w:val="24"/>
          <w:lang w:val="en-US" w:eastAsia="zh-CN"/>
        </w:rPr>
      </w:pP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3</w:t>
      </w:r>
      <w:r>
        <w:rPr>
          <w:rFonts w:hint="default" w:ascii="Arial" w:hAnsi="Arial" w:eastAsia="宋体" w:cs="Arial"/>
          <w:b/>
          <w:bCs/>
          <w:sz w:val="24"/>
          <w:szCs w:val="24"/>
          <w:lang w:val="en-US" w:eastAsia="zh-CN"/>
        </w:rPr>
        <w:t>.</w:t>
      </w:r>
      <w:r>
        <w:rPr>
          <w:rFonts w:hint="eastAsia" w:ascii="Arial" w:hAnsi="Arial" w:eastAsia="宋体" w:cs="Arial"/>
          <w:sz w:val="24"/>
          <w:szCs w:val="24"/>
          <w:lang w:val="en-US" w:eastAsia="zh-CN"/>
        </w:rPr>
        <w:t xml:space="preserve"> </w:t>
      </w:r>
      <w:r>
        <w:rPr>
          <w:rFonts w:hint="default" w:ascii="Arial" w:hAnsi="Arial" w:eastAsia="宋体" w:cs="Arial"/>
          <w:b/>
          <w:bCs/>
          <w:sz w:val="24"/>
          <w:szCs w:val="24"/>
          <w:lang w:val="en-US" w:eastAsia="zh-CN"/>
        </w:rPr>
        <w:t>a,</w:t>
      </w:r>
      <w:r>
        <w:rPr>
          <w:rFonts w:hint="default" w:ascii="Arial" w:hAnsi="Arial" w:eastAsia="宋体" w:cs="Arial"/>
          <w:sz w:val="24"/>
          <w:szCs w:val="24"/>
          <w:lang w:val="en-US" w:eastAsia="zh-CN"/>
        </w:rPr>
        <w:t xml:space="preserve"> Body weight changes (left) and norepinephrine (NE) levels (right) in glioma-bearing mice. DBH knockdown alleviates stress-induced weight loss and blocks stress-induced NE elevation. </w:t>
      </w:r>
      <w:r>
        <w:rPr>
          <w:rFonts w:hint="default" w:ascii="Arial" w:hAnsi="Arial" w:eastAsia="宋体" w:cs="Arial"/>
          <w:b/>
          <w:bCs/>
          <w:sz w:val="24"/>
          <w:szCs w:val="24"/>
          <w:lang w:val="en-US" w:eastAsia="zh-CN"/>
        </w:rPr>
        <w:t>b,</w:t>
      </w:r>
      <w:r>
        <w:rPr>
          <w:rFonts w:hint="default" w:ascii="Arial" w:hAnsi="Arial" w:eastAsia="宋体" w:cs="Arial"/>
          <w:sz w:val="24"/>
          <w:szCs w:val="24"/>
          <w:lang w:val="en-US" w:eastAsia="zh-CN"/>
        </w:rPr>
        <w:t xml:space="preserve"> TH protein expression in glioma tissues (siNC/siDBH ± Stress). Stress upregulates TH in siNC mice, and DBH knockdown suppresses TH expression. </w:t>
      </w:r>
      <w:r>
        <w:rPr>
          <w:rFonts w:hint="default" w:ascii="Arial" w:hAnsi="Arial" w:eastAsia="宋体" w:cs="Arial"/>
          <w:b/>
          <w:bCs/>
          <w:sz w:val="24"/>
          <w:szCs w:val="24"/>
          <w:lang w:val="en-US" w:eastAsia="zh-CN"/>
        </w:rPr>
        <w:t>c,</w:t>
      </w:r>
      <w:r>
        <w:rPr>
          <w:rFonts w:hint="default" w:ascii="Arial" w:hAnsi="Arial" w:eastAsia="宋体" w:cs="Arial"/>
          <w:sz w:val="24"/>
          <w:szCs w:val="24"/>
          <w:lang w:val="en-US" w:eastAsia="zh-CN"/>
        </w:rPr>
        <w:t xml:space="preserve"> TNFα and IFNγ concentrations in mouse brain tissues. Stress suppresses pro-inflammatory cytokines in siNC mice, and DBH knockdown restores their expression (n=4). </w:t>
      </w:r>
      <w:r>
        <w:rPr>
          <w:rFonts w:hint="default" w:ascii="Arial" w:hAnsi="Arial" w:eastAsia="宋体" w:cs="Arial"/>
          <w:b/>
          <w:bCs/>
          <w:sz w:val="24"/>
          <w:szCs w:val="24"/>
          <w:lang w:val="en-US" w:eastAsia="zh-CN"/>
        </w:rPr>
        <w:t>d,</w:t>
      </w:r>
      <w:r>
        <w:rPr>
          <w:rFonts w:hint="default" w:ascii="Arial" w:hAnsi="Arial" w:eastAsia="宋体" w:cs="Arial"/>
          <w:sz w:val="24"/>
          <w:szCs w:val="24"/>
          <w:lang w:val="en-US" w:eastAsia="zh-CN"/>
        </w:rPr>
        <w:t xml:space="preserve"> M1/M2 macrophage ratio in glioma tissues. Stress suppresses the M1/M2 ratio, and DBH knockdown reverses this effect (n=4). </w:t>
      </w:r>
      <w:r>
        <w:rPr>
          <w:rFonts w:hint="default" w:ascii="Arial" w:hAnsi="Arial" w:eastAsia="宋体" w:cs="Arial"/>
          <w:b/>
          <w:bCs/>
          <w:sz w:val="24"/>
          <w:szCs w:val="24"/>
          <w:lang w:val="en-US" w:eastAsia="zh-CN"/>
        </w:rPr>
        <w:t>e,</w:t>
      </w:r>
      <w:r>
        <w:rPr>
          <w:rFonts w:hint="default" w:ascii="Arial" w:hAnsi="Arial" w:eastAsia="宋体" w:cs="Arial"/>
          <w:sz w:val="24"/>
          <w:szCs w:val="24"/>
          <w:lang w:val="en-US" w:eastAsia="zh-CN"/>
        </w:rPr>
        <w:t xml:space="preserve"> Body weight changes in glioma-bearing mice (siNC/siBDNF ± Stress). BDNF knockdown alleviates stress-induced body weight loss (n=5). </w:t>
      </w:r>
      <w:r>
        <w:rPr>
          <w:rFonts w:hint="default" w:ascii="Arial" w:hAnsi="Arial" w:eastAsia="宋体" w:cs="Arial"/>
          <w:b/>
          <w:bCs/>
          <w:sz w:val="24"/>
          <w:szCs w:val="24"/>
          <w:lang w:val="en-US" w:eastAsia="zh-CN"/>
        </w:rPr>
        <w:t>f,</w:t>
      </w:r>
      <w:r>
        <w:rPr>
          <w:rFonts w:hint="default" w:ascii="Arial" w:hAnsi="Arial" w:eastAsia="宋体" w:cs="Arial"/>
          <w:sz w:val="24"/>
          <w:szCs w:val="24"/>
          <w:lang w:val="en-US" w:eastAsia="zh-CN"/>
        </w:rPr>
        <w:t xml:space="preserve"> TH and BDNF protein expression in glioma tissues. Stress upregulates both factors in siNC mice, and BDNF knockdown suppresses their induction(n=3). 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2518E95D">
      <w:pPr>
        <w:numPr>
          <w:ilvl w:val="0"/>
          <w:numId w:val="0"/>
        </w:numPr>
        <w:rPr>
          <w:rFonts w:hint="default" w:ascii="Arial" w:hAnsi="Arial" w:eastAsia="宋体" w:cs="Arial"/>
          <w:sz w:val="24"/>
          <w:szCs w:val="24"/>
          <w:lang w:val="en-US" w:eastAsia="zh-CN"/>
        </w:rPr>
      </w:pPr>
    </w:p>
    <w:p w14:paraId="35B3ED18">
      <w:pPr>
        <w:numPr>
          <w:ilvl w:val="0"/>
          <w:numId w:val="0"/>
        </w:numPr>
        <w:rPr>
          <w:rFonts w:hint="default" w:ascii="Arial" w:hAnsi="Arial" w:eastAsia="宋体" w:cs="Arial"/>
          <w:sz w:val="24"/>
          <w:szCs w:val="24"/>
          <w:lang w:val="en-US" w:eastAsia="zh-CN"/>
        </w:rPr>
      </w:pPr>
    </w:p>
    <w:p w14:paraId="69C12B0E">
      <w:pPr>
        <w:numPr>
          <w:ilvl w:val="0"/>
          <w:numId w:val="0"/>
        </w:numPr>
        <w:rPr>
          <w:rFonts w:hint="default" w:ascii="Arial" w:hAnsi="Arial" w:eastAsia="宋体" w:cs="Arial"/>
          <w:sz w:val="24"/>
          <w:szCs w:val="24"/>
          <w:lang w:val="en-US" w:eastAsia="zh-CN"/>
        </w:rPr>
      </w:pPr>
    </w:p>
    <w:p w14:paraId="09305992">
      <w:pPr>
        <w:numPr>
          <w:ilvl w:val="0"/>
          <w:numId w:val="0"/>
        </w:numPr>
        <w:rPr>
          <w:rFonts w:hint="default" w:ascii="Arial" w:hAnsi="Arial" w:eastAsia="宋体" w:cs="Arial"/>
          <w:sz w:val="24"/>
          <w:szCs w:val="24"/>
          <w:lang w:val="en-US" w:eastAsia="zh-CN"/>
        </w:rPr>
      </w:pPr>
    </w:p>
    <w:p w14:paraId="07645001">
      <w:pPr>
        <w:numPr>
          <w:ilvl w:val="0"/>
          <w:numId w:val="0"/>
        </w:numPr>
        <w:rPr>
          <w:rFonts w:hint="default" w:ascii="Arial" w:hAnsi="Arial" w:eastAsia="宋体" w:cs="Arial"/>
          <w:sz w:val="24"/>
          <w:szCs w:val="24"/>
          <w:lang w:val="en-US" w:eastAsia="zh-CN"/>
        </w:rPr>
      </w:pPr>
    </w:p>
    <w:p w14:paraId="7A16FCB8">
      <w:pPr>
        <w:numPr>
          <w:ilvl w:val="0"/>
          <w:numId w:val="0"/>
        </w:numPr>
        <w:rPr>
          <w:rFonts w:hint="default" w:ascii="Arial" w:hAnsi="Arial" w:eastAsia="宋体" w:cs="Arial"/>
          <w:sz w:val="24"/>
          <w:szCs w:val="24"/>
          <w:lang w:val="en-US" w:eastAsia="zh-CN"/>
        </w:rPr>
      </w:pPr>
    </w:p>
    <w:p w14:paraId="0F7063CE">
      <w:pPr>
        <w:numPr>
          <w:ilvl w:val="0"/>
          <w:numId w:val="0"/>
        </w:numPr>
        <w:rPr>
          <w:rFonts w:hint="default" w:ascii="Arial" w:hAnsi="Arial" w:eastAsia="宋体" w:cs="Arial"/>
          <w:sz w:val="24"/>
          <w:szCs w:val="24"/>
          <w:lang w:val="en-US" w:eastAsia="zh-CN"/>
        </w:rPr>
      </w:pPr>
    </w:p>
    <w:p w14:paraId="597803FF">
      <w:pPr>
        <w:numPr>
          <w:ilvl w:val="0"/>
          <w:numId w:val="0"/>
        </w:numPr>
        <w:rPr>
          <w:rFonts w:hint="default" w:ascii="Arial" w:hAnsi="Arial" w:eastAsia="宋体" w:cs="Arial"/>
          <w:sz w:val="24"/>
          <w:szCs w:val="24"/>
          <w:lang w:val="en-US" w:eastAsia="zh-CN"/>
        </w:rPr>
      </w:pPr>
    </w:p>
    <w:p w14:paraId="1B52A2CD">
      <w:pPr>
        <w:numPr>
          <w:ilvl w:val="0"/>
          <w:numId w:val="0"/>
        </w:numPr>
        <w:rPr>
          <w:rFonts w:hint="default" w:ascii="Arial" w:hAnsi="Arial" w:eastAsia="宋体" w:cs="Arial"/>
          <w:sz w:val="24"/>
          <w:szCs w:val="24"/>
          <w:lang w:val="en-US" w:eastAsia="zh-CN"/>
        </w:rPr>
      </w:pPr>
    </w:p>
    <w:p w14:paraId="1D45C569">
      <w:pPr>
        <w:numPr>
          <w:ilvl w:val="0"/>
          <w:numId w:val="0"/>
        </w:numPr>
        <w:rPr>
          <w:rFonts w:hint="default" w:ascii="Arial" w:hAnsi="Arial" w:eastAsia="宋体" w:cs="Arial"/>
          <w:sz w:val="24"/>
          <w:szCs w:val="24"/>
          <w:lang w:val="en-US" w:eastAsia="zh-CN"/>
        </w:rPr>
      </w:pPr>
    </w:p>
    <w:p w14:paraId="1FC2E31B">
      <w:pPr>
        <w:numPr>
          <w:ilvl w:val="0"/>
          <w:numId w:val="0"/>
        </w:numPr>
        <w:rPr>
          <w:rFonts w:hint="default" w:ascii="Arial" w:hAnsi="Arial" w:eastAsia="宋体" w:cs="Arial"/>
          <w:sz w:val="24"/>
          <w:szCs w:val="24"/>
          <w:lang w:val="en-US" w:eastAsia="zh-CN"/>
        </w:rPr>
      </w:pPr>
    </w:p>
    <w:p w14:paraId="7717FF29">
      <w:pPr>
        <w:numPr>
          <w:ilvl w:val="0"/>
          <w:numId w:val="0"/>
        </w:numPr>
        <w:rPr>
          <w:rFonts w:hint="default" w:ascii="Arial" w:hAnsi="Arial" w:eastAsia="宋体" w:cs="Arial"/>
          <w:sz w:val="24"/>
          <w:szCs w:val="24"/>
          <w:lang w:val="en-US" w:eastAsia="zh-CN"/>
        </w:rPr>
      </w:pPr>
    </w:p>
    <w:p w14:paraId="1ED4BD9D">
      <w:pPr>
        <w:numPr>
          <w:ilvl w:val="0"/>
          <w:numId w:val="0"/>
        </w:numPr>
        <w:rPr>
          <w:rFonts w:hint="default" w:ascii="Arial" w:hAnsi="Arial" w:eastAsia="宋体" w:cs="Arial"/>
          <w:sz w:val="24"/>
          <w:szCs w:val="24"/>
          <w:lang w:val="en-US" w:eastAsia="zh-CN"/>
        </w:rPr>
      </w:pPr>
    </w:p>
    <w:p w14:paraId="40680E9E">
      <w:pPr>
        <w:numPr>
          <w:ilvl w:val="0"/>
          <w:numId w:val="0"/>
        </w:numPr>
        <w:rPr>
          <w:rFonts w:hint="default" w:ascii="Arial" w:hAnsi="Arial" w:eastAsia="宋体" w:cs="Arial"/>
          <w:sz w:val="24"/>
          <w:szCs w:val="24"/>
          <w:lang w:val="en-US" w:eastAsia="zh-CN"/>
        </w:rPr>
      </w:pPr>
    </w:p>
    <w:p w14:paraId="0DA04B1D">
      <w:pPr>
        <w:numPr>
          <w:ilvl w:val="0"/>
          <w:numId w:val="0"/>
        </w:numPr>
        <w:rPr>
          <w:rFonts w:hint="default" w:ascii="Arial" w:hAnsi="Arial" w:eastAsia="宋体" w:cs="Arial"/>
          <w:sz w:val="24"/>
          <w:szCs w:val="24"/>
          <w:lang w:val="en-US" w:eastAsia="zh-CN"/>
        </w:rPr>
      </w:pPr>
    </w:p>
    <w:p w14:paraId="62A5D086">
      <w:pPr>
        <w:numPr>
          <w:ilvl w:val="0"/>
          <w:numId w:val="0"/>
        </w:numPr>
        <w:rPr>
          <w:rFonts w:hint="default" w:ascii="Arial" w:hAnsi="Arial" w:eastAsia="宋体" w:cs="Arial"/>
          <w:sz w:val="24"/>
          <w:szCs w:val="24"/>
          <w:lang w:val="en-US" w:eastAsia="zh-CN"/>
        </w:rPr>
      </w:pPr>
      <w:r>
        <w:rPr>
          <w:rFonts w:hint="default" w:ascii="Arial" w:hAnsi="Arial" w:eastAsia="宋体" w:cs="Arial"/>
          <w:sz w:val="24"/>
          <w:szCs w:val="24"/>
          <w:lang w:val="en-US" w:eastAsia="zh-CN"/>
        </w:rPr>
        <w:drawing>
          <wp:inline distT="0" distB="0" distL="114300" distR="114300">
            <wp:extent cx="5273040" cy="4757420"/>
            <wp:effectExtent l="0" t="0" r="3810" b="5080"/>
            <wp:docPr id="6" name="图片 6" descr="未标题-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4"/>
                    <pic:cNvPicPr>
                      <a:picLocks noChangeAspect="1"/>
                    </pic:cNvPicPr>
                  </pic:nvPicPr>
                  <pic:blipFill>
                    <a:blip r:embed="rId7"/>
                    <a:stretch>
                      <a:fillRect/>
                    </a:stretch>
                  </pic:blipFill>
                  <pic:spPr>
                    <a:xfrm>
                      <a:off x="0" y="0"/>
                      <a:ext cx="5273040" cy="4757420"/>
                    </a:xfrm>
                    <a:prstGeom prst="rect">
                      <a:avLst/>
                    </a:prstGeom>
                  </pic:spPr>
                </pic:pic>
              </a:graphicData>
            </a:graphic>
          </wp:inline>
        </w:drawing>
      </w:r>
    </w:p>
    <w:p w14:paraId="5A8E971D">
      <w:pPr>
        <w:numPr>
          <w:ilvl w:val="0"/>
          <w:numId w:val="0"/>
        </w:numPr>
        <w:rPr>
          <w:rFonts w:hint="default" w:ascii="Arial" w:hAnsi="Arial" w:eastAsia="宋体" w:cs="Arial"/>
          <w:sz w:val="24"/>
          <w:szCs w:val="24"/>
          <w:lang w:val="en-US" w:eastAsia="zh-CN"/>
        </w:rPr>
      </w:pP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4</w:t>
      </w:r>
      <w:r>
        <w:rPr>
          <w:rFonts w:hint="default" w:ascii="Arial" w:hAnsi="Arial" w:eastAsia="宋体" w:cs="Arial"/>
          <w:b/>
          <w:bCs/>
          <w:sz w:val="24"/>
          <w:szCs w:val="24"/>
          <w:lang w:val="en-US" w:eastAsia="zh-CN"/>
        </w:rPr>
        <w:t>.</w:t>
      </w:r>
      <w:r>
        <w:rPr>
          <w:rFonts w:hint="eastAsia" w:ascii="Arial" w:hAnsi="Arial" w:eastAsia="宋体" w:cs="Arial"/>
          <w:b/>
          <w:bCs/>
          <w:sz w:val="24"/>
          <w:szCs w:val="24"/>
          <w:lang w:val="en-US" w:eastAsia="zh-CN"/>
        </w:rPr>
        <w:t xml:space="preserve"> a, </w:t>
      </w:r>
      <w:r>
        <w:rPr>
          <w:rFonts w:hint="default" w:ascii="Arial" w:hAnsi="Arial" w:eastAsia="宋体" w:cs="Arial"/>
          <w:b w:val="0"/>
          <w:bCs w:val="0"/>
          <w:sz w:val="24"/>
          <w:szCs w:val="24"/>
          <w:lang w:val="en-US" w:eastAsia="zh-CN"/>
        </w:rPr>
        <w:t>Morphological comparison of M0 (unpolarized) and M1 (pro-inflammatory) macrophages. M1 cells display enlarged, amoeboid morphology (scale bar = 5 μm).</w:t>
      </w:r>
      <w:r>
        <w:rPr>
          <w:rFonts w:hint="eastAsia" w:ascii="Arial" w:hAnsi="Arial" w:eastAsia="宋体" w:cs="Arial"/>
          <w:b w:val="0"/>
          <w:bCs w:val="0"/>
          <w:sz w:val="24"/>
          <w:szCs w:val="24"/>
          <w:lang w:val="en-US" w:eastAsia="zh-CN"/>
        </w:rPr>
        <w:t xml:space="preserve"> </w:t>
      </w:r>
      <w:r>
        <w:rPr>
          <w:rFonts w:hint="eastAsia" w:ascii="Arial" w:hAnsi="Arial" w:eastAsia="宋体" w:cs="Arial"/>
          <w:b/>
          <w:bCs/>
          <w:sz w:val="24"/>
          <w:szCs w:val="24"/>
          <w:lang w:val="en-US" w:eastAsia="zh-CN"/>
        </w:rPr>
        <w:t>b,</w:t>
      </w:r>
      <w:r>
        <w:rPr>
          <w:rFonts w:hint="eastAsia" w:ascii="Arial" w:hAnsi="Arial" w:eastAsia="宋体" w:cs="Arial"/>
          <w:b w:val="0"/>
          <w:bCs w:val="0"/>
          <w:sz w:val="24"/>
          <w:szCs w:val="24"/>
          <w:lang w:val="en-US" w:eastAsia="zh-CN"/>
        </w:rPr>
        <w:t xml:space="preserve"> Encapsulation efficiency of aBDNF via SFTE vs. control. SFTE significantly enhances encapsulation efficiency. </w:t>
      </w:r>
      <w:r>
        <w:rPr>
          <w:rFonts w:hint="eastAsia" w:ascii="Arial" w:hAnsi="Arial" w:eastAsia="宋体" w:cs="Arial"/>
          <w:b/>
          <w:bCs/>
          <w:sz w:val="24"/>
          <w:szCs w:val="24"/>
          <w:lang w:val="en-US" w:eastAsia="zh-CN"/>
        </w:rPr>
        <w:t>c,</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Colloidal stability of iRA2-MBP in biological media.</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Hydrodynamic diameter of iRA2-MBP incubated in PBS, DMEM, and DMEM containing 10% FBS over 7 days, measured by DLS daily.</w:t>
      </w:r>
      <w:r>
        <w:rPr>
          <w:rFonts w:hint="eastAsia" w:ascii="Arial" w:hAnsi="Arial" w:eastAsia="宋体" w:cs="Arial"/>
          <w:b w:val="0"/>
          <w:bCs w:val="0"/>
          <w:sz w:val="24"/>
          <w:szCs w:val="24"/>
          <w:lang w:val="en-US" w:eastAsia="zh-CN"/>
        </w:rPr>
        <w:t xml:space="preserve"> </w:t>
      </w:r>
      <w:r>
        <w:rPr>
          <w:rFonts w:hint="eastAsia" w:ascii="Arial" w:hAnsi="Arial" w:eastAsia="宋体" w:cs="Arial"/>
          <w:b/>
          <w:bCs/>
          <w:sz w:val="24"/>
          <w:szCs w:val="24"/>
          <w:lang w:val="en-US" w:eastAsia="zh-CN"/>
        </w:rPr>
        <w:t>d,</w:t>
      </w:r>
      <w:r>
        <w:rPr>
          <w:rFonts w:hint="eastAsia" w:ascii="Arial" w:hAnsi="Arial" w:eastAsia="宋体" w:cs="Arial"/>
          <w:b w:val="0"/>
          <w:bCs w:val="0"/>
          <w:sz w:val="24"/>
          <w:szCs w:val="24"/>
          <w:lang w:val="en-US" w:eastAsia="zh-CN"/>
        </w:rPr>
        <w:t xml:space="preserve"> Drug loading efficiency and encapsulation efficiency of anti-BD</w:t>
      </w:r>
      <w:r>
        <w:rPr>
          <w:rFonts w:hint="default" w:ascii="Arial" w:hAnsi="Arial" w:eastAsia="宋体" w:cs="Arial"/>
          <w:b w:val="0"/>
          <w:bCs w:val="0"/>
          <w:sz w:val="24"/>
          <w:szCs w:val="24"/>
          <w:lang w:val="en-US" w:eastAsia="zh-CN"/>
        </w:rPr>
        <w:t xml:space="preserve">NF antibody (aBDNF) and propranolol (PROP) into nanoparticles/exosomes using the SFTE method. The SFTE method achieves a significantly higher drug loading (30.59±1.52%) and encapsulation efficiency (29.58±1.47%) for aBDNF, compared to 15.81±0.79% (drug loading) and 10.53±0.53% (encapsulation efficiency) for PROP. </w:t>
      </w:r>
      <w:r>
        <w:rPr>
          <w:rFonts w:hint="default" w:ascii="Arial" w:hAnsi="Arial" w:eastAsia="宋体" w:cs="Arial"/>
          <w:b/>
          <w:bCs/>
          <w:sz w:val="24"/>
          <w:szCs w:val="24"/>
          <w:lang w:val="en-US" w:eastAsia="zh-CN"/>
        </w:rPr>
        <w:t>e,</w:t>
      </w:r>
      <w:r>
        <w:rPr>
          <w:rFonts w:hint="default" w:ascii="Arial" w:hAnsi="Arial" w:eastAsia="宋体" w:cs="Arial"/>
          <w:b w:val="0"/>
          <w:bCs w:val="0"/>
          <w:sz w:val="24"/>
          <w:szCs w:val="24"/>
          <w:lang w:val="en-US" w:eastAsia="zh-CN"/>
        </w:rPr>
        <w:t xml:space="preserve"> Wound healing assay images (left) and migration rate quantification (right) of cells under CTRL, PROP, aBDNF, and MBP treatments. CTRL/aBDNF significantly promote cell migration compared to PROP/MBP.</w:t>
      </w:r>
      <w:r>
        <w:rPr>
          <w:rFonts w:hint="eastAsia" w:ascii="Arial" w:hAnsi="Arial" w:eastAsia="宋体" w:cs="Arial"/>
          <w:b w:val="0"/>
          <w:bCs w:val="0"/>
          <w:sz w:val="24"/>
          <w:szCs w:val="24"/>
          <w:lang w:val="en-US" w:eastAsia="zh-CN"/>
        </w:rPr>
        <w:t xml:space="preserve"> </w:t>
      </w:r>
      <w:r>
        <w:rPr>
          <w:rFonts w:hint="eastAsia" w:ascii="Arial" w:hAnsi="Arial" w:eastAsia="宋体" w:cs="Arial"/>
          <w:b/>
          <w:bCs/>
          <w:sz w:val="24"/>
          <w:szCs w:val="24"/>
          <w:lang w:val="en-US" w:eastAsia="zh-CN"/>
        </w:rPr>
        <w:t>f,</w:t>
      </w:r>
      <w:r>
        <w:rPr>
          <w:rFonts w:hint="eastAsia" w:ascii="Arial" w:hAnsi="Arial" w:eastAsia="宋体" w:cs="Arial"/>
          <w:b w:val="0"/>
          <w:bCs w:val="0"/>
          <w:sz w:val="24"/>
          <w:szCs w:val="24"/>
          <w:lang w:val="en-US" w:eastAsia="zh-CN"/>
        </w:rPr>
        <w:t xml:space="preserve"> Relative cell activity under Blank, CTRL, NE, MB, MP, and MBP treatments. NE significantly promotes, while MBP suppresses, cell activity. </w:t>
      </w:r>
      <w:r>
        <w:rPr>
          <w:rFonts w:hint="default" w:ascii="Arial" w:hAnsi="Arial" w:eastAsia="宋体" w:cs="Arial"/>
          <w:sz w:val="24"/>
          <w:szCs w:val="24"/>
          <w:lang w:val="en-US" w:eastAsia="zh-CN"/>
        </w:rPr>
        <w:t>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7458C743">
      <w:pPr>
        <w:numPr>
          <w:ilvl w:val="0"/>
          <w:numId w:val="0"/>
        </w:numPr>
        <w:rPr>
          <w:rFonts w:hint="default" w:ascii="Arial" w:hAnsi="Arial" w:eastAsia="宋体" w:cs="Arial"/>
          <w:sz w:val="24"/>
          <w:szCs w:val="24"/>
          <w:lang w:val="en-US" w:eastAsia="zh-CN"/>
        </w:rPr>
      </w:pPr>
    </w:p>
    <w:p w14:paraId="519919A7">
      <w:pPr>
        <w:rPr>
          <w:rFonts w:hint="default" w:ascii="Arial" w:hAnsi="Arial" w:eastAsia="宋体" w:cs="Arial"/>
          <w:sz w:val="24"/>
          <w:szCs w:val="24"/>
          <w:lang w:val="en-US" w:eastAsia="zh-CN"/>
        </w:rPr>
      </w:pPr>
      <w:r>
        <w:rPr>
          <w:rFonts w:hint="default" w:ascii="Arial" w:hAnsi="Arial" w:eastAsia="宋体" w:cs="Arial"/>
          <w:b/>
          <w:bCs/>
          <w:sz w:val="24"/>
          <w:szCs w:val="24"/>
          <w:lang w:val="en-US" w:eastAsia="zh-CN"/>
        </w:rPr>
        <w:drawing>
          <wp:inline distT="0" distB="0" distL="114300" distR="114300">
            <wp:extent cx="5274310" cy="5220970"/>
            <wp:effectExtent l="0" t="0" r="2540" b="8255"/>
            <wp:docPr id="15" name="图片 15" descr="补充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补充图5"/>
                    <pic:cNvPicPr>
                      <a:picLocks noChangeAspect="1"/>
                    </pic:cNvPicPr>
                  </pic:nvPicPr>
                  <pic:blipFill>
                    <a:blip r:embed="rId8"/>
                    <a:stretch>
                      <a:fillRect/>
                    </a:stretch>
                  </pic:blipFill>
                  <pic:spPr>
                    <a:xfrm>
                      <a:off x="0" y="0"/>
                      <a:ext cx="5274310" cy="5220970"/>
                    </a:xfrm>
                    <a:prstGeom prst="rect">
                      <a:avLst/>
                    </a:prstGeom>
                  </pic:spPr>
                </pic:pic>
              </a:graphicData>
            </a:graphic>
          </wp:inline>
        </w:drawing>
      </w: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5</w:t>
      </w:r>
      <w:r>
        <w:rPr>
          <w:rFonts w:hint="default" w:ascii="Arial" w:hAnsi="Arial" w:eastAsia="宋体" w:cs="Arial"/>
          <w:b/>
          <w:bCs/>
          <w:sz w:val="24"/>
          <w:szCs w:val="24"/>
          <w:lang w:val="en-US" w:eastAsia="zh-CN"/>
        </w:rPr>
        <w:t>.</w:t>
      </w:r>
      <w:r>
        <w:rPr>
          <w:rFonts w:hint="eastAsia" w:ascii="Arial" w:hAnsi="Arial" w:eastAsia="宋体" w:cs="Arial"/>
          <w:b/>
          <w:bCs/>
          <w:sz w:val="24"/>
          <w:szCs w:val="24"/>
          <w:lang w:val="en-US" w:eastAsia="zh-CN"/>
        </w:rPr>
        <w:t xml:space="preserve"> a, </w:t>
      </w:r>
      <w:r>
        <w:rPr>
          <w:rFonts w:hint="eastAsia" w:ascii="Arial" w:hAnsi="Arial" w:eastAsia="宋体" w:cs="Arial"/>
          <w:b w:val="0"/>
          <w:bCs w:val="0"/>
          <w:sz w:val="24"/>
          <w:szCs w:val="24"/>
          <w:lang w:val="en-US" w:eastAsia="zh-CN"/>
        </w:rPr>
        <w:t xml:space="preserve">Quantification of Try658-phosphorylated VE-cadherin levels in cells at 0, 60, 90, and 120 minutes post-treatment. The expression of Try658/VE-Cad is significantly upregulated at 60 and 90 minutes compared to the 0-minute baseline, followed by a marked reduction at 120 minutes (n=3). </w:t>
      </w:r>
      <w:r>
        <w:rPr>
          <w:rFonts w:hint="eastAsia" w:ascii="Arial" w:hAnsi="Arial" w:eastAsia="宋体" w:cs="Arial"/>
          <w:b/>
          <w:bCs/>
          <w:sz w:val="24"/>
          <w:szCs w:val="24"/>
          <w:lang w:val="en-US" w:eastAsia="zh-CN"/>
        </w:rPr>
        <w:t>b,</w:t>
      </w:r>
      <w:r>
        <w:rPr>
          <w:rFonts w:hint="eastAsia" w:ascii="Arial" w:hAnsi="Arial" w:eastAsia="宋体" w:cs="Arial"/>
          <w:b w:val="0"/>
          <w:bCs w:val="0"/>
          <w:sz w:val="24"/>
          <w:szCs w:val="24"/>
          <w:lang w:val="en-US" w:eastAsia="zh-CN"/>
        </w:rPr>
        <w:t xml:space="preserve"> Time-course of aBDNF MFI. aBDNF levels increase significantly over time (n=3). </w:t>
      </w:r>
      <w:r>
        <w:rPr>
          <w:rFonts w:hint="eastAsia" w:ascii="Arial" w:hAnsi="Arial" w:eastAsia="宋体" w:cs="Arial"/>
          <w:b/>
          <w:bCs/>
          <w:sz w:val="24"/>
          <w:szCs w:val="24"/>
          <w:lang w:val="en-US" w:eastAsia="zh-CN"/>
        </w:rPr>
        <w:t>c,</w:t>
      </w:r>
      <w:r>
        <w:rPr>
          <w:rFonts w:hint="eastAsia" w:ascii="Arial" w:hAnsi="Arial" w:eastAsia="宋体" w:cs="Arial"/>
          <w:b w:val="0"/>
          <w:bCs w:val="0"/>
          <w:sz w:val="24"/>
          <w:szCs w:val="24"/>
          <w:lang w:val="en-US" w:eastAsia="zh-CN"/>
        </w:rPr>
        <w:t xml:space="preserve"> ZO-1 and Occludin expression under Ctrl, Free BP, iR-MBP, and iRA2-MBP treatments. Ctrl/Free BP show significantly higher tight junction protein levels than iR-MBP/iRA2-MBP (n=3). </w:t>
      </w:r>
      <w:r>
        <w:rPr>
          <w:rFonts w:hint="eastAsia" w:ascii="Arial" w:hAnsi="Arial" w:eastAsia="宋体" w:cs="Arial"/>
          <w:b/>
          <w:bCs/>
          <w:sz w:val="24"/>
          <w:szCs w:val="24"/>
          <w:lang w:val="en-US" w:eastAsia="zh-CN"/>
        </w:rPr>
        <w:t>d,</w:t>
      </w:r>
      <w:r>
        <w:rPr>
          <w:rFonts w:hint="eastAsia" w:ascii="Arial" w:hAnsi="Arial" w:eastAsia="宋体" w:cs="Arial"/>
          <w:b w:val="0"/>
          <w:bCs w:val="0"/>
          <w:sz w:val="24"/>
          <w:szCs w:val="24"/>
          <w:lang w:val="en-US" w:eastAsia="zh-CN"/>
        </w:rPr>
        <w:t xml:space="preserve"> Rab 7 and Rab5 expression (normalized to Tubulin) under Ctrl, Free BP, A2-MBP, and iRA2-MBP treatments. Ctrl/Free BP show significantly higher Rab 7 and Rab5 levels than A2-MBP/iRA2-MBP (n=3). </w:t>
      </w:r>
      <w:r>
        <w:rPr>
          <w:rFonts w:hint="eastAsia" w:ascii="Arial" w:hAnsi="Arial" w:eastAsia="宋体" w:cs="Arial"/>
          <w:b/>
          <w:bCs/>
          <w:sz w:val="24"/>
          <w:szCs w:val="24"/>
          <w:lang w:val="en-US" w:eastAsia="zh-CN"/>
        </w:rPr>
        <w:t>e,</w:t>
      </w:r>
      <w:r>
        <w:rPr>
          <w:rFonts w:hint="eastAsia" w:ascii="Arial" w:hAnsi="Arial" w:eastAsia="宋体" w:cs="Arial"/>
          <w:b w:val="0"/>
          <w:bCs w:val="0"/>
          <w:sz w:val="24"/>
          <w:szCs w:val="24"/>
          <w:lang w:val="en-US" w:eastAsia="zh-CN"/>
        </w:rPr>
        <w:t xml:space="preserve"> Fluorescence area under Ctrl, Free BP, MBP, and iRA2-MBP treatments. iRA2-MBP shows significantly higher fluorescence area than other groups (n=3).</w:t>
      </w:r>
      <w:r>
        <w:rPr>
          <w:rFonts w:hint="eastAsia" w:ascii="Arial" w:hAnsi="Arial" w:eastAsia="宋体" w:cs="Arial"/>
          <w:b/>
          <w:bCs/>
          <w:sz w:val="24"/>
          <w:szCs w:val="24"/>
          <w:lang w:val="en-US" w:eastAsia="zh-CN"/>
        </w:rPr>
        <w:t>f,</w:t>
      </w:r>
      <w:r>
        <w:rPr>
          <w:rFonts w:hint="eastAsia" w:ascii="Arial" w:hAnsi="Arial" w:eastAsia="宋体" w:cs="Arial"/>
          <w:b w:val="0"/>
          <w:bCs w:val="0"/>
          <w:sz w:val="24"/>
          <w:szCs w:val="24"/>
          <w:lang w:val="en-US" w:eastAsia="zh-CN"/>
        </w:rPr>
        <w:t xml:space="preserve"> Representative fluorescence cryosection images and quantification of brain tumor tissues from GL261 tumor-bearing mice at 12 h after intravenous injection of CY5-labeled formulations(n=3). </w:t>
      </w:r>
      <w:r>
        <w:rPr>
          <w:rFonts w:hint="eastAsia" w:ascii="Arial" w:hAnsi="Arial" w:eastAsia="宋体" w:cs="Arial"/>
          <w:b/>
          <w:bCs/>
          <w:sz w:val="24"/>
          <w:szCs w:val="24"/>
          <w:lang w:val="en-US" w:eastAsia="zh-CN"/>
        </w:rPr>
        <w:t>g,</w:t>
      </w:r>
      <w:r>
        <w:rPr>
          <w:rFonts w:hint="eastAsia" w:ascii="Arial" w:hAnsi="Arial" w:eastAsia="宋体" w:cs="Arial"/>
          <w:b w:val="0"/>
          <w:bCs w:val="0"/>
          <w:sz w:val="24"/>
          <w:szCs w:val="24"/>
          <w:lang w:val="en-US" w:eastAsia="zh-CN"/>
        </w:rPr>
        <w:t xml:space="preserve"> Plasma concentration–time curves of aBDNF following intravenous administration of free aBDNF or iRA2-MBP in GL261 tumor-bearing mice(n=3). </w:t>
      </w:r>
      <w:r>
        <w:rPr>
          <w:rFonts w:hint="eastAsia" w:ascii="Arial" w:hAnsi="Arial" w:eastAsia="宋体" w:cs="Arial"/>
          <w:b/>
          <w:bCs/>
          <w:sz w:val="24"/>
          <w:szCs w:val="24"/>
          <w:lang w:val="en-US" w:eastAsia="zh-CN"/>
        </w:rPr>
        <w:t xml:space="preserve">k-l, </w:t>
      </w:r>
      <w:r>
        <w:rPr>
          <w:rFonts w:hint="eastAsia" w:ascii="Arial" w:hAnsi="Arial" w:eastAsia="宋体" w:cs="Arial"/>
          <w:b w:val="0"/>
          <w:bCs w:val="0"/>
          <w:sz w:val="24"/>
          <w:szCs w:val="24"/>
          <w:lang w:val="en-US" w:eastAsia="zh-CN"/>
        </w:rPr>
        <w:t xml:space="preserve">Ex vivo fluorescence imaging of major organs (heart, liver, spleen, lung, kidney) harvested from GL261 tumor-bearing mice at 1, 2, 4, 8, 12, 24, and 48 h after intravenous injection of CY5-labeled iRA2-MBP (n = 3). </w:t>
      </w:r>
      <w:r>
        <w:rPr>
          <w:rFonts w:hint="eastAsia" w:ascii="Arial" w:hAnsi="Arial" w:eastAsia="宋体" w:cs="Arial"/>
          <w:b/>
          <w:bCs/>
          <w:sz w:val="24"/>
          <w:szCs w:val="24"/>
          <w:lang w:val="en-US" w:eastAsia="zh-CN"/>
        </w:rPr>
        <w:t>j,</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Histopathological evaluation after repeated iRA2-MBP dosing.</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 xml:space="preserve">Representative H&amp;E staining of brain, lung, liver, spleen, and kidney from GL261 tumor-bearing mice on day 30 post-implantation. iRA2-MBP was given on days 5, 8, 12, 16, 20, 24, and 28. Scale bar, </w:t>
      </w:r>
      <w:r>
        <w:rPr>
          <w:rFonts w:hint="eastAsia" w:ascii="Arial" w:hAnsi="Arial" w:eastAsia="宋体" w:cs="Arial"/>
          <w:b w:val="0"/>
          <w:bCs w:val="0"/>
          <w:sz w:val="24"/>
          <w:szCs w:val="24"/>
          <w:lang w:val="en-US" w:eastAsia="zh-CN"/>
        </w:rPr>
        <w:t>25</w:t>
      </w:r>
      <w:r>
        <w:rPr>
          <w:rFonts w:hint="default" w:ascii="Arial" w:hAnsi="Arial" w:eastAsia="宋体" w:cs="Arial"/>
          <w:b w:val="0"/>
          <w:bCs w:val="0"/>
          <w:sz w:val="24"/>
          <w:szCs w:val="24"/>
          <w:lang w:val="en-US" w:eastAsia="zh-CN"/>
        </w:rPr>
        <w:t xml:space="preserve"> μm.</w:t>
      </w:r>
      <w:r>
        <w:rPr>
          <w:rFonts w:hint="eastAsia" w:ascii="Arial" w:hAnsi="Arial" w:eastAsia="宋体" w:cs="Arial"/>
          <w:b w:val="0"/>
          <w:bCs w:val="0"/>
          <w:sz w:val="24"/>
          <w:szCs w:val="24"/>
          <w:lang w:val="en-US" w:eastAsia="zh-CN"/>
        </w:rPr>
        <w:t xml:space="preserve"> </w:t>
      </w:r>
      <w:r>
        <w:rPr>
          <w:rFonts w:hint="eastAsia" w:ascii="Arial" w:hAnsi="Arial" w:eastAsia="宋体" w:cs="Arial"/>
          <w:b/>
          <w:bCs/>
          <w:sz w:val="24"/>
          <w:szCs w:val="24"/>
          <w:lang w:val="en-US" w:eastAsia="zh-CN"/>
        </w:rPr>
        <w:t xml:space="preserve">k, </w:t>
      </w:r>
      <w:r>
        <w:rPr>
          <w:rFonts w:hint="eastAsia" w:ascii="Arial" w:hAnsi="Arial" w:eastAsia="宋体" w:cs="Arial"/>
          <w:b w:val="0"/>
          <w:bCs w:val="0"/>
          <w:sz w:val="24"/>
          <w:szCs w:val="24"/>
          <w:lang w:val="en-US" w:eastAsia="zh-CN"/>
        </w:rPr>
        <w:t>Serum biochemistry evaluation following repeated iRA2-MBP dosing. Serum ALT, AST, UREA, and CREA levels in GL261 tumor-bearing mice at day 0 and day 30. iRA2-MBP was administered on days 5, 8, 12, 16, 20, 24, and 28 post-implantation.</w:t>
      </w:r>
      <w:r>
        <w:rPr>
          <w:rFonts w:hint="eastAsia" w:ascii="Arial" w:hAnsi="Arial" w:eastAsia="宋体" w:cs="Arial"/>
          <w:b/>
          <w:bCs/>
          <w:sz w:val="24"/>
          <w:szCs w:val="24"/>
          <w:lang w:val="en-US" w:eastAsia="zh-CN"/>
        </w:rPr>
        <w:t xml:space="preserve"> </w:t>
      </w:r>
      <w:r>
        <w:rPr>
          <w:rFonts w:hint="default" w:ascii="Arial" w:hAnsi="Arial" w:eastAsia="宋体" w:cs="Arial"/>
          <w:sz w:val="24"/>
          <w:szCs w:val="24"/>
          <w:lang w:val="en-US" w:eastAsia="zh-CN"/>
        </w:rPr>
        <w:t>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6680B20E">
      <w:pPr>
        <w:numPr>
          <w:ilvl w:val="0"/>
          <w:numId w:val="0"/>
        </w:numPr>
        <w:rPr>
          <w:rFonts w:hint="default" w:ascii="Arial" w:hAnsi="Arial" w:eastAsia="宋体" w:cs="Arial"/>
          <w:sz w:val="24"/>
          <w:szCs w:val="24"/>
          <w:lang w:val="en-US" w:eastAsia="zh-CN"/>
        </w:rPr>
      </w:pPr>
    </w:p>
    <w:p w14:paraId="3E8C9C09">
      <w:pPr>
        <w:numPr>
          <w:ilvl w:val="0"/>
          <w:numId w:val="0"/>
        </w:numPr>
        <w:rPr>
          <w:rFonts w:hint="default" w:ascii="Arial" w:hAnsi="Arial" w:eastAsia="宋体" w:cs="Arial"/>
          <w:sz w:val="24"/>
          <w:szCs w:val="24"/>
          <w:lang w:val="en-US" w:eastAsia="zh-CN"/>
        </w:rPr>
      </w:pPr>
    </w:p>
    <w:p w14:paraId="558A0E77">
      <w:pPr>
        <w:numPr>
          <w:ilvl w:val="0"/>
          <w:numId w:val="0"/>
        </w:numPr>
        <w:rPr>
          <w:rFonts w:hint="default" w:ascii="Arial" w:hAnsi="Arial" w:eastAsia="宋体" w:cs="Arial"/>
          <w:sz w:val="24"/>
          <w:szCs w:val="24"/>
          <w:lang w:val="en-US" w:eastAsia="zh-CN"/>
        </w:rPr>
      </w:pPr>
    </w:p>
    <w:p w14:paraId="3B6149DD">
      <w:pPr>
        <w:numPr>
          <w:ilvl w:val="0"/>
          <w:numId w:val="0"/>
        </w:numPr>
        <w:rPr>
          <w:rFonts w:hint="default" w:ascii="Arial" w:hAnsi="Arial" w:eastAsia="宋体" w:cs="Arial"/>
          <w:sz w:val="24"/>
          <w:szCs w:val="24"/>
          <w:lang w:val="en-US" w:eastAsia="zh-CN"/>
        </w:rPr>
      </w:pPr>
    </w:p>
    <w:p w14:paraId="5C364B0E">
      <w:pPr>
        <w:numPr>
          <w:ilvl w:val="0"/>
          <w:numId w:val="0"/>
        </w:numPr>
        <w:rPr>
          <w:rFonts w:hint="default" w:ascii="Arial" w:hAnsi="Arial" w:eastAsia="宋体" w:cs="Arial"/>
          <w:sz w:val="24"/>
          <w:szCs w:val="24"/>
          <w:lang w:val="en-US" w:eastAsia="zh-CN"/>
        </w:rPr>
      </w:pPr>
    </w:p>
    <w:p w14:paraId="614FCD92">
      <w:pPr>
        <w:numPr>
          <w:ilvl w:val="0"/>
          <w:numId w:val="0"/>
        </w:numPr>
        <w:rPr>
          <w:rFonts w:hint="default" w:ascii="Arial" w:hAnsi="Arial" w:eastAsia="宋体" w:cs="Arial"/>
          <w:sz w:val="24"/>
          <w:szCs w:val="24"/>
          <w:lang w:val="en-US" w:eastAsia="zh-CN"/>
        </w:rPr>
      </w:pPr>
    </w:p>
    <w:p w14:paraId="79093CBA">
      <w:pPr>
        <w:numPr>
          <w:ilvl w:val="0"/>
          <w:numId w:val="0"/>
        </w:numPr>
        <w:rPr>
          <w:rFonts w:hint="default" w:ascii="Arial" w:hAnsi="Arial" w:eastAsia="宋体" w:cs="Arial"/>
          <w:sz w:val="24"/>
          <w:szCs w:val="24"/>
          <w:lang w:val="en-US" w:eastAsia="zh-CN"/>
        </w:rPr>
      </w:pPr>
    </w:p>
    <w:p w14:paraId="5037BBF8">
      <w:pPr>
        <w:numPr>
          <w:ilvl w:val="0"/>
          <w:numId w:val="0"/>
        </w:numPr>
        <w:rPr>
          <w:rFonts w:hint="default" w:ascii="Arial" w:hAnsi="Arial" w:eastAsia="宋体" w:cs="Arial"/>
          <w:sz w:val="24"/>
          <w:szCs w:val="24"/>
          <w:lang w:val="en-US" w:eastAsia="zh-CN"/>
        </w:rPr>
      </w:pPr>
    </w:p>
    <w:p w14:paraId="2334ED67">
      <w:pPr>
        <w:numPr>
          <w:ilvl w:val="0"/>
          <w:numId w:val="0"/>
        </w:numPr>
        <w:rPr>
          <w:rFonts w:hint="default" w:ascii="Arial" w:hAnsi="Arial" w:eastAsia="宋体" w:cs="Arial"/>
          <w:sz w:val="24"/>
          <w:szCs w:val="24"/>
          <w:lang w:val="en-US" w:eastAsia="zh-CN"/>
        </w:rPr>
      </w:pPr>
    </w:p>
    <w:p w14:paraId="6F53FA19">
      <w:pPr>
        <w:numPr>
          <w:ilvl w:val="0"/>
          <w:numId w:val="0"/>
        </w:numPr>
        <w:rPr>
          <w:rFonts w:hint="default" w:ascii="Arial" w:hAnsi="Arial" w:eastAsia="宋体" w:cs="Arial"/>
          <w:sz w:val="24"/>
          <w:szCs w:val="24"/>
          <w:lang w:val="en-US" w:eastAsia="zh-CN"/>
        </w:rPr>
      </w:pPr>
    </w:p>
    <w:p w14:paraId="1A398961">
      <w:pPr>
        <w:numPr>
          <w:ilvl w:val="0"/>
          <w:numId w:val="0"/>
        </w:numPr>
        <w:rPr>
          <w:rFonts w:hint="default" w:ascii="Arial" w:hAnsi="Arial" w:eastAsia="宋体" w:cs="Arial"/>
          <w:sz w:val="24"/>
          <w:szCs w:val="24"/>
          <w:lang w:val="en-US" w:eastAsia="zh-CN"/>
        </w:rPr>
      </w:pPr>
    </w:p>
    <w:p w14:paraId="05F1514F">
      <w:pPr>
        <w:numPr>
          <w:ilvl w:val="0"/>
          <w:numId w:val="0"/>
        </w:numPr>
        <w:rPr>
          <w:rFonts w:hint="default" w:ascii="Arial" w:hAnsi="Arial" w:eastAsia="宋体" w:cs="Arial"/>
          <w:sz w:val="24"/>
          <w:szCs w:val="24"/>
          <w:lang w:val="en-US" w:eastAsia="zh-CN"/>
        </w:rPr>
      </w:pPr>
    </w:p>
    <w:p w14:paraId="7C3082C5">
      <w:pPr>
        <w:numPr>
          <w:ilvl w:val="0"/>
          <w:numId w:val="0"/>
        </w:numPr>
        <w:rPr>
          <w:rFonts w:hint="default" w:ascii="Arial" w:hAnsi="Arial" w:eastAsia="宋体" w:cs="Arial"/>
          <w:sz w:val="24"/>
          <w:szCs w:val="24"/>
          <w:lang w:val="en-US" w:eastAsia="zh-CN"/>
        </w:rPr>
      </w:pPr>
      <w:r>
        <w:rPr>
          <w:rFonts w:hint="default" w:ascii="Arial" w:hAnsi="Arial" w:eastAsia="宋体" w:cs="Arial"/>
          <w:sz w:val="24"/>
          <w:szCs w:val="24"/>
          <w:lang w:val="en-US" w:eastAsia="zh-CN"/>
        </w:rPr>
        <w:drawing>
          <wp:inline distT="0" distB="0" distL="114300" distR="114300">
            <wp:extent cx="5267325" cy="6919595"/>
            <wp:effectExtent l="0" t="0" r="0" b="5080"/>
            <wp:docPr id="1" name="图片 1" descr="补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补充"/>
                    <pic:cNvPicPr>
                      <a:picLocks noChangeAspect="1"/>
                    </pic:cNvPicPr>
                  </pic:nvPicPr>
                  <pic:blipFill>
                    <a:blip r:embed="rId9"/>
                    <a:stretch>
                      <a:fillRect/>
                    </a:stretch>
                  </pic:blipFill>
                  <pic:spPr>
                    <a:xfrm>
                      <a:off x="0" y="0"/>
                      <a:ext cx="5267325" cy="6919595"/>
                    </a:xfrm>
                    <a:prstGeom prst="rect">
                      <a:avLst/>
                    </a:prstGeom>
                  </pic:spPr>
                </pic:pic>
              </a:graphicData>
            </a:graphic>
          </wp:inline>
        </w:drawing>
      </w:r>
    </w:p>
    <w:p w14:paraId="54DFDDED">
      <w:pPr>
        <w:numPr>
          <w:ilvl w:val="0"/>
          <w:numId w:val="0"/>
        </w:numPr>
        <w:jc w:val="both"/>
        <w:rPr>
          <w:rFonts w:hint="default" w:ascii="Arial" w:hAnsi="Arial" w:eastAsia="宋体" w:cs="Arial"/>
          <w:sz w:val="24"/>
          <w:szCs w:val="24"/>
          <w:lang w:val="en-US" w:eastAsia="zh-CN"/>
        </w:rPr>
      </w:pP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6</w:t>
      </w:r>
      <w:r>
        <w:rPr>
          <w:rFonts w:hint="default" w:ascii="Arial" w:hAnsi="Arial" w:eastAsia="宋体" w:cs="Arial"/>
          <w:b/>
          <w:bCs/>
          <w:sz w:val="24"/>
          <w:szCs w:val="24"/>
          <w:lang w:val="en-US" w:eastAsia="zh-CN"/>
        </w:rPr>
        <w:t>.</w:t>
      </w:r>
      <w:r>
        <w:rPr>
          <w:rFonts w:hint="eastAsia" w:ascii="Arial" w:hAnsi="Arial" w:eastAsia="宋体" w:cs="Arial"/>
          <w:b/>
          <w:bCs/>
          <w:sz w:val="24"/>
          <w:szCs w:val="24"/>
          <w:lang w:val="en-US" w:eastAsia="zh-CN"/>
        </w:rPr>
        <w:t xml:space="preserve"> a, </w:t>
      </w:r>
      <w:r>
        <w:rPr>
          <w:rFonts w:hint="eastAsia" w:ascii="Arial" w:hAnsi="Arial" w:eastAsia="宋体" w:cs="Arial"/>
          <w:b w:val="0"/>
          <w:bCs w:val="0"/>
          <w:sz w:val="24"/>
          <w:szCs w:val="24"/>
          <w:lang w:val="en-US" w:eastAsia="zh-CN"/>
        </w:rPr>
        <w:t xml:space="preserve">Body weight changes in tumor-bearing mice over 15 days (Saline/FreeBP/MBP/iR-MBP/A2-MBP/iRA2-MBP). iRA2-MBP preserves body weight, while other groups show significant loss (n=5). </w:t>
      </w:r>
      <w:r>
        <w:rPr>
          <w:rFonts w:hint="eastAsia" w:ascii="Arial" w:hAnsi="Arial" w:eastAsia="宋体" w:cs="Arial"/>
          <w:b/>
          <w:bCs/>
          <w:sz w:val="24"/>
          <w:szCs w:val="24"/>
          <w:lang w:val="en-US" w:eastAsia="zh-CN"/>
        </w:rPr>
        <w:t>b,</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Serum biochemical parameters reflecting liver and kidney function in mice treated with control (Ctrl), MBP, or iRA2-MBP. Liver function markers: alanine aminotransferase (ALT, U/L) and aspartate aminotransferase (AST, U/L); kidney function markers: urea (UREA, mmol/L) and creatinine (CREA, μmol/L). No significant differences in these parameters are observed between treatment groups (MBP/iRA2-MBP) and the Ctrl group, indicating favorable biocompatibility and biosafety of the MBP-based formulations</w:t>
      </w:r>
      <w:r>
        <w:rPr>
          <w:rFonts w:hint="eastAsia" w:ascii="Arial" w:hAnsi="Arial" w:eastAsia="宋体" w:cs="Arial"/>
          <w:b w:val="0"/>
          <w:bCs w:val="0"/>
          <w:sz w:val="24"/>
          <w:szCs w:val="24"/>
          <w:lang w:val="en-US" w:eastAsia="zh-CN"/>
        </w:rPr>
        <w:t xml:space="preserve"> (n=5)</w:t>
      </w:r>
      <w:r>
        <w:rPr>
          <w:rFonts w:hint="default" w:ascii="Arial" w:hAnsi="Arial" w:eastAsia="宋体" w:cs="Arial"/>
          <w:b w:val="0"/>
          <w:bCs w:val="0"/>
          <w:sz w:val="24"/>
          <w:szCs w:val="24"/>
          <w:lang w:val="en-US" w:eastAsia="zh-CN"/>
        </w:rPr>
        <w:t>.</w:t>
      </w:r>
      <w:r>
        <w:rPr>
          <w:rFonts w:hint="eastAsia" w:ascii="Arial" w:hAnsi="Arial" w:eastAsia="宋体" w:cs="Arial"/>
          <w:b w:val="0"/>
          <w:bCs w:val="0"/>
          <w:sz w:val="24"/>
          <w:szCs w:val="24"/>
          <w:lang w:val="en-US" w:eastAsia="zh-CN"/>
        </w:rPr>
        <w:t xml:space="preserve"> HE staining of major organs (Lung/Liver/Spleen/Kidney/Brain) in mice under Saline/FreeBP/MBP/iR-MBP/A2-MBP/iRA2-MBP treatments. No histopathological abnormalities are observed in any group, indicating good in vivo biocompatibility. </w:t>
      </w:r>
      <w:r>
        <w:rPr>
          <w:rFonts w:hint="default" w:ascii="Arial" w:hAnsi="Arial" w:eastAsia="宋体" w:cs="Arial"/>
          <w:b w:val="0"/>
          <w:bCs w:val="0"/>
          <w:sz w:val="24"/>
          <w:szCs w:val="24"/>
          <w:lang w:val="en-US" w:eastAsia="zh-CN"/>
        </w:rPr>
        <w:t xml:space="preserve">Scale bar: </w:t>
      </w:r>
      <w:r>
        <w:rPr>
          <w:rFonts w:hint="eastAsia" w:ascii="Arial" w:hAnsi="Arial" w:eastAsia="宋体" w:cs="Arial"/>
          <w:b w:val="0"/>
          <w:bCs w:val="0"/>
          <w:sz w:val="24"/>
          <w:szCs w:val="24"/>
          <w:lang w:val="en-US" w:eastAsia="zh-CN"/>
        </w:rPr>
        <w:t>2</w:t>
      </w:r>
      <w:r>
        <w:rPr>
          <w:rFonts w:hint="default" w:ascii="Arial" w:hAnsi="Arial" w:eastAsia="宋体" w:cs="Arial"/>
          <w:b w:val="0"/>
          <w:bCs w:val="0"/>
          <w:sz w:val="24"/>
          <w:szCs w:val="24"/>
          <w:lang w:val="en-US" w:eastAsia="zh-CN"/>
        </w:rPr>
        <w:t>0 μm</w:t>
      </w:r>
      <w:r>
        <w:rPr>
          <w:rFonts w:hint="eastAsia" w:ascii="Arial" w:hAnsi="Arial" w:eastAsia="宋体" w:cs="Arial"/>
          <w:b w:val="0"/>
          <w:bCs w:val="0"/>
          <w:sz w:val="24"/>
          <w:szCs w:val="24"/>
          <w:lang w:val="en-US" w:eastAsia="zh-CN"/>
        </w:rPr>
        <w:t xml:space="preserve"> (n=5). </w:t>
      </w:r>
      <w:r>
        <w:rPr>
          <w:rFonts w:hint="eastAsia" w:ascii="Arial" w:hAnsi="Arial" w:eastAsia="宋体" w:cs="Arial"/>
          <w:b/>
          <w:bCs/>
          <w:sz w:val="24"/>
          <w:szCs w:val="24"/>
          <w:lang w:val="en-US" w:eastAsia="zh-CN"/>
        </w:rPr>
        <w:t>c,</w:t>
      </w:r>
      <w:r>
        <w:rPr>
          <w:rFonts w:hint="eastAsia" w:ascii="Arial" w:hAnsi="Arial" w:eastAsia="宋体" w:cs="Arial"/>
          <w:b w:val="0"/>
          <w:bCs w:val="0"/>
          <w:sz w:val="24"/>
          <w:szCs w:val="24"/>
          <w:lang w:val="en-US" w:eastAsia="zh-CN"/>
        </w:rPr>
        <w:t xml:space="preserve"> TH</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vertAlign w:val="baseline"/>
          <w:lang w:val="en-US" w:eastAsia="zh-CN"/>
        </w:rPr>
        <w:t xml:space="preserve"> </w:t>
      </w:r>
      <w:r>
        <w:rPr>
          <w:rFonts w:hint="eastAsia" w:ascii="Arial" w:hAnsi="Arial" w:eastAsia="宋体" w:cs="Arial"/>
          <w:b w:val="0"/>
          <w:bCs w:val="0"/>
          <w:sz w:val="24"/>
          <w:szCs w:val="24"/>
          <w:lang w:val="en-US" w:eastAsia="zh-CN"/>
        </w:rPr>
        <w:t xml:space="preserve">Immunofluorescence images (left) and fluorescence area quantification (right) in mouse tissues under Saline/Free BP/MBP/iR-MBP/A2-MBP/iRA2-MBP treatments. iRA2-MBP shows the lowest, while Saline shows the highest fluorescence area(n=5). </w:t>
      </w:r>
      <w:r>
        <w:rPr>
          <w:rFonts w:hint="default" w:ascii="Arial" w:hAnsi="Arial" w:eastAsia="宋体" w:cs="Arial"/>
          <w:sz w:val="24"/>
          <w:szCs w:val="24"/>
          <w:lang w:val="en-US" w:eastAsia="zh-CN"/>
        </w:rPr>
        <w:t>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310DDD2A">
      <w:pPr>
        <w:numPr>
          <w:ilvl w:val="0"/>
          <w:numId w:val="0"/>
        </w:numPr>
        <w:jc w:val="both"/>
        <w:rPr>
          <w:rFonts w:hint="default" w:ascii="Arial" w:hAnsi="Arial" w:eastAsia="宋体" w:cs="Arial"/>
          <w:sz w:val="24"/>
          <w:szCs w:val="24"/>
          <w:lang w:val="en-US" w:eastAsia="zh-CN"/>
        </w:rPr>
      </w:pPr>
      <w:r>
        <w:rPr>
          <w:rFonts w:hint="default" w:ascii="Arial" w:hAnsi="Arial" w:eastAsia="宋体" w:cs="Arial"/>
          <w:sz w:val="24"/>
          <w:szCs w:val="24"/>
          <w:lang w:val="en-US" w:eastAsia="zh-CN"/>
        </w:rPr>
        <w:drawing>
          <wp:anchor distT="0" distB="0" distL="114300" distR="114300" simplePos="0" relativeHeight="251659264" behindDoc="0" locked="0" layoutInCell="1" allowOverlap="1">
            <wp:simplePos x="0" y="0"/>
            <wp:positionH relativeFrom="column">
              <wp:posOffset>-278765</wp:posOffset>
            </wp:positionH>
            <wp:positionV relativeFrom="paragraph">
              <wp:posOffset>131445</wp:posOffset>
            </wp:positionV>
            <wp:extent cx="5782945" cy="5127625"/>
            <wp:effectExtent l="0" t="0" r="8255" b="6350"/>
            <wp:wrapTopAndBottom/>
            <wp:docPr id="10" name="图片 10" descr="未标题-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未标题-7"/>
                    <pic:cNvPicPr>
                      <a:picLocks noChangeAspect="1"/>
                    </pic:cNvPicPr>
                  </pic:nvPicPr>
                  <pic:blipFill>
                    <a:blip r:embed="rId10"/>
                    <a:stretch>
                      <a:fillRect/>
                    </a:stretch>
                  </pic:blipFill>
                  <pic:spPr>
                    <a:xfrm>
                      <a:off x="0" y="0"/>
                      <a:ext cx="5782945" cy="5127625"/>
                    </a:xfrm>
                    <a:prstGeom prst="rect">
                      <a:avLst/>
                    </a:prstGeom>
                  </pic:spPr>
                </pic:pic>
              </a:graphicData>
            </a:graphic>
          </wp:anchor>
        </w:drawing>
      </w:r>
    </w:p>
    <w:p w14:paraId="6C78286E">
      <w:pPr>
        <w:numPr>
          <w:ilvl w:val="0"/>
          <w:numId w:val="0"/>
        </w:numPr>
        <w:jc w:val="both"/>
        <w:rPr>
          <w:rFonts w:hint="default" w:ascii="Arial" w:hAnsi="Arial" w:eastAsia="宋体" w:cs="Arial"/>
          <w:sz w:val="24"/>
          <w:szCs w:val="24"/>
          <w:lang w:val="en-US" w:eastAsia="zh-CN"/>
        </w:rPr>
      </w:pP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7</w:t>
      </w:r>
      <w:r>
        <w:rPr>
          <w:rFonts w:hint="default" w:ascii="Arial" w:hAnsi="Arial" w:eastAsia="宋体" w:cs="Arial"/>
          <w:b/>
          <w:bCs/>
          <w:sz w:val="24"/>
          <w:szCs w:val="24"/>
          <w:lang w:val="en-US" w:eastAsia="zh-CN"/>
        </w:rPr>
        <w:t>.</w:t>
      </w:r>
      <w:r>
        <w:rPr>
          <w:rFonts w:hint="eastAsia" w:ascii="Arial" w:hAnsi="Arial" w:eastAsia="宋体" w:cs="Arial"/>
          <w:b/>
          <w:bCs/>
          <w:sz w:val="24"/>
          <w:szCs w:val="24"/>
          <w:lang w:val="en-US" w:eastAsia="zh-CN"/>
        </w:rPr>
        <w:t xml:space="preserve"> a, </w:t>
      </w:r>
      <w:r>
        <w:rPr>
          <w:rFonts w:hint="eastAsia" w:ascii="Arial" w:hAnsi="Arial" w:eastAsia="宋体" w:cs="Arial"/>
          <w:b w:val="0"/>
          <w:bCs w:val="0"/>
          <w:sz w:val="24"/>
          <w:szCs w:val="24"/>
          <w:lang w:val="en-US" w:eastAsia="zh-CN"/>
        </w:rPr>
        <w:t xml:space="preserve">CD8+ T Cells/Tregs ratio in tumor tissues under Saline/FreeBP/MBP/iR-MBP/A2-MBP/iRA2-MBP treatments. iRA2-MBP shows the highest ratio, indicating enhanced anti-tumor immunity (n=4). </w:t>
      </w:r>
      <w:r>
        <w:rPr>
          <w:rFonts w:hint="eastAsia" w:ascii="Arial" w:hAnsi="Arial" w:eastAsia="宋体" w:cs="Arial"/>
          <w:b/>
          <w:bCs/>
          <w:sz w:val="24"/>
          <w:szCs w:val="24"/>
          <w:lang w:val="en-US" w:eastAsia="zh-CN"/>
        </w:rPr>
        <w:t>b,</w:t>
      </w:r>
      <w:r>
        <w:rPr>
          <w:rFonts w:hint="eastAsia" w:ascii="Arial" w:hAnsi="Arial" w:eastAsia="宋体" w:cs="Arial"/>
          <w:b w:val="0"/>
          <w:bCs w:val="0"/>
          <w:sz w:val="24"/>
          <w:szCs w:val="24"/>
          <w:lang w:val="en-US" w:eastAsia="zh-CN"/>
        </w:rPr>
        <w:t xml:space="preserve"> CD86</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fluorescence area and M1/M2 ratio in tumor tissues under Saline/Free BP/MBP/iR-MBP/A2-MBP/iRA2-MBP treatments. iRA2-MBP shows the highest levels , indicating enhanced M1 macrophage polarization (n=4). </w:t>
      </w:r>
      <w:r>
        <w:rPr>
          <w:rFonts w:hint="eastAsia" w:ascii="Arial" w:hAnsi="Arial" w:eastAsia="宋体" w:cs="Arial"/>
          <w:b/>
          <w:bCs/>
          <w:sz w:val="24"/>
          <w:szCs w:val="24"/>
          <w:lang w:val="en-US" w:eastAsia="zh-CN"/>
        </w:rPr>
        <w:t>c,</w:t>
      </w:r>
      <w:r>
        <w:rPr>
          <w:rFonts w:hint="eastAsia" w:ascii="Arial" w:hAnsi="Arial" w:eastAsia="宋体" w:cs="Arial"/>
          <w:b w:val="0"/>
          <w:bCs w:val="0"/>
          <w:sz w:val="24"/>
          <w:szCs w:val="24"/>
          <w:lang w:val="en-US" w:eastAsia="zh-CN"/>
        </w:rPr>
        <w:t xml:space="preserve"> Flow cytometry analysis of MHCII expression (MFI) in APCs under Saline/Free BP/MBP/iR-MBP/A2-MBP/iRA2-MBP treatments. iRA2-MBP shows the highest MHCII, indicating enhanced antigen presentation (n=4). </w:t>
      </w:r>
      <w:r>
        <w:rPr>
          <w:rFonts w:hint="eastAsia" w:ascii="Arial" w:hAnsi="Arial" w:eastAsia="宋体" w:cs="Arial"/>
          <w:b/>
          <w:bCs/>
          <w:sz w:val="24"/>
          <w:szCs w:val="24"/>
          <w:lang w:val="en-US" w:eastAsia="zh-CN"/>
        </w:rPr>
        <w:t>d,</w:t>
      </w:r>
      <w:r>
        <w:rPr>
          <w:rFonts w:hint="eastAsia" w:ascii="Arial" w:hAnsi="Arial" w:eastAsia="宋体" w:cs="Arial"/>
          <w:b w:val="0"/>
          <w:bCs w:val="0"/>
          <w:sz w:val="24"/>
          <w:szCs w:val="24"/>
          <w:lang w:val="en-US" w:eastAsia="zh-CN"/>
        </w:rPr>
        <w:t xml:space="preserve"> Flow cytometry analysis of CD86 (left) and CD80 (right) expression in APCs under Saline/Free BP/MBP/iR-MBP/A2-MBP/iRA2-MBP treatments. iRA2-MBP shows the highest, indicating enhanced APC activation (n=4). </w:t>
      </w:r>
      <w:r>
        <w:rPr>
          <w:rFonts w:hint="eastAsia" w:ascii="Arial" w:hAnsi="Arial" w:eastAsia="宋体" w:cs="Arial"/>
          <w:b/>
          <w:bCs/>
          <w:sz w:val="24"/>
          <w:szCs w:val="24"/>
          <w:lang w:val="en-US" w:eastAsia="zh-CN"/>
        </w:rPr>
        <w:t>e,</w:t>
      </w:r>
      <w:r>
        <w:rPr>
          <w:rFonts w:hint="eastAsia" w:ascii="Arial" w:hAnsi="Arial" w:eastAsia="宋体" w:cs="Arial"/>
          <w:b w:val="0"/>
          <w:bCs w:val="0"/>
          <w:sz w:val="24"/>
          <w:szCs w:val="24"/>
          <w:lang w:val="en-US" w:eastAsia="zh-CN"/>
        </w:rPr>
        <w:t xml:space="preserve"> Percentage of MHCII</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/CD86</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/CD80</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cells in CD11c</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mDCs under Saline/Free BP/MBP/iR-MBP/A2-MBP/iRA2-MBP treatments. iRA2-MBP shows the highest DC activation, indicating enhanced anti-tumor immunity (n=4). </w:t>
      </w:r>
      <w:r>
        <w:rPr>
          <w:rFonts w:hint="eastAsia" w:ascii="Arial" w:hAnsi="Arial" w:eastAsia="宋体" w:cs="Arial"/>
          <w:b/>
          <w:bCs/>
          <w:sz w:val="24"/>
          <w:szCs w:val="24"/>
          <w:lang w:val="en-US" w:eastAsia="zh-CN"/>
        </w:rPr>
        <w:t>f,</w:t>
      </w:r>
      <w:r>
        <w:rPr>
          <w:rFonts w:hint="eastAsia" w:ascii="Arial" w:hAnsi="Arial" w:eastAsia="宋体" w:cs="Arial"/>
          <w:b w:val="0"/>
          <w:bCs w:val="0"/>
          <w:sz w:val="24"/>
          <w:szCs w:val="24"/>
          <w:lang w:val="en-US" w:eastAsia="zh-CN"/>
        </w:rPr>
        <w:t xml:space="preserve"> HMGB1 levels (pg/ml) under Saline/Free BP/MBP/iR-MBP/A2-MBP/iRA2-MBP treatments. iRA2-MBP shows the highest HMGB1 level, indicating enhanced immunogenic cell death (n=4). </w:t>
      </w:r>
      <w:r>
        <w:rPr>
          <w:rFonts w:hint="eastAsia" w:ascii="Arial" w:hAnsi="Arial" w:eastAsia="宋体" w:cs="Arial"/>
          <w:b/>
          <w:bCs/>
          <w:sz w:val="24"/>
          <w:szCs w:val="24"/>
          <w:lang w:val="en-US" w:eastAsia="zh-CN"/>
        </w:rPr>
        <w:t>g,</w:t>
      </w:r>
      <w:r>
        <w:rPr>
          <w:rFonts w:hint="eastAsia" w:ascii="Arial" w:hAnsi="Arial" w:eastAsia="宋体" w:cs="Arial"/>
          <w:b w:val="0"/>
          <w:bCs w:val="0"/>
          <w:sz w:val="24"/>
          <w:szCs w:val="24"/>
          <w:lang w:val="en-US" w:eastAsia="zh-CN"/>
        </w:rPr>
        <w:t xml:space="preserve"> Cytokine levels (</w:t>
      </w:r>
      <w:r>
        <w:rPr>
          <w:rFonts w:hint="default" w:ascii="Arial" w:hAnsi="Arial" w:eastAsia="宋体" w:cs="Arial"/>
          <w:b w:val="0"/>
          <w:bCs w:val="0"/>
          <w:sz w:val="24"/>
          <w:szCs w:val="24"/>
          <w:lang w:val="en-US" w:eastAsia="zh-CN"/>
        </w:rPr>
        <w:t>IFN-γ/TNF-α/IL-10, pg/m</w:t>
      </w:r>
      <w:r>
        <w:rPr>
          <w:rFonts w:hint="eastAsia" w:ascii="Arial" w:hAnsi="Arial" w:eastAsia="宋体" w:cs="Arial"/>
          <w:b w:val="0"/>
          <w:bCs w:val="0"/>
          <w:sz w:val="24"/>
          <w:szCs w:val="24"/>
          <w:lang w:val="en-US" w:eastAsia="zh-CN"/>
        </w:rPr>
        <w:t xml:space="preserve">l) in tumor tissues under Saline/FreeBP/MBP/iR-MBP/A2-MBP/iRA2-MBP treatments. iRA2-MBP shows highest pro-inflammatory cytokines and lowest immunosuppressive IL-10, indicating enhanced anti-tumor immunity (n=4). </w:t>
      </w:r>
      <w:r>
        <w:rPr>
          <w:rFonts w:hint="eastAsia" w:ascii="Arial" w:hAnsi="Arial" w:eastAsia="宋体" w:cs="Arial"/>
          <w:b/>
          <w:bCs/>
          <w:sz w:val="24"/>
          <w:szCs w:val="24"/>
          <w:lang w:val="en-US" w:eastAsia="zh-CN"/>
        </w:rPr>
        <w:t xml:space="preserve">h, </w:t>
      </w:r>
      <w:r>
        <w:rPr>
          <w:rFonts w:hint="eastAsia" w:ascii="Arial" w:hAnsi="Arial" w:eastAsia="宋体" w:cs="Arial"/>
          <w:b w:val="0"/>
          <w:bCs w:val="0"/>
          <w:sz w:val="24"/>
          <w:szCs w:val="24"/>
          <w:lang w:val="en-US" w:eastAsia="zh-CN"/>
        </w:rPr>
        <w:t>Flow cytometry contour plot analysis of CD8</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cytotoxic T cell proportion within the CD3</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T cell population in tumor tissues from mice treated with control or aCD8 (n=3). </w:t>
      </w:r>
      <w:r>
        <w:rPr>
          <w:rFonts w:hint="default" w:ascii="Arial" w:hAnsi="Arial" w:eastAsia="宋体" w:cs="Arial"/>
          <w:sz w:val="24"/>
          <w:szCs w:val="24"/>
          <w:lang w:val="en-US" w:eastAsia="zh-CN"/>
        </w:rPr>
        <w:t>Data are mean ± SEM. Statistical significance by unpaired t</w:t>
      </w:r>
      <w:r>
        <w:rPr>
          <w:rFonts w:hint="default" w:ascii="Arial" w:hAnsi="Arial" w:eastAsia="宋体" w:cs="Arial"/>
          <w:sz w:val="24"/>
          <w:szCs w:val="24"/>
          <w:lang w:val="en-US" w:eastAsia="zh-CN"/>
        </w:rPr>
        <w:noBreakHyphen/>
      </w:r>
      <w:r>
        <w:rPr>
          <w:rFonts w:hint="default" w:ascii="Arial" w:hAnsi="Arial" w:eastAsia="宋体" w:cs="Arial"/>
          <w:sz w:val="24"/>
          <w:szCs w:val="24"/>
          <w:lang w:val="en-US" w:eastAsia="zh-CN"/>
        </w:rPr>
        <w:t>test; exact P values shown.</w:t>
      </w:r>
    </w:p>
    <w:p w14:paraId="6DD9DBC2">
      <w:pPr>
        <w:numPr>
          <w:ilvl w:val="0"/>
          <w:numId w:val="0"/>
        </w:numPr>
        <w:jc w:val="both"/>
        <w:rPr>
          <w:rFonts w:hint="default" w:ascii="Arial" w:hAnsi="Arial" w:eastAsia="宋体" w:cs="Arial"/>
          <w:sz w:val="24"/>
          <w:szCs w:val="24"/>
          <w:lang w:val="en-US" w:eastAsia="zh-CN"/>
        </w:rPr>
      </w:pPr>
    </w:p>
    <w:p w14:paraId="1D2D0892">
      <w:pPr>
        <w:numPr>
          <w:ilvl w:val="0"/>
          <w:numId w:val="0"/>
        </w:numPr>
        <w:jc w:val="both"/>
        <w:rPr>
          <w:rFonts w:hint="default" w:ascii="Arial" w:hAnsi="Arial" w:eastAsia="宋体" w:cs="Arial"/>
          <w:sz w:val="24"/>
          <w:szCs w:val="24"/>
          <w:lang w:val="en-US" w:eastAsia="zh-CN"/>
        </w:rPr>
      </w:pPr>
      <w:r>
        <w:rPr>
          <w:rFonts w:hint="default" w:ascii="Arial" w:hAnsi="Arial" w:eastAsia="宋体" w:cs="Arial"/>
          <w:sz w:val="24"/>
          <w:szCs w:val="24"/>
          <w:lang w:val="en-US" w:eastAsia="zh-CN"/>
        </w:rPr>
        <w:drawing>
          <wp:inline distT="0" distB="0" distL="114300" distR="114300">
            <wp:extent cx="5273040" cy="3002280"/>
            <wp:effectExtent l="0" t="0" r="3810" b="7620"/>
            <wp:docPr id="13" name="图片 13" descr="未标题-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未标题-8"/>
                    <pic:cNvPicPr>
                      <a:picLocks noChangeAspect="1"/>
                    </pic:cNvPicPr>
                  </pic:nvPicPr>
                  <pic:blipFill>
                    <a:blip r:embed="rId11"/>
                    <a:stretch>
                      <a:fillRect/>
                    </a:stretch>
                  </pic:blipFill>
                  <pic:spPr>
                    <a:xfrm>
                      <a:off x="0" y="0"/>
                      <a:ext cx="5273040" cy="3002280"/>
                    </a:xfrm>
                    <a:prstGeom prst="rect">
                      <a:avLst/>
                    </a:prstGeom>
                  </pic:spPr>
                </pic:pic>
              </a:graphicData>
            </a:graphic>
          </wp:inline>
        </w:drawing>
      </w:r>
    </w:p>
    <w:p w14:paraId="6EF6DAC1">
      <w:pPr>
        <w:numPr>
          <w:ilvl w:val="0"/>
          <w:numId w:val="0"/>
        </w:numPr>
        <w:jc w:val="both"/>
        <w:rPr>
          <w:rFonts w:hint="eastAsia" w:ascii="Arial" w:hAnsi="Arial" w:eastAsia="宋体" w:cs="Arial"/>
          <w:b w:val="0"/>
          <w:bCs w:val="0"/>
          <w:sz w:val="24"/>
          <w:szCs w:val="24"/>
          <w:lang w:val="en-US" w:eastAsia="zh-CN"/>
        </w:rPr>
      </w:pP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8</w:t>
      </w:r>
      <w:r>
        <w:rPr>
          <w:rFonts w:hint="default" w:ascii="Arial" w:hAnsi="Arial" w:eastAsia="宋体" w:cs="Arial"/>
          <w:b/>
          <w:bCs/>
          <w:sz w:val="24"/>
          <w:szCs w:val="24"/>
          <w:lang w:val="en-US" w:eastAsia="zh-CN"/>
        </w:rPr>
        <w:t>.</w:t>
      </w:r>
      <w:r>
        <w:rPr>
          <w:rFonts w:hint="eastAsia" w:ascii="Arial" w:hAnsi="Arial" w:eastAsia="宋体" w:cs="Arial"/>
          <w:b/>
          <w:bCs/>
          <w:sz w:val="24"/>
          <w:szCs w:val="24"/>
          <w:lang w:val="en-US" w:eastAsia="zh-CN"/>
        </w:rPr>
        <w:t xml:space="preserve"> a, </w:t>
      </w:r>
      <w:r>
        <w:rPr>
          <w:rFonts w:hint="eastAsia" w:ascii="Arial" w:hAnsi="Arial" w:eastAsia="宋体" w:cs="Arial"/>
          <w:b w:val="0"/>
          <w:bCs w:val="0"/>
          <w:sz w:val="24"/>
          <w:szCs w:val="24"/>
          <w:lang w:val="en-US" w:eastAsia="zh-CN"/>
        </w:rPr>
        <w:t>Graphical account for flow cytometry gating strategies of CD8</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T cells, CD4</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T cells, Tregs and T memory cells. Gating strategy to sort CD8</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T cells and CD4</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T cells in tumor tissues gating on Live</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CD45</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CD3</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cells and Treg cells in tumor tissues gating on Live</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CD45</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CD3</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CD4</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Foxp3</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cells.</w:t>
      </w:r>
    </w:p>
    <w:p w14:paraId="52487A93">
      <w:pPr>
        <w:numPr>
          <w:ilvl w:val="0"/>
          <w:numId w:val="0"/>
        </w:numPr>
        <w:jc w:val="both"/>
        <w:rPr>
          <w:rFonts w:hint="eastAsia" w:ascii="Arial" w:hAnsi="Arial" w:eastAsia="宋体" w:cs="Arial"/>
          <w:b w:val="0"/>
          <w:bCs w:val="0"/>
          <w:sz w:val="24"/>
          <w:szCs w:val="24"/>
          <w:lang w:val="en-US" w:eastAsia="zh-CN"/>
        </w:rPr>
      </w:pPr>
      <w:r>
        <w:rPr>
          <w:rFonts w:hint="default" w:ascii="Arial" w:hAnsi="Arial" w:eastAsia="宋体" w:cs="Arial"/>
          <w:b/>
          <w:bCs/>
          <w:sz w:val="24"/>
          <w:szCs w:val="24"/>
          <w:lang w:val="en-US" w:eastAsia="zh-CN"/>
        </w:rPr>
        <w:drawing>
          <wp:inline distT="0" distB="0" distL="114300" distR="114300">
            <wp:extent cx="5341620" cy="2165350"/>
            <wp:effectExtent l="0" t="0" r="1905" b="6350"/>
            <wp:docPr id="3" name="图片 3"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2"/>
                    <pic:cNvPicPr>
                      <a:picLocks noChangeAspect="1"/>
                    </pic:cNvPicPr>
                  </pic:nvPicPr>
                  <pic:blipFill>
                    <a:blip r:embed="rId12"/>
                    <a:stretch>
                      <a:fillRect/>
                    </a:stretch>
                  </pic:blipFill>
                  <pic:spPr>
                    <a:xfrm>
                      <a:off x="0" y="0"/>
                      <a:ext cx="5341620" cy="2165350"/>
                    </a:xfrm>
                    <a:prstGeom prst="rect">
                      <a:avLst/>
                    </a:prstGeom>
                  </pic:spPr>
                </pic:pic>
              </a:graphicData>
            </a:graphic>
          </wp:inline>
        </w:drawing>
      </w: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9</w:t>
      </w:r>
      <w:r>
        <w:rPr>
          <w:rFonts w:hint="default" w:ascii="Arial" w:hAnsi="Arial" w:eastAsia="宋体" w:cs="Arial"/>
          <w:b/>
          <w:bCs/>
          <w:sz w:val="24"/>
          <w:szCs w:val="24"/>
          <w:lang w:val="en-US" w:eastAsia="zh-CN"/>
        </w:rPr>
        <w:t>.</w:t>
      </w:r>
      <w:r>
        <w:rPr>
          <w:rFonts w:hint="eastAsia" w:ascii="Arial" w:hAnsi="Arial" w:eastAsia="宋体" w:cs="Arial"/>
          <w:b/>
          <w:bCs/>
          <w:sz w:val="24"/>
          <w:szCs w:val="24"/>
          <w:lang w:val="en-US" w:eastAsia="zh-CN"/>
        </w:rPr>
        <w:t xml:space="preserve"> a, </w:t>
      </w:r>
      <w:r>
        <w:rPr>
          <w:rFonts w:hint="eastAsia" w:ascii="Arial" w:hAnsi="Arial" w:eastAsia="宋体" w:cs="Arial"/>
          <w:b w:val="0"/>
          <w:bCs w:val="0"/>
          <w:sz w:val="24"/>
          <w:szCs w:val="24"/>
          <w:lang w:val="en-US" w:eastAsia="zh-CN"/>
        </w:rPr>
        <w:t>Graphical account for flow cytometry gating strategies of DCs. Gating strategy to access the level of mDC (MHCII</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vertAlign w:val="baseline"/>
          <w:lang w:val="en-US" w:eastAsia="zh-CN"/>
        </w:rPr>
        <w:t>,CD80</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and CD86</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in tumor tissues gating on Live</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CD11c</w:t>
      </w:r>
      <w:r>
        <w:rPr>
          <w:rFonts w:hint="eastAsia" w:ascii="Arial" w:hAnsi="Arial" w:eastAsia="宋体" w:cs="Arial"/>
          <w:b w:val="0"/>
          <w:bCs w:val="0"/>
          <w:sz w:val="24"/>
          <w:szCs w:val="24"/>
          <w:vertAlign w:val="superscript"/>
          <w:lang w:val="en-US" w:eastAsia="zh-CN"/>
        </w:rPr>
        <w:t>+</w:t>
      </w:r>
      <w:r>
        <w:rPr>
          <w:rFonts w:hint="eastAsia" w:ascii="Arial" w:hAnsi="Arial" w:eastAsia="宋体" w:cs="Arial"/>
          <w:b w:val="0"/>
          <w:bCs w:val="0"/>
          <w:sz w:val="24"/>
          <w:szCs w:val="24"/>
          <w:lang w:val="en-US" w:eastAsia="zh-CN"/>
        </w:rPr>
        <w:t xml:space="preserve"> cells.</w:t>
      </w:r>
    </w:p>
    <w:p w14:paraId="5A57ADC6">
      <w:pPr>
        <w:numPr>
          <w:ilvl w:val="0"/>
          <w:numId w:val="0"/>
        </w:numPr>
        <w:jc w:val="both"/>
        <w:rPr>
          <w:rFonts w:hint="eastAsia" w:ascii="Arial" w:hAnsi="Arial" w:eastAsia="宋体" w:cs="Arial"/>
          <w:b w:val="0"/>
          <w:bCs w:val="0"/>
          <w:sz w:val="24"/>
          <w:szCs w:val="24"/>
          <w:lang w:val="en-US" w:eastAsia="zh-CN"/>
        </w:rPr>
      </w:pPr>
    </w:p>
    <w:p w14:paraId="299CC962">
      <w:pPr>
        <w:numPr>
          <w:ilvl w:val="0"/>
          <w:numId w:val="0"/>
        </w:numPr>
        <w:jc w:val="both"/>
        <w:rPr>
          <w:rFonts w:hint="eastAsia" w:ascii="Arial" w:hAnsi="Arial" w:eastAsia="宋体" w:cs="Arial"/>
          <w:b w:val="0"/>
          <w:bCs w:val="0"/>
          <w:sz w:val="24"/>
          <w:szCs w:val="24"/>
          <w:lang w:val="en-US" w:eastAsia="zh-CN"/>
        </w:rPr>
      </w:pPr>
    </w:p>
    <w:p w14:paraId="1FEED978">
      <w:pPr>
        <w:numPr>
          <w:ilvl w:val="0"/>
          <w:numId w:val="0"/>
        </w:numPr>
        <w:jc w:val="both"/>
      </w:pPr>
      <w:r>
        <w:drawing>
          <wp:inline distT="0" distB="0" distL="114300" distR="114300">
            <wp:extent cx="5270500" cy="1047115"/>
            <wp:effectExtent l="0" t="0" r="635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3"/>
                    <a:stretch>
                      <a:fillRect/>
                    </a:stretch>
                  </pic:blipFill>
                  <pic:spPr>
                    <a:xfrm>
                      <a:off x="0" y="0"/>
                      <a:ext cx="5270500" cy="1047115"/>
                    </a:xfrm>
                    <a:prstGeom prst="rect">
                      <a:avLst/>
                    </a:prstGeom>
                    <a:noFill/>
                    <a:ln>
                      <a:noFill/>
                    </a:ln>
                  </pic:spPr>
                </pic:pic>
              </a:graphicData>
            </a:graphic>
          </wp:inline>
        </w:drawing>
      </w:r>
    </w:p>
    <w:p w14:paraId="0639141E">
      <w:pPr>
        <w:rPr>
          <w:rFonts w:hint="default" w:ascii="Arial" w:hAnsi="Arial" w:eastAsia="宋体" w:cs="Arial"/>
          <w:b w:val="0"/>
          <w:bCs w:val="0"/>
          <w:sz w:val="24"/>
          <w:szCs w:val="24"/>
          <w:lang w:val="en-US" w:eastAsia="zh-CN"/>
        </w:rPr>
      </w:pPr>
      <w:r>
        <w:rPr>
          <w:rFonts w:hint="default" w:ascii="Arial" w:hAnsi="Arial" w:eastAsia="宋体" w:cs="Arial"/>
          <w:b/>
          <w:bCs/>
          <w:sz w:val="24"/>
          <w:szCs w:val="24"/>
          <w:lang w:val="en-US" w:eastAsia="zh-CN"/>
        </w:rPr>
        <w:t xml:space="preserve">Supplementary Fig. </w:t>
      </w:r>
      <w:r>
        <w:rPr>
          <w:rFonts w:hint="eastAsia" w:ascii="Arial" w:hAnsi="Arial" w:eastAsia="宋体" w:cs="Arial"/>
          <w:b/>
          <w:bCs/>
          <w:sz w:val="24"/>
          <w:szCs w:val="24"/>
          <w:lang w:val="en-US" w:eastAsia="zh-CN"/>
        </w:rPr>
        <w:t>10.</w:t>
      </w:r>
      <w:r>
        <w:rPr>
          <w:rFonts w:hint="eastAsia" w:ascii="Arial" w:hAnsi="Arial" w:eastAsia="宋体" w:cs="Arial"/>
          <w:b w:val="0"/>
          <w:bCs w:val="0"/>
          <w:sz w:val="24"/>
          <w:szCs w:val="24"/>
          <w:lang w:val="en-US" w:eastAsia="zh-CN"/>
        </w:rPr>
        <w:t xml:space="preserve"> </w:t>
      </w:r>
      <w:r>
        <w:rPr>
          <w:rFonts w:hint="default" w:ascii="Arial" w:hAnsi="Arial" w:eastAsia="宋体" w:cs="Arial"/>
          <w:b w:val="0"/>
          <w:bCs w:val="0"/>
          <w:sz w:val="24"/>
          <w:szCs w:val="24"/>
          <w:lang w:val="en-US" w:eastAsia="zh-CN"/>
        </w:rPr>
        <w:t>Fluorescence minus one (FMO) controls for multicolour flow cytometry.</w:t>
      </w:r>
      <w:r>
        <w:rPr>
          <w:rFonts w:hint="eastAsia" w:ascii="Arial" w:hAnsi="Arial" w:eastAsia="宋体" w:cs="Arial"/>
          <w:b w:val="0"/>
          <w:bCs w:val="0"/>
          <w:sz w:val="24"/>
          <w:szCs w:val="24"/>
          <w:lang w:val="en-US" w:eastAsia="zh-CN"/>
        </w:rPr>
        <w:t xml:space="preserve"> </w:t>
      </w:r>
      <w:r>
        <w:rPr>
          <w:rFonts w:hint="eastAsia" w:ascii="Arial" w:hAnsi="Arial" w:eastAsia="宋体" w:cs="Arial"/>
          <w:b/>
          <w:bCs/>
          <w:sz w:val="24"/>
          <w:szCs w:val="24"/>
          <w:lang w:val="en-US" w:eastAsia="zh-CN"/>
        </w:rPr>
        <w:t>a,</w:t>
      </w:r>
      <w:r>
        <w:rPr>
          <w:rFonts w:hint="default" w:ascii="Arial" w:hAnsi="Arial" w:eastAsia="宋体" w:cs="Arial"/>
          <w:b w:val="0"/>
          <w:bCs w:val="0"/>
          <w:sz w:val="24"/>
          <w:szCs w:val="24"/>
          <w:lang w:val="en-US" w:eastAsia="zh-CN"/>
        </w:rPr>
        <w:t> FMO control for M2 macrophages (CD206⁺): stained panel omitting CD206-FITC. </w:t>
      </w:r>
      <w:r>
        <w:rPr>
          <w:rFonts w:hint="eastAsia" w:ascii="Arial" w:hAnsi="Arial" w:eastAsia="宋体" w:cs="Arial"/>
          <w:b/>
          <w:bCs/>
          <w:sz w:val="24"/>
          <w:szCs w:val="24"/>
          <w:lang w:val="en-US" w:eastAsia="zh-CN"/>
        </w:rPr>
        <w:t>b,</w:t>
      </w:r>
      <w:r>
        <w:rPr>
          <w:rFonts w:hint="default" w:ascii="Arial" w:hAnsi="Arial" w:eastAsia="宋体" w:cs="Arial"/>
          <w:b w:val="0"/>
          <w:bCs w:val="0"/>
          <w:sz w:val="24"/>
          <w:szCs w:val="24"/>
          <w:lang w:val="en-US" w:eastAsia="zh-CN"/>
        </w:rPr>
        <w:t> FMO control for PD-1 expression on immune cells (CD45⁺): stained panel omitting PD-1 antibody. </w:t>
      </w:r>
      <w:r>
        <w:rPr>
          <w:rFonts w:hint="eastAsia" w:ascii="Arial" w:hAnsi="Arial" w:eastAsia="宋体" w:cs="Arial"/>
          <w:b/>
          <w:bCs/>
          <w:sz w:val="24"/>
          <w:szCs w:val="24"/>
          <w:lang w:val="en-US" w:eastAsia="zh-CN"/>
        </w:rPr>
        <w:t>c,</w:t>
      </w:r>
      <w:r>
        <w:rPr>
          <w:rFonts w:hint="default" w:ascii="Arial" w:hAnsi="Arial" w:eastAsia="宋体" w:cs="Arial"/>
          <w:b w:val="0"/>
          <w:bCs w:val="0"/>
          <w:sz w:val="24"/>
          <w:szCs w:val="24"/>
          <w:lang w:val="en-US" w:eastAsia="zh-CN"/>
        </w:rPr>
        <w:t> FMO control for CD4⁺ T cells within the CD3⁺ gate: stained panel omitting CD4 antibody. </w:t>
      </w:r>
      <w:r>
        <w:rPr>
          <w:rFonts w:hint="eastAsia" w:ascii="Arial" w:hAnsi="Arial" w:eastAsia="宋体" w:cs="Arial"/>
          <w:b/>
          <w:bCs/>
          <w:sz w:val="24"/>
          <w:szCs w:val="24"/>
          <w:lang w:val="en-US" w:eastAsia="zh-CN"/>
        </w:rPr>
        <w:t>d,</w:t>
      </w:r>
      <w:r>
        <w:rPr>
          <w:rFonts w:hint="default" w:ascii="Arial" w:hAnsi="Arial" w:eastAsia="宋体" w:cs="Arial"/>
          <w:b w:val="0"/>
          <w:bCs w:val="0"/>
          <w:sz w:val="24"/>
          <w:szCs w:val="24"/>
          <w:lang w:val="en-US" w:eastAsia="zh-CN"/>
        </w:rPr>
        <w:t> FMO control for CD8⁺ T cells: stained panel omitting CD8 antibody.</w:t>
      </w:r>
      <w:r>
        <w:rPr>
          <w:rFonts w:hint="eastAsia" w:ascii="Arial" w:hAnsi="Arial" w:eastAsia="宋体" w:cs="Arial"/>
          <w:b w:val="0"/>
          <w:bCs w:val="0"/>
          <w:sz w:val="24"/>
          <w:szCs w:val="24"/>
          <w:lang w:val="en-US" w:eastAsia="zh-CN"/>
        </w:rPr>
        <w:t xml:space="preserve"> </w:t>
      </w:r>
      <w:r>
        <w:rPr>
          <w:rFonts w:hint="eastAsia" w:ascii="Arial" w:hAnsi="Arial" w:eastAsia="宋体" w:cs="Arial"/>
          <w:b/>
          <w:bCs/>
          <w:sz w:val="24"/>
          <w:szCs w:val="24"/>
          <w:lang w:val="en-US" w:eastAsia="zh-CN"/>
        </w:rPr>
        <w:t>e,</w:t>
      </w:r>
      <w:r>
        <w:rPr>
          <w:rFonts w:hint="default" w:ascii="Arial" w:hAnsi="Arial" w:eastAsia="宋体" w:cs="Arial"/>
          <w:b w:val="0"/>
          <w:bCs w:val="0"/>
          <w:sz w:val="24"/>
          <w:szCs w:val="24"/>
          <w:lang w:val="en-US" w:eastAsia="zh-CN"/>
        </w:rPr>
        <w:t> FMO control for memory Treg cells: stained panel omitting the defining marker for this population. </w:t>
      </w:r>
      <w:r>
        <w:rPr>
          <w:rFonts w:hint="eastAsia" w:ascii="Arial" w:hAnsi="Arial" w:eastAsia="宋体" w:cs="Arial"/>
          <w:b/>
          <w:bCs/>
          <w:sz w:val="24"/>
          <w:szCs w:val="24"/>
          <w:lang w:val="en-US" w:eastAsia="zh-CN"/>
        </w:rPr>
        <w:t>f,</w:t>
      </w:r>
      <w:r>
        <w:rPr>
          <w:rFonts w:hint="default" w:ascii="Arial" w:hAnsi="Arial" w:eastAsia="宋体" w:cs="Arial"/>
          <w:b w:val="0"/>
          <w:bCs w:val="0"/>
          <w:sz w:val="24"/>
          <w:szCs w:val="24"/>
          <w:lang w:val="en-US" w:eastAsia="zh-CN"/>
        </w:rPr>
        <w:t> FMO control for memory T cells: stained panel used as a compensation control to define the CD44-APC700 positive boundary. The values shown reflect the background staining levels used to set positive gates for the respective markers throughout the study. All FMO controls were prepared and acquired in parallel with the corresponding full-stained samples. Data are representative of at least three independent experiments.</w:t>
      </w:r>
    </w:p>
    <w:p w14:paraId="21FCD1E0">
      <w:pPr>
        <w:rPr>
          <w:rFonts w:hint="default" w:ascii="Arial" w:hAnsi="Arial" w:eastAsia="宋体" w:cs="Arial"/>
          <w:b w:val="0"/>
          <w:bCs w:val="0"/>
          <w:sz w:val="24"/>
          <w:szCs w:val="24"/>
          <w:lang w:val="en-US" w:eastAsia="zh-CN"/>
        </w:rPr>
      </w:pPr>
    </w:p>
    <w:p w14:paraId="1FDBC5FB">
      <w:pPr>
        <w:rPr>
          <w:rFonts w:hint="default" w:ascii="Arial" w:hAnsi="Arial" w:eastAsia="宋体" w:cs="Arial"/>
          <w:b w:val="0"/>
          <w:bCs w:val="0"/>
          <w:sz w:val="24"/>
          <w:szCs w:val="24"/>
          <w:lang w:val="en-US" w:eastAsia="zh-CN"/>
        </w:rPr>
      </w:pPr>
      <w:r>
        <w:drawing>
          <wp:inline distT="0" distB="0" distL="114300" distR="114300">
            <wp:extent cx="5100320" cy="753110"/>
            <wp:effectExtent l="0" t="0" r="508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4"/>
                    <a:stretch>
                      <a:fillRect/>
                    </a:stretch>
                  </pic:blipFill>
                  <pic:spPr>
                    <a:xfrm>
                      <a:off x="0" y="0"/>
                      <a:ext cx="5100320" cy="753110"/>
                    </a:xfrm>
                    <a:prstGeom prst="rect">
                      <a:avLst/>
                    </a:prstGeom>
                    <a:noFill/>
                    <a:ln>
                      <a:noFill/>
                    </a:ln>
                  </pic:spPr>
                </pic:pic>
              </a:graphicData>
            </a:graphic>
          </wp:inline>
        </w:drawing>
      </w:r>
    </w:p>
    <w:p w14:paraId="7C97C356">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Supplementary Table S1. In vitro dosing summary for iRA2-MBP and its components.</w:t>
      </w:r>
    </w:p>
    <w:p w14:paraId="39BBDE1D">
      <w:pPr>
        <w:rPr>
          <w:rFonts w:hint="default" w:ascii="Arial" w:hAnsi="Arial" w:eastAsia="宋体" w:cs="Arial"/>
          <w:b w:val="0"/>
          <w:bCs w:val="0"/>
          <w:sz w:val="24"/>
          <w:szCs w:val="24"/>
          <w:lang w:val="en-US" w:eastAsia="zh-CN"/>
        </w:rPr>
      </w:pPr>
    </w:p>
    <w:p w14:paraId="41F65D6B">
      <w:r>
        <w:drawing>
          <wp:inline distT="0" distB="0" distL="114300" distR="114300">
            <wp:extent cx="5067935" cy="1054735"/>
            <wp:effectExtent l="0" t="0" r="8890" b="254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5"/>
                    <a:stretch>
                      <a:fillRect/>
                    </a:stretch>
                  </pic:blipFill>
                  <pic:spPr>
                    <a:xfrm>
                      <a:off x="0" y="0"/>
                      <a:ext cx="5067935" cy="1054735"/>
                    </a:xfrm>
                    <a:prstGeom prst="rect">
                      <a:avLst/>
                    </a:prstGeom>
                    <a:noFill/>
                    <a:ln>
                      <a:noFill/>
                    </a:ln>
                  </pic:spPr>
                </pic:pic>
              </a:graphicData>
            </a:graphic>
          </wp:inline>
        </w:drawing>
      </w:r>
    </w:p>
    <w:p w14:paraId="50FC3536">
      <w:pPr>
        <w:rPr>
          <w:rFonts w:hint="default" w:ascii="Arial" w:hAnsi="Arial" w:eastAsia="宋体" w:cs="Arial"/>
          <w:b w:val="0"/>
          <w:bCs w:val="0"/>
          <w:sz w:val="24"/>
          <w:szCs w:val="24"/>
          <w:lang w:val="en-US" w:eastAsia="zh-CN"/>
        </w:rPr>
      </w:pPr>
      <w:bookmarkStart w:id="0" w:name="_GoBack"/>
      <w:r>
        <w:rPr>
          <w:rFonts w:hint="default" w:ascii="Arial" w:hAnsi="Arial" w:eastAsia="宋体" w:cs="Arial"/>
          <w:b w:val="0"/>
          <w:bCs w:val="0"/>
          <w:sz w:val="24"/>
          <w:szCs w:val="24"/>
          <w:lang w:val="en-US" w:eastAsia="zh-CN"/>
        </w:rPr>
        <w:t>Supplementary Table S</w:t>
      </w:r>
      <w:r>
        <w:rPr>
          <w:rFonts w:hint="eastAsia" w:ascii="Arial" w:hAnsi="Arial" w:eastAsia="宋体" w:cs="Arial"/>
          <w:b w:val="0"/>
          <w:bCs w:val="0"/>
          <w:sz w:val="24"/>
          <w:szCs w:val="24"/>
          <w:lang w:val="en-US" w:eastAsia="zh-CN"/>
        </w:rPr>
        <w:t>2</w:t>
      </w:r>
      <w:r>
        <w:rPr>
          <w:rFonts w:hint="default" w:ascii="Arial" w:hAnsi="Arial" w:eastAsia="宋体" w:cs="Arial"/>
          <w:b w:val="0"/>
          <w:bCs w:val="0"/>
          <w:sz w:val="24"/>
          <w:szCs w:val="24"/>
          <w:lang w:val="en-US" w:eastAsia="zh-CN"/>
        </w:rPr>
        <w:t>. In vivo dosing summary for iRA2-MBP and its components.</w:t>
      </w:r>
    </w:p>
    <w:bookmarkEnd w:id="0"/>
    <w:p w14:paraId="1B770FF7">
      <w:pPr>
        <w:rPr>
          <w:rFonts w:hint="default" w:ascii="Arial" w:hAnsi="Arial" w:eastAsia="宋体" w:cs="Arial"/>
          <w:b w:val="0"/>
          <w:bCs w:val="0"/>
          <w:sz w:val="24"/>
          <w:szCs w:val="24"/>
          <w:lang w:val="en-US" w:eastAsia="zh-CN"/>
        </w:rPr>
      </w:pPr>
    </w:p>
    <w:tbl>
      <w:tblPr>
        <w:tblStyle w:val="3"/>
        <w:tblW w:w="78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176"/>
        <w:gridCol w:w="2188"/>
        <w:gridCol w:w="2112"/>
        <w:gridCol w:w="1355"/>
      </w:tblGrid>
      <w:tr w14:paraId="01B8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2176" w:type="dxa"/>
            <w:tcBorders>
              <w:top w:val="single" w:color="auto" w:sz="12" w:space="0"/>
              <w:left w:val="single" w:color="auto" w:sz="12" w:space="0"/>
              <w:bottom w:val="nil"/>
              <w:right w:val="nil"/>
            </w:tcBorders>
            <w:shd w:val="clear" w:color="auto" w:fill="auto"/>
            <w:noWrap w:val="0"/>
            <w:tcMar>
              <w:top w:w="-1" w:type="dxa"/>
              <w:left w:w="-1" w:type="dxa"/>
              <w:bottom w:w="-1" w:type="dxa"/>
              <w:right w:w="-1" w:type="dxa"/>
            </w:tcMar>
            <w:vAlign w:val="center"/>
          </w:tcPr>
          <w:p w14:paraId="32CB3D7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b/>
                <w:i w:val="0"/>
                <w:iCs w:val="0"/>
                <w:color w:val="000000"/>
                <w:sz w:val="22"/>
                <w:szCs w:val="22"/>
                <w:u w:val="none"/>
              </w:rPr>
            </w:pPr>
            <w:r>
              <w:rPr>
                <w:rFonts w:hint="default" w:ascii="Arial" w:hAnsi="Arial" w:eastAsia="宋体" w:cs="Arial"/>
                <w:b/>
                <w:i w:val="0"/>
                <w:iCs w:val="0"/>
                <w:color w:val="000000"/>
                <w:kern w:val="0"/>
                <w:sz w:val="22"/>
                <w:szCs w:val="22"/>
                <w:u w:val="none"/>
                <w:lang w:val="en-US" w:eastAsia="zh-CN" w:bidi="ar"/>
              </w:rPr>
              <w:t>Resource Type</w:t>
            </w:r>
          </w:p>
        </w:tc>
        <w:tc>
          <w:tcPr>
            <w:tcW w:w="2188" w:type="dxa"/>
            <w:tcBorders>
              <w:top w:val="single" w:color="auto" w:sz="12" w:space="0"/>
              <w:left w:val="single" w:color="auto" w:sz="4" w:space="0"/>
              <w:bottom w:val="nil"/>
              <w:right w:val="nil"/>
            </w:tcBorders>
            <w:shd w:val="clear" w:color="auto" w:fill="auto"/>
            <w:noWrap w:val="0"/>
            <w:tcMar>
              <w:top w:w="-1" w:type="dxa"/>
              <w:left w:w="-1" w:type="dxa"/>
              <w:bottom w:w="-1" w:type="dxa"/>
              <w:right w:w="-1" w:type="dxa"/>
            </w:tcMar>
            <w:vAlign w:val="center"/>
          </w:tcPr>
          <w:p w14:paraId="4649A661">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b/>
                <w:i w:val="0"/>
                <w:iCs w:val="0"/>
                <w:color w:val="000000"/>
                <w:sz w:val="22"/>
                <w:szCs w:val="22"/>
                <w:u w:val="none"/>
              </w:rPr>
            </w:pPr>
            <w:r>
              <w:rPr>
                <w:rFonts w:hint="default" w:ascii="Arial" w:hAnsi="Arial" w:eastAsia="宋体" w:cs="Arial"/>
                <w:b/>
                <w:i w:val="0"/>
                <w:iCs w:val="0"/>
                <w:color w:val="000000"/>
                <w:kern w:val="0"/>
                <w:sz w:val="22"/>
                <w:szCs w:val="22"/>
                <w:u w:val="none"/>
                <w:lang w:val="en-US" w:eastAsia="zh-CN" w:bidi="ar"/>
              </w:rPr>
              <w:t>Resource Name</w:t>
            </w:r>
          </w:p>
        </w:tc>
        <w:tc>
          <w:tcPr>
            <w:tcW w:w="2112" w:type="dxa"/>
            <w:tcBorders>
              <w:top w:val="single" w:color="auto" w:sz="12" w:space="0"/>
              <w:left w:val="single" w:color="auto" w:sz="4" w:space="0"/>
              <w:bottom w:val="nil"/>
              <w:right w:val="nil"/>
            </w:tcBorders>
            <w:shd w:val="clear" w:color="auto" w:fill="auto"/>
            <w:noWrap w:val="0"/>
            <w:tcMar>
              <w:top w:w="-1" w:type="dxa"/>
              <w:left w:w="-1" w:type="dxa"/>
              <w:bottom w:w="-1" w:type="dxa"/>
              <w:right w:w="-1" w:type="dxa"/>
            </w:tcMar>
            <w:vAlign w:val="center"/>
          </w:tcPr>
          <w:p w14:paraId="7A5EAB3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b/>
                <w:i w:val="0"/>
                <w:iCs w:val="0"/>
                <w:color w:val="000000"/>
                <w:sz w:val="22"/>
                <w:szCs w:val="22"/>
                <w:u w:val="none"/>
              </w:rPr>
            </w:pPr>
            <w:r>
              <w:rPr>
                <w:rFonts w:hint="default" w:ascii="Arial" w:hAnsi="Arial" w:eastAsia="宋体" w:cs="Arial"/>
                <w:b/>
                <w:i w:val="0"/>
                <w:iCs w:val="0"/>
                <w:color w:val="000000"/>
                <w:kern w:val="0"/>
                <w:sz w:val="22"/>
                <w:szCs w:val="22"/>
                <w:u w:val="none"/>
                <w:lang w:val="en-US" w:eastAsia="zh-CN" w:bidi="ar"/>
              </w:rPr>
              <w:t>Vendor/Source</w:t>
            </w:r>
          </w:p>
        </w:tc>
        <w:tc>
          <w:tcPr>
            <w:tcW w:w="1355" w:type="dxa"/>
            <w:tcBorders>
              <w:top w:val="single" w:color="auto" w:sz="12"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844272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b/>
                <w:i w:val="0"/>
                <w:iCs w:val="0"/>
                <w:color w:val="000000"/>
                <w:sz w:val="22"/>
                <w:szCs w:val="22"/>
                <w:u w:val="none"/>
              </w:rPr>
            </w:pPr>
            <w:r>
              <w:rPr>
                <w:rFonts w:hint="default" w:ascii="Arial" w:hAnsi="Arial" w:eastAsia="宋体" w:cs="Arial"/>
                <w:b/>
                <w:i w:val="0"/>
                <w:iCs w:val="0"/>
                <w:color w:val="000000"/>
                <w:kern w:val="0"/>
                <w:sz w:val="22"/>
                <w:szCs w:val="22"/>
                <w:u w:val="none"/>
                <w:lang w:val="en-US" w:eastAsia="zh-CN" w:bidi="ar"/>
              </w:rPr>
              <w:t>RRID</w:t>
            </w:r>
          </w:p>
        </w:tc>
      </w:tr>
      <w:tr w14:paraId="4127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4FFC38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Cell lines</w:t>
            </w: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58C8AAF">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GL261</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4335725">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DSMZ</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B33094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CVCL_Y003</w:t>
            </w:r>
          </w:p>
        </w:tc>
      </w:tr>
      <w:tr w14:paraId="6D90B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542C265">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8F3BDD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U87 MG</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17D2184">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ATCC</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392A41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CVCL_0022</w:t>
            </w:r>
          </w:p>
        </w:tc>
      </w:tr>
      <w:tr w14:paraId="3196C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F4BC316">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AFB3CA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U251MG</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F1603DF">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ATCC</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A90E7A1">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CVCL_0021</w:t>
            </w:r>
          </w:p>
        </w:tc>
      </w:tr>
      <w:tr w14:paraId="4D9C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FBF39DA">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7A34FDF">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C8-D1A</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5B6F96A">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ATCC</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EBE9F9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CVCL_6379</w:t>
            </w:r>
          </w:p>
        </w:tc>
      </w:tr>
      <w:tr w14:paraId="55FBC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214FED1">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F20B14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bEnd.3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0C0735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ATCC</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F49404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CVCL_0170</w:t>
            </w:r>
          </w:p>
        </w:tc>
      </w:tr>
      <w:tr w14:paraId="01BC5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7E7E1DF">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7C115C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PC12</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ADF69E3">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CLS</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B5FF8B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CVCL_0481</w:t>
            </w:r>
          </w:p>
        </w:tc>
      </w:tr>
      <w:tr w14:paraId="2C0A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4D424AB">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922357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HEK293T</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006625C">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ATCC</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7AC867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CVCL_0063</w:t>
            </w:r>
          </w:p>
        </w:tc>
      </w:tr>
      <w:tr w14:paraId="5BF77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3202A1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Antibodies</w:t>
            </w: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E3C3C5F">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Anti-BDNF</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B03A405">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DB2FD5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AB_2818960</w:t>
            </w:r>
          </w:p>
        </w:tc>
      </w:tr>
      <w:tr w14:paraId="3B26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2693C88">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4BE2441">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Anti-DBH</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CAFEC2A">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C53359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AB_2092084</w:t>
            </w:r>
          </w:p>
        </w:tc>
      </w:tr>
      <w:tr w14:paraId="748B1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7C118EC">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6456AA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Anti-TH</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8655034">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ABEF4E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AB_2881623</w:t>
            </w:r>
          </w:p>
        </w:tc>
      </w:tr>
      <w:tr w14:paraId="1FD72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B19589C">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756EDD4">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Anti-CGA</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36DE1E6">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9DA74A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AB_2879213</w:t>
            </w:r>
          </w:p>
        </w:tc>
      </w:tr>
      <w:tr w14:paraId="1E15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23ED8D4">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0E2F1F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Anti-TrkB</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5983126">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617769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AB_2877871</w:t>
            </w:r>
          </w:p>
        </w:tc>
      </w:tr>
      <w:tr w14:paraId="33E52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3E7635F">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BB7F0F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Anti-PKA</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571B7A9">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lang w:val="en-US" w:eastAsia="zh-CN"/>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8090F7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AB_2170170</w:t>
            </w:r>
          </w:p>
        </w:tc>
      </w:tr>
      <w:tr w14:paraId="08E33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6C4C19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1772A0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Anti-phospho-PKA</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4A2F29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HuaBio</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9F2100B">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AB_3072974</w:t>
            </w:r>
          </w:p>
        </w:tc>
      </w:tr>
      <w:tr w14:paraId="48B3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9E17F07">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9CAB36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Anti-ERK</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F6976C4">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7140F3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AB_2878077</w:t>
            </w:r>
          </w:p>
        </w:tc>
      </w:tr>
      <w:tr w14:paraId="42C8C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F8D2DD8">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FDEF14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Anti-phospho-ERK</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4AA8884">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B7CACA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AB_331772</w:t>
            </w:r>
          </w:p>
        </w:tc>
      </w:tr>
      <w:tr w14:paraId="1A2BE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792298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E4BC01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Anti-MEK</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2A67B50">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D7A910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AB_2877635</w:t>
            </w:r>
          </w:p>
        </w:tc>
      </w:tr>
      <w:tr w14:paraId="22E81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C2A9AF1">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D6BD26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Anti-phospho-MEK</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510F742">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18C23F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AB_2138017</w:t>
            </w:r>
          </w:p>
        </w:tc>
      </w:tr>
      <w:tr w14:paraId="5146F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F1A7ED5">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BE37A8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Anti-CREB</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9E69A40">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9DFE7D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AB_2877803</w:t>
            </w:r>
          </w:p>
        </w:tc>
      </w:tr>
      <w:tr w14:paraId="1DB10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45C1B78">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BC0AB85">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Anti-phospho-CREB (Ser133)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2DB283C">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Cell Signaling Technology</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64AFF3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AB_2561044</w:t>
            </w:r>
          </w:p>
        </w:tc>
      </w:tr>
      <w:tr w14:paraId="22FE0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CCEB88C">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995484B">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Anti-HMGB1</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48627F6">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47D793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AB_2877527</w:t>
            </w:r>
          </w:p>
        </w:tc>
      </w:tr>
      <w:tr w14:paraId="2372F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D45FE31">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56AFB15">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Anti-CD86</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8AACBC2">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4981294">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AB_2880721</w:t>
            </w:r>
          </w:p>
        </w:tc>
      </w:tr>
      <w:tr w14:paraId="29A5A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712C579">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0ECE0A4">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2"/>
                <w:sz w:val="22"/>
                <w:szCs w:val="22"/>
                <w:u w:val="none"/>
                <w:lang w:val="en-US" w:eastAsia="zh-CN" w:bidi="ar-SA"/>
              </w:rPr>
            </w:pPr>
            <w:r>
              <w:rPr>
                <w:rFonts w:hint="default" w:ascii="Arial" w:hAnsi="Arial" w:eastAsia="宋体" w:cs="Arial"/>
                <w:i w:val="0"/>
                <w:iCs w:val="0"/>
                <w:color w:val="000000"/>
                <w:kern w:val="0"/>
                <w:sz w:val="22"/>
                <w:szCs w:val="22"/>
                <w:u w:val="none"/>
                <w:lang w:val="en-US" w:eastAsia="zh-CN" w:bidi="ar"/>
              </w:rPr>
              <w:t>Anti-CD</w:t>
            </w:r>
            <w:r>
              <w:rPr>
                <w:rFonts w:hint="eastAsia" w:ascii="Arial" w:hAnsi="Arial" w:eastAsia="宋体" w:cs="Arial"/>
                <w:i w:val="0"/>
                <w:iCs w:val="0"/>
                <w:color w:val="000000"/>
                <w:kern w:val="0"/>
                <w:sz w:val="22"/>
                <w:szCs w:val="22"/>
                <w:u w:val="none"/>
                <w:lang w:val="en-US" w:eastAsia="zh-CN" w:bidi="ar"/>
              </w:rPr>
              <w:t>20</w:t>
            </w:r>
            <w:r>
              <w:rPr>
                <w:rFonts w:hint="default" w:ascii="Arial" w:hAnsi="Arial" w:eastAsia="宋体" w:cs="Arial"/>
                <w:i w:val="0"/>
                <w:iCs w:val="0"/>
                <w:color w:val="000000"/>
                <w:kern w:val="0"/>
                <w:sz w:val="22"/>
                <w:szCs w:val="22"/>
                <w:u w:val="none"/>
                <w:lang w:val="en-US" w:eastAsia="zh-CN" w:bidi="ar"/>
              </w:rPr>
              <w:t>6</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4C43026">
            <w:pPr>
              <w:keepNext/>
              <w:keepLines w:val="0"/>
              <w:widowControl/>
              <w:suppressLineNumbers w:val="0"/>
              <w:snapToGrid w:val="0"/>
              <w:ind w:left="0" w:leftChars="0" w:right="0" w:rightChars="0" w:firstLine="0" w:firstLineChars="0"/>
              <w:jc w:val="left"/>
              <w:textAlignment w:val="center"/>
              <w:rPr>
                <w:rFonts w:hint="eastAsia" w:ascii="Arial" w:hAnsi="Arial" w:eastAsia="宋体" w:cs="Arial"/>
                <w:i w:val="0"/>
                <w:iCs w:val="0"/>
                <w:color w:val="000000"/>
                <w:kern w:val="2"/>
                <w:sz w:val="22"/>
                <w:szCs w:val="22"/>
                <w:u w:val="none"/>
                <w:lang w:val="en-US" w:eastAsia="zh-CN" w:bidi="ar-SA"/>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A1EBC7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2"/>
                <w:sz w:val="22"/>
                <w:szCs w:val="22"/>
                <w:u w:val="none"/>
                <w:lang w:val="en-US" w:eastAsia="zh-CN" w:bidi="ar-SA"/>
              </w:rPr>
            </w:pPr>
            <w:r>
              <w:rPr>
                <w:rFonts w:hint="default" w:ascii="Arial" w:hAnsi="Arial" w:eastAsia="宋体" w:cs="Arial"/>
                <w:i w:val="0"/>
                <w:iCs w:val="0"/>
                <w:color w:val="000000"/>
                <w:kern w:val="0"/>
                <w:sz w:val="22"/>
                <w:szCs w:val="22"/>
                <w:u w:val="none"/>
                <w:lang w:val="en-US" w:eastAsia="zh-CN" w:bidi="ar"/>
              </w:rPr>
              <w:t>AB_3746481</w:t>
            </w:r>
          </w:p>
        </w:tc>
      </w:tr>
      <w:tr w14:paraId="10929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18BA3FE">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B3BD76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Anti-CD80</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269A4F0">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E9A479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AB_3746566</w:t>
            </w:r>
          </w:p>
        </w:tc>
      </w:tr>
      <w:tr w14:paraId="319B8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257AE25">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E6C8A2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Anti-PD-1</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CD56E5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98E1AE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AB_2881611</w:t>
            </w:r>
          </w:p>
        </w:tc>
      </w:tr>
      <w:tr w14:paraId="2635B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179E01B">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89CC8E5">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Anti-LAG-3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5799F2C">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44067B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AB_2881958</w:t>
            </w:r>
          </w:p>
        </w:tc>
      </w:tr>
      <w:tr w14:paraId="43045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035410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79D5FB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Anti-TSG101</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8FB616E">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305F54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AB_2881055</w:t>
            </w:r>
          </w:p>
        </w:tc>
      </w:tr>
      <w:tr w14:paraId="4D5FB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BD08BF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1C8DFC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Anti-Calnexin</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77E927C">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8BF391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AB_2882231</w:t>
            </w:r>
          </w:p>
        </w:tc>
      </w:tr>
      <w:tr w14:paraId="758E8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680E1C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6C4299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Anti-Histone H3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A549FF0">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2B64C1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AB_2878411</w:t>
            </w:r>
          </w:p>
        </w:tc>
      </w:tr>
      <w:tr w14:paraId="07F0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604A810">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D746354">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Anti-Rab5</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20EECF9">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D47454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AB_2269388</w:t>
            </w:r>
          </w:p>
        </w:tc>
      </w:tr>
      <w:tr w14:paraId="50ACE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B912D7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CEA6FF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Anti-Rab7</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1EFBB1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45E269F">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AB_2881337</w:t>
            </w:r>
          </w:p>
        </w:tc>
      </w:tr>
      <w:tr w14:paraId="20745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E9A0520">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4ABCC3B">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Anti-ZO-1</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F735682">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494458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AB_2881626</w:t>
            </w:r>
          </w:p>
        </w:tc>
      </w:tr>
      <w:tr w14:paraId="3E763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78AAFD1">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B55694B">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Anti-Occludin</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C23CD7E">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9BDD27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AB_2880820</w:t>
            </w:r>
          </w:p>
        </w:tc>
      </w:tr>
      <w:tr w14:paraId="26D3E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89837EE">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F96A42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Anti-VE-cadherin</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72FACF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48D309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AB_2881630</w:t>
            </w:r>
          </w:p>
        </w:tc>
      </w:tr>
      <w:tr w14:paraId="7DF82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34A6AFA">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6CDED3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Anti-phospho-VE-cadherin</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8D9BE7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CB3B9B5">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AB_10839118</w:t>
            </w:r>
          </w:p>
        </w:tc>
      </w:tr>
      <w:tr w14:paraId="39654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AA0C86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5FF718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Anti-β-actin</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C7EE7E4">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02722D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AB_2687938</w:t>
            </w:r>
          </w:p>
        </w:tc>
      </w:tr>
      <w:tr w14:paraId="4BE4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84A9190">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45376E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Anti-GAPDH</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687F1F2">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A36FD5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AB_561053</w:t>
            </w:r>
          </w:p>
        </w:tc>
      </w:tr>
      <w:tr w14:paraId="4307B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A5C30E8">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CDDBB2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Anti-CD206</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442BC10">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3855465">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AB_2800175</w:t>
            </w:r>
          </w:p>
        </w:tc>
      </w:tr>
      <w:tr w14:paraId="72EA6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BD81907">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E434E5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Anti-Ki67</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C7224D0">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eastAsia" w:ascii="Arial" w:hAnsi="Arial" w:eastAsia="宋体" w:cs="Arial"/>
                <w:i w:val="0"/>
                <w:iCs w:val="0"/>
                <w:color w:val="000000"/>
                <w:sz w:val="22"/>
                <w:szCs w:val="22"/>
                <w:u w:val="none"/>
                <w:lang w:val="en-US" w:eastAsia="zh-CN"/>
              </w:rPr>
              <w:t>CST</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6B493D3B">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AB_2756525</w:t>
            </w:r>
          </w:p>
        </w:tc>
      </w:tr>
      <w:tr w14:paraId="2004B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8806AEE">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CE5CD1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Anti-CD8α (clone 2.43)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DBDADFA">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B036BD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AB_3746647</w:t>
            </w:r>
          </w:p>
        </w:tc>
      </w:tr>
      <w:tr w14:paraId="238A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FD53FBC">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37B3CA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Anti-CD4</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9786915">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8D7A1E4">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AB_3746487</w:t>
            </w:r>
          </w:p>
        </w:tc>
      </w:tr>
      <w:tr w14:paraId="4A261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F4490C4">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219BEA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Anti-Foxp3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5E579FE">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DFB38E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AB_2918392</w:t>
            </w:r>
          </w:p>
        </w:tc>
      </w:tr>
      <w:tr w14:paraId="3A8A6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36D74FE">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313D46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Anti-CD44</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69F951D">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5CE254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AB_3746636</w:t>
            </w:r>
          </w:p>
        </w:tc>
      </w:tr>
      <w:tr w14:paraId="5DEE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44307E0">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095CB1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Anti-F4/80</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0B1B903">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FDD487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AB_3746604</w:t>
            </w:r>
          </w:p>
        </w:tc>
      </w:tr>
      <w:tr w14:paraId="03B4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F869F8A">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7545EC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Anti-CD11b</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FDD2A52">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AEDEFE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AB_3746461</w:t>
            </w:r>
          </w:p>
        </w:tc>
      </w:tr>
      <w:tr w14:paraId="1CF30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1224D42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429CA1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Anti-CD11c</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233CC38">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B6D22F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AB_3084901</w:t>
            </w:r>
          </w:p>
        </w:tc>
      </w:tr>
      <w:tr w14:paraId="4E040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E9E7BFF">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DEED4C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Anti-CD3</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76F4B3A">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9E22DC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AB_1939430</w:t>
            </w:r>
          </w:p>
        </w:tc>
      </w:tr>
      <w:tr w14:paraId="7625D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02B3B1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D251C1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Anti-CD45</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71C7E21">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1B053BB">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AB_2881404</w:t>
            </w:r>
          </w:p>
        </w:tc>
      </w:tr>
      <w:tr w14:paraId="00338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B95B8A9">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EEF1431">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Anti-CD25</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9E10E3F">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48E4BF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AB_3746623</w:t>
            </w:r>
          </w:p>
        </w:tc>
      </w:tr>
      <w:tr w14:paraId="6AA83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0FCB28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2DF48C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Anti-MHC II</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3294FCC">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3C668B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AB_3746457</w:t>
            </w:r>
          </w:p>
        </w:tc>
      </w:tr>
      <w:tr w14:paraId="797D3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B38A15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8E222A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Normal Rabbit IgG (ChIP)</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04DB916">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Proteintech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B5B9A6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AB_2819035</w:t>
            </w:r>
          </w:p>
        </w:tc>
      </w:tr>
      <w:tr w14:paraId="0E973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C27FC18">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2E9E9C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Anti-H3K27ac (ChIP)</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2115441">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Active Motif</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F768F8A">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AB_2561016</w:t>
            </w:r>
          </w:p>
        </w:tc>
      </w:tr>
      <w:tr w14:paraId="1D579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3583FB6">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Animal models</w:t>
            </w: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1DAD15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C57BL/6 mice</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0ED96B1">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Huachuang Xinnuo</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4F4D39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IMSR_JAX:000664</w:t>
            </w:r>
          </w:p>
        </w:tc>
      </w:tr>
      <w:tr w14:paraId="66107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9068AC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5E335A4">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Balb/c mice</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3C007FF">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Huachuang Xinnuo</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6C79A3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IMSR_JAX:000651</w:t>
            </w:r>
          </w:p>
        </w:tc>
      </w:tr>
      <w:tr w14:paraId="540B0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63E9CD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ELISA kits</w:t>
            </w: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DAFB63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BDNF ELISA kit</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26DD5B6">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Meimian</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22D4AF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eastAsia" w:ascii="Arial" w:hAnsi="Arial" w:eastAsia="宋体" w:cs="Arial"/>
                <w:i w:val="0"/>
                <w:iCs w:val="0"/>
                <w:color w:val="000000"/>
                <w:kern w:val="0"/>
                <w:sz w:val="22"/>
                <w:szCs w:val="22"/>
                <w:u w:val="none"/>
                <w:lang w:val="en-US" w:eastAsia="zh-CN" w:bidi="ar"/>
              </w:rPr>
              <w:t>MM-48234M2</w:t>
            </w:r>
          </w:p>
        </w:tc>
      </w:tr>
      <w:tr w14:paraId="5765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0D93DCD">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DF2ECCF">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NE ELISA kit</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BA71F28">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Meimian</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CFD602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MM-0876M2</w:t>
            </w:r>
          </w:p>
        </w:tc>
      </w:tr>
      <w:tr w14:paraId="4D464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73EB049E">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CB8FBD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TNF-α ELISA kit</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A70AAB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Meimian</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491D438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MM-47831M2</w:t>
            </w:r>
          </w:p>
        </w:tc>
      </w:tr>
      <w:tr w14:paraId="0FDD2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5295326">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4339FA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IFN-γ ELISA kit</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007D8D2">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Meimian</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E9B9B0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MM-0182M2</w:t>
            </w:r>
          </w:p>
        </w:tc>
      </w:tr>
      <w:tr w14:paraId="464EA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23A645A2">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F9D36A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IL-10 ELISA kit</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8A40F17">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Jiangsu Meimian</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3E898B3">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MM-0176M1</w:t>
            </w:r>
          </w:p>
        </w:tc>
      </w:tr>
      <w:tr w14:paraId="3FBA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1938B5C">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Software</w:t>
            </w: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12A24C5">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GraphPad Prism 9.0</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1B6C2FF">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GraphPad Software</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5EB84DBE">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SCR_002798</w:t>
            </w:r>
          </w:p>
        </w:tc>
      </w:tr>
      <w:tr w14:paraId="2A24A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560726F">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BAE52FD">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FlowJo</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8B6DDE1">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TreeStar</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314B4842">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SCR_008520</w:t>
            </w:r>
          </w:p>
        </w:tc>
      </w:tr>
      <w:tr w14:paraId="25D43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4DEEA16A">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D6D02F9">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ImageJ</w:t>
            </w:r>
          </w:p>
        </w:tc>
        <w:tc>
          <w:tcPr>
            <w:tcW w:w="2112" w:type="dxa"/>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AAD1A04">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NIH</w:t>
            </w:r>
          </w:p>
        </w:tc>
        <w:tc>
          <w:tcPr>
            <w:tcW w:w="1355" w:type="dxa"/>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74E8E427">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SCR_003070</w:t>
            </w:r>
          </w:p>
        </w:tc>
      </w:tr>
      <w:tr w14:paraId="700E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176" w:type="dxa"/>
            <w:tcBorders>
              <w:top w:val="single" w:color="auto" w:sz="4" w:space="0"/>
              <w:left w:val="single" w:color="auto" w:sz="12" w:space="0"/>
              <w:bottom w:val="single" w:color="auto" w:sz="12" w:space="0"/>
              <w:right w:val="nil"/>
            </w:tcBorders>
            <w:shd w:val="clear" w:color="auto" w:fill="auto"/>
            <w:noWrap w:val="0"/>
            <w:tcMar>
              <w:top w:w="-1" w:type="dxa"/>
              <w:left w:w="-1" w:type="dxa"/>
              <w:bottom w:w="-1" w:type="dxa"/>
              <w:right w:w="-1" w:type="dxa"/>
            </w:tcMar>
            <w:vAlign w:val="center"/>
          </w:tcPr>
          <w:p w14:paraId="21E49569">
            <w:pPr>
              <w:keepNext/>
              <w:snapToGrid w:val="0"/>
              <w:ind w:left="0" w:leftChars="0" w:right="0" w:rightChars="0" w:firstLine="0" w:firstLineChars="0"/>
              <w:jc w:val="center"/>
              <w:rPr>
                <w:rFonts w:hint="default" w:ascii="Arial" w:hAnsi="Arial" w:eastAsia="宋体" w:cs="Arial"/>
                <w:i w:val="0"/>
                <w:iCs w:val="0"/>
                <w:color w:val="000000"/>
                <w:sz w:val="22"/>
                <w:szCs w:val="22"/>
                <w:u w:val="none"/>
              </w:rPr>
            </w:pPr>
          </w:p>
        </w:tc>
        <w:tc>
          <w:tcPr>
            <w:tcW w:w="2188" w:type="dxa"/>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061B4160">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Seurat (v4.1.0)</w:t>
            </w:r>
          </w:p>
        </w:tc>
        <w:tc>
          <w:tcPr>
            <w:tcW w:w="2112" w:type="dxa"/>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5A4FCB4F">
            <w:pPr>
              <w:keepNext/>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R package</w:t>
            </w:r>
          </w:p>
        </w:tc>
        <w:tc>
          <w:tcPr>
            <w:tcW w:w="1355" w:type="dxa"/>
            <w:tcBorders>
              <w:top w:val="single" w:color="auto" w:sz="4" w:space="0"/>
              <w:left w:val="single" w:color="auto" w:sz="4" w:space="0"/>
              <w:bottom w:val="single" w:color="auto" w:sz="12" w:space="0"/>
              <w:right w:val="single" w:color="auto" w:sz="12" w:space="0"/>
            </w:tcBorders>
            <w:shd w:val="clear" w:color="auto" w:fill="auto"/>
            <w:noWrap w:val="0"/>
            <w:tcMar>
              <w:top w:w="-1" w:type="dxa"/>
              <w:left w:w="-1" w:type="dxa"/>
              <w:bottom w:w="-1" w:type="dxa"/>
              <w:right w:w="-1" w:type="dxa"/>
            </w:tcMar>
            <w:vAlign w:val="center"/>
          </w:tcPr>
          <w:p w14:paraId="2299B7C8">
            <w:pPr>
              <w:keepNext/>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kern w:val="0"/>
                <w:sz w:val="22"/>
                <w:szCs w:val="22"/>
                <w:u w:val="none"/>
                <w:lang w:val="en-US" w:eastAsia="zh-CN" w:bidi="ar"/>
              </w:rPr>
            </w:pPr>
            <w:r>
              <w:rPr>
                <w:rFonts w:hint="default" w:ascii="Arial" w:hAnsi="Arial" w:eastAsia="宋体" w:cs="Arial"/>
                <w:i w:val="0"/>
                <w:iCs w:val="0"/>
                <w:color w:val="000000"/>
                <w:kern w:val="0"/>
                <w:sz w:val="22"/>
                <w:szCs w:val="22"/>
                <w:u w:val="none"/>
                <w:lang w:val="en-US" w:eastAsia="zh-CN" w:bidi="ar"/>
              </w:rPr>
              <w:t>SCR_016341</w:t>
            </w:r>
          </w:p>
        </w:tc>
      </w:tr>
    </w:tbl>
    <w:p w14:paraId="00061635">
      <w:pPr>
        <w:rPr>
          <w:rFonts w:hint="default" w:ascii="Arial" w:hAnsi="Arial" w:eastAsia="宋体" w:cs="Arial"/>
          <w:b w:val="0"/>
          <w:bCs w:val="0"/>
          <w:sz w:val="24"/>
          <w:szCs w:val="24"/>
          <w:lang w:val="en-US" w:eastAsia="zh-CN"/>
        </w:rPr>
      </w:pPr>
      <w:r>
        <w:rPr>
          <w:rFonts w:hint="default" w:ascii="Arial" w:hAnsi="Arial" w:eastAsia="宋体" w:cs="Arial"/>
          <w:b w:val="0"/>
          <w:bCs w:val="0"/>
          <w:sz w:val="24"/>
          <w:szCs w:val="24"/>
          <w:lang w:val="en-US" w:eastAsia="zh-CN"/>
        </w:rPr>
        <w:t>Supplementary Table S3. Key resources table with Research Resource Identifiers.</w:t>
      </w:r>
    </w:p>
    <w:p w14:paraId="44AA5106">
      <w:pPr>
        <w:rPr>
          <w:rFonts w:hint="default" w:ascii="Arial" w:hAnsi="Arial" w:eastAsia="宋体" w:cs="Arial"/>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5D1541"/>
    <w:rsid w:val="37CB4CD9"/>
    <w:rsid w:val="445D1541"/>
    <w:rsid w:val="467C3ACA"/>
    <w:rsid w:val="4ACB5C65"/>
    <w:rsid w:val="54A6052D"/>
    <w:rsid w:val="554B5D47"/>
    <w:rsid w:val="5B071252"/>
    <w:rsid w:val="6D647252"/>
    <w:rsid w:val="715D2688"/>
    <w:rsid w:val="7B4A150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1891</Words>
  <Characters>12198</Characters>
  <Lines>0</Lines>
  <Paragraphs>0</Paragraphs>
  <TotalTime>4</TotalTime>
  <ScaleCrop>false</ScaleCrop>
  <LinksUpToDate>false</LinksUpToDate>
  <CharactersWithSpaces>13874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2026-03-17T11:33:00Z</dcterms:created>
  <dc:creator>贠征程</dc:creator>
  <cp:lastModifiedBy>贠征程</cp:lastModifiedBy>
  <dcterms:modified xsi:type="dcterms:W3CDTF">2026-07-27T15:40:53Z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B10FBA53CB1B460787D76E9595F8FED4_13</vt:lpwstr>
  </property>
  <property fmtid="{D5CDD505-2E9C-101B-9397-08002B2CF9AE}" pid="4" name="KSOTemplateDocerSaveRecord">
    <vt:lpwstr>eyJoZGlkIjoiNWFmM2NhMjM2YjkzNDY3NDM1ODM2NDdkMGQ1MTFlMjQiLCJ1c2VySWQiOiI0NTI3MDE1NjkifQ==</vt:lpwstr>
  </property>
</Properties>
</file>