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40" w:line="240" w:lineRule="auto" w:before="0"/>
        <w:jc w:val="center"/>
      </w:pPr>
      <w:r>
        <w:rPr>
          <w:rFonts w:ascii="Times New Roman" w:hAnsi="Times New Roman" w:eastAsia="Times New Roman"/>
          <w:b/>
          <w:sz w:val="20"/>
        </w:rPr>
        <w:t>Table 1 Baseline characteristics according to joint sleep deterioration-CKM vulnerability phenotype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773"/>
        <w:gridCol w:w="3773"/>
        <w:gridCol w:w="3773"/>
        <w:gridCol w:w="3773"/>
        <w:gridCol w:w="3773"/>
      </w:tblGrid>
      <w:tr>
        <w:trPr>
          <w:tblHeader w:val="true"/>
          <w:tblHeader w:val="true"/>
        </w:trP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single" w:sz="12" w:color="000000" w:space="0"/>
              <w:bottom w:val="single" w:sz="8" w:color="000000" w:space="0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Variable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single" w:sz="12" w:color="000000" w:space="0"/>
              <w:bottom w:val="single" w:sz="8" w:color="000000" w:space="0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Neither condition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single" w:sz="12" w:color="000000" w:space="0"/>
              <w:bottom w:val="single" w:sz="8" w:color="000000" w:space="0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Sleep deterioration only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single" w:sz="12" w:color="000000" w:space="0"/>
              <w:bottom w:val="single" w:sz="8" w:color="000000" w:space="0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CKM vulnerability only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single" w:sz="12" w:color="000000" w:space="0"/>
              <w:bottom w:val="single" w:sz="8" w:color="000000" w:space="0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Both conditions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n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4226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1972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1408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653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Age, years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60.14 (8.99)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60.30 (9.14)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61.44 (8.73)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61.98 (9.15)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Male sex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2169 (51.4%)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941 (47.9%)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614 (43.7%)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229 (35.1%)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Nighttime sleep duration in 2013, h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5.86 (1.68)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7.13 (1.64)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5.89 (1.73)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7.09 (1.70)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Nighttime sleep duration in 2015, h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7.01 (1.72)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5.22 (1.72)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6.98 (1.77)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5.16 (1.70)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Change in nighttime sleep duration, h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1.15 (1.42)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−1.91 (1.24)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1.09 (1.42)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−1.93 (1.28)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Education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 No formal education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980 (23.2%)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522 (26.5%)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368 (26.1%)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200 (30.6%)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 Primary school or below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1831 (43.3%)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857 (43.5%)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544 (38.6%)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268 (41.0%)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 Middle school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935 (22.1%)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423 (21.5%)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313 (22.2%)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131 (20.1%)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 High school or vocational school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420 (9.9%)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150 (7.6%)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154 (10.9%)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48 (7.4%)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 College or above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60 (1.4%)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16 (0.8%)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29 (2.1%)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6 (0.9%)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Hukou status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 Agricultural hukou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3517 (83.2%)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1723 (87.6%)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1087 (77.3%)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541 (83.0%)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 Non-agricultural hukou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667 (15.8%)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227 (11.5%)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294 (20.9%)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102 (15.6%)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 Unified residence hukou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40 (0.9%)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17 (0.9%)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24 (1.7%)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8 (1.2%)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 No hukou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2 (0.0%)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 (0.0%)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 (0.1%)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 (0.2%)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Marital status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 Married or partnered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3832 (90.7%)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1781 (90.5%)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1258 (89.3%)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568 (87.0%)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 Separated, divorced, or widowed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365 (8.6%)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172 (8.7%)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146 (10.4%)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83 (12.7%)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 Never married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29 (0.7%)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16 (0.8%)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4 (0.3%)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2 (0.3%)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Smoking status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 Current smoker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1894 (44.8%)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800 (40.6%)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520 (36.9%)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204 (31.2%)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 Non-smoker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2332 (55.2%)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1169 (59.4%)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888 (63.1%)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449 (68.8%)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Drinking status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 More than once per month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1263 (29.9%)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555 (28.2%)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391 (27.8%)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137 (21.0%)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 Less than once per month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357 (8.5%)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156 (7.9%)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100 (7.1%)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39 (6.0%)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 None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2602 (61.6%)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1254 (63.8%)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917 (65.1%)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477 (73.0%)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Adiposity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1217 (28.8%)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543 (27.5%)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1341 (95.2%)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614 (94.0%)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Hypertension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885 (20.9%)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436 (22.1%)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1317 (93.5%)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616 (94.3%)</w:t>
            </w:r>
          </w:p>
        </w:tc>
      </w:tr>
      <w:tr>
        <w:tc>
          <w:tcPr>
            <w:tcW w:type="dxa" w:w="4680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Diabetes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64 (1.5%)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40 (2.0%)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317 (22.5%)</w:t>
            </w:r>
          </w:p>
        </w:tc>
        <w:tc>
          <w:tcPr>
            <w:tcW w:type="dxa" w:w="3384"/>
            <w:tcMar>
              <w:top w:w="10" w:type="dxa"/>
              <w:start w:w="70" w:type="dxa"/>
              <w:bottom w:w="10" w:type="dxa"/>
              <w:end w:w="70" w:type="dxa"/>
            </w:tcMar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148 (22.7%)</w:t>
            </w:r>
          </w:p>
        </w:tc>
      </w:tr>
    </w:tbl>
    <w:p>
      <w:pPr>
        <w:spacing w:after="0" w:before="0" w:line="20" w:lineRule="exact"/>
      </w:pPr>
      <w:r>
        <w:rPr>
          <w:rFonts w:ascii="Times New Roman" w:hAnsi="Times New Roman" w:eastAsia="Times New Roman"/>
          <w:sz w:val="17"/>
        </w:rPr>
      </w:r>
    </w:p>
    <w:p>
      <w:pPr>
        <w:spacing w:before="40" w:after="0" w:line="240" w:lineRule="auto"/>
        <w:jc w:val="both"/>
      </w:pPr>
      <w:r>
        <w:rPr>
          <w:rFonts w:ascii="Times New Roman" w:hAnsi="Times New Roman" w:eastAsia="Times New Roman"/>
          <w:b w:val="0"/>
          <w:sz w:val="17"/>
        </w:rPr>
        <w:t>Notes: All columns use the descriptive joint-phenotype sample (n=8259): 4226, 1972, 1408, and 653 participants, respectively. Values are mean (SD) or n (%). Percentages use participants with non-missing data for the corresponding variable. Education and marital-status categories were collapsed for presentation; the original source categories were retained in Model 3. Sleep deterioration was defined as a decrease in nighttime sleep duration of at least 1 hour from 2013 to 2015. CKM vulnerability was defined as at least two of adiposity, hypertension, and diabetes. CKM vulnerability denotes an available-data CKM-related vulnerability indicator based on adiposity, hypertension, and diabetes and does not reproduce complete American Heart Association CKM staging. Post-landmark outcomes are not included.</w:t>
      </w:r>
    </w:p>
    <w:p>
      <w:pPr>
        <w:spacing w:after="0" w:before="0" w:line="170" w:lineRule="exact"/>
      </w:pPr>
      <w:r>
        <w:rPr>
          <w:rFonts w:ascii="Times New Roman" w:hAnsi="Times New Roman" w:eastAsia="Times New Roman"/>
          <w:sz w:val="17"/>
        </w:rPr>
      </w:r>
    </w:p>
    <w:p>
      <w:pPr>
        <w:spacing w:before="0" w:after="0" w:line="240" w:lineRule="auto"/>
        <w:jc w:val="both"/>
      </w:pPr>
      <w:r>
        <w:rPr>
          <w:rFonts w:ascii="Times New Roman" w:hAnsi="Times New Roman" w:eastAsia="Times New Roman"/>
          <w:b w:val="0"/>
          <w:i w:val="0"/>
          <w:sz w:val="17"/>
        </w:rPr>
        <w:t>Abbreviations: CKM, cardiovascular-kidney-metabolic; SD, standard deviation.</w:t>
      </w:r>
    </w:p>
    <w:sectPr>
      <w:pgSz w:w="20160" w:h="12240" w:orient="landscape"/>
      <w:pgMar w:top="317" w:right="605" w:bottom="317" w:left="605" w:header="144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ns0:coreProperties xmlns:ns0="http://schemas.openxmlformats.org/package/2006/metadata/core-properties">
  <ns0:revision>1</ns0:revision>
  <dc:title xmlns:dc="http://purl.org/dc/elements/1.1/">Table 1 Baseline characteristics according to joint sleep deterioration-CKM vulnerability phenotype</dc:title>
  <dc:creator xmlns:dc="http://purl.org/dc/elements/1.1/"/>
  <ns0:lastModifiedBy/>
  <dc:description xmlns:dc="http://purl.org/dc/elements/1.1/"/>
</ns0:coreProperties>
</file>