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120" w:before="0" w:line="240" w:lineRule="auto"/>
        <w:jc w:val="center"/>
      </w:pPr>
      <w:r>
        <w:rPr>
          <w:rFonts w:ascii="Times New Roman" w:hAnsi="Times New Roman" w:eastAsia="Times New Roman"/>
          <w:b/>
          <w:sz w:val="20"/>
        </w:rPr>
        <w:t>Table 2 Main associations, adjusted absolute risks, and interaction analyses</w:t>
      </w:r>
    </w:p>
    <w:tbl>
      <w:tblGrid>
        <w:gridCol w:w="3168"/>
        <w:gridCol w:w="1224"/>
        <w:gridCol w:w="1008"/>
        <w:gridCol w:w="3096"/>
        <w:gridCol w:w="1152"/>
        <w:gridCol w:w="3456"/>
        <w:gridCol w:w="5400"/>
      </w:tblGrid>
      <w:tblPr>
        <w:tblW w:type="dxa" w:w="18504"/>
        <w:tblLayout w:type="autofit"/>
        <w:tblLook w:firstColumn="1" w:firstRow="1" w:lastColumn="0" w:lastRow="0" w:noHBand="0" w:noVBand="1" w:val="04A0"/>
        <w:tblCellMar>
          <w:top w:w="65" w:type="dxa"/>
          <w:start w:w="80" w:type="dxa"/>
          <w:bottom w:w="65" w:type="dxa"/>
          <w:end w:w="80" w:type="dxa"/>
        </w:tblCellMar>
        <w:jc w:val="center"/>
        <w:tblBorders>
          <w:top w:val="nil" w:sz="0" w:space="0" w:color="000000"/>
          <w:left w:val="nil" w:sz="0" w:space="0" w:color="000000"/>
          <w:bottom w:val="nil" w:sz="0" w:space="0" w:color="000000"/>
          <w:right w:val="nil" w:sz="0" w:space="0" w:color="000000"/>
          <w:insideH w:val="nil" w:sz="0" w:space="0" w:color="000000"/>
          <w:insideV w:val="nil" w:sz="0" w:space="0" w:color="000000"/>
        </w:tblBorders>
      </w:tblPr>
      <w:tr>
        <w:trPr>
          <w:tblHeader w:val="true"/>
          <w:tblHeader w:val="true"/>
        </w:trP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Joint phenotype or interaction measure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n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Events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Adjusted RR or interaction estimate (95% CI)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/>
                <w:sz w:val="17"/>
              </w:rPr>
              <w:t>P</w:t>
            </w:r>
            <w:r>
              <w:rPr>
                <w:rFonts w:ascii="Times New Roman" w:hAnsi="Times New Roman" w:eastAsia="Times New Roman"/>
                <w:b/>
                <w:sz w:val="17"/>
              </w:rPr>
              <w:t xml:space="preserve"> value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Adjusted absolute risk, % (95% CI)</w:t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top w:val="single" w:sz="12" w:space="0" w:color="000000"/>
              <w:bottom w:val="single" w:sz="8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Risk difference vs reference, percentage points (95% CI)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Panel A. Joint phenotype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Neither condition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4216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572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Reference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13.42 (12.39–14.45)</w:t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Reference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Sleep deterioration only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1957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279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1.13 (0.98–1.29)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P</w:t>
            </w: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= 0.087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15.12 (13.44–16.80)</w:t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1.70 (−0.29–3.69)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CKM vulnerability only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1403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343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1.74 (1.54–1.96)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P</w:t>
            </w: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&lt; 0.001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23.36 (21.17–25.54)</w:t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9.94 (7.53–12.34)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Both conditions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652</w:t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174</w:t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1.99 (1.70–2.32)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P</w:t>
            </w: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&lt; 0.001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26.68 (23.18–30.17)</w:t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13.26 (9.58–16.93)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Panel B. Interaction estimates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Multiplicative interaction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1.01 (0.83–1.24)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/>
                <w:sz w:val="17"/>
              </w:rPr>
              <w:t>P</w:t>
            </w:r>
            <w:r>
              <w:rPr>
                <w:rFonts w:ascii="Times New Roman" w:hAnsi="Times New Roman" w:eastAsia="Times New Roman"/>
                <w:b w:val="0"/>
                <w:sz w:val="17"/>
              </w:rPr>
              <w:t xml:space="preserve"> = 0.896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RERI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0.12 (−0.21–0.45)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AP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0.06 (−0.10–0.22)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SI</w:t>
            </w:r>
          </w:p>
        </w:tc>
        <w:tc>
          <w:tcPr>
            <w:tcW w:type="dxa" w:w="122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10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0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1.14 (0.73–1.55)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  <w:tc>
          <w:tcPr>
            <w:tcW w:type="dxa" w:w="540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tcBorders>
              <w:bottom w:val="single" w:sz="12" w:space="0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</w:r>
          </w:p>
        </w:tc>
      </w:tr>
    </w:tbl>
    <w:p/>
    <w:p>
      <w:pPr>
        <w:spacing w:before="40" w:after="0" w:line="240" w:lineRule="auto"/>
        <w:jc w:val="both"/>
      </w:pPr>
      <w:r>
        <w:rPr>
          <w:rFonts w:ascii="Times New Roman" w:hAnsi="Times New Roman" w:eastAsia="Times New Roman"/>
          <w:b/>
          <w:sz w:val="17"/>
        </w:rPr>
        <w:t xml:space="preserve">Notes: </w:t>
      </w:r>
      <w:r>
        <w:rPr>
          <w:rFonts w:ascii="Times New Roman" w:hAnsi="Times New Roman" w:eastAsia="Times New Roman"/>
          <w:sz w:val="17"/>
        </w:rPr>
        <w:t>All n and event counts, Model 3 risk ratio estimates, interaction estimates, and standardized adjusted risks were based on the complete-case Model 3 sample (n=8228; 1368 events). Model 3 adjusted for age, sex, education, hukou status, marital status, smoking, drinking, and baseline nighttime sleep duration. Adjusted absolute risks were standardized to the Model 3 population. The reference was the neither-condition group. No clear multiplicative or additive interaction was observed. SI was interpreted only as an additive-interaction measure.</w:t>
      </w:r>
      <w:r>
        <w:rPr>
          <w:rFonts w:ascii="Times New Roman" w:hAnsi="Times New Roman" w:eastAsia="Times New Roman"/>
          <w:sz w:val="17"/>
        </w:rPr>
        <w:t xml:space="preserve"> CKM vulnerability denotes an available-data CKM-related vulnerability indicator based on adiposity, hypertension, and diabetes and does not reproduce complete American Heart Association CKM staging.</w:t>
      </w:r>
    </w:p>
    <w:p/>
    <w:p/>
    <w:p>
      <w:pPr>
        <w:spacing w:before="80" w:after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sz w:val="17"/>
        </w:rPr>
        <w:t>Abbreviations: AP, attributable proportion; CI, confidence interval; CKM, cardiovascular-kidney-metabolic; CVD, cardiovascular disease; RERI, relative excess risk due to interaction; RR, risk ratio; SI, synergy index.</w:t>
      </w:r>
    </w:p>
    <w:sectPr>
      <w:pgSz w:w="20160" w:h="12240" w:orient="landscape"/>
      <w:pgMar w:top="648" w:right="720" w:bottom="64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eastAsia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Times New Roman" w:hAnsi="Times New Roman" w:eastAsia="Times New Roma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Times New Roman" w:hAnsi="Times New Roman" w:eastAsia="Times New Roman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Times New Roman" w:hAnsi="Times New Roman" w:eastAsia="Times New Roman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hAnsi="Times New Roman" w:eastAsia="Times New Roman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hAnsi="Times New Roman" w:eastAsia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Times New Roman" w:hAnsi="Times New Roman" w:eastAsia="Times New Roman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hAnsi="Times New Roman"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hAnsi="Times New Roman" w:eastAsia="Times New Roman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Times New Roman" w:hAnsi="Times New Roman"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hAnsi="Times New Roman" w:eastAsia="Times New Roman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eastAsia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Times New Roman" w:hAnsi="Times New Roman" w:eastAsia="Times New Roman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Times New Roman" w:hAnsi="Times New Roman" w:eastAsia="Times New Roman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Times New Roman" w:hAnsi="Times New Roman" w:eastAsia="Times New Roman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 w:eastAsia="Times New Roman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imes New Roman" w:hAnsi="Times New Roman" w:eastAsia="Times New Roman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Times New Roman" w:hAnsi="Times New Roman" w:eastAsia="Times New Roman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 w:eastAsia="Times New Roman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Times New Roman" w:hAnsi="Times New Roman" w:eastAsia="Times New Roman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Times New Roman" w:hAnsi="Times New Roman" w:eastAsia="Times New Roman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Times New Roman" w:hAnsi="Times New Roman" w:eastAsia="Times New Roman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Times New Roman" w:hAnsi="Times New Roman" w:eastAsia="Times New Roman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Times New Roman" w:hAnsi="Times New Roman" w:eastAsia="Times New Roman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eastAsia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eastAsia="Times New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eastAsia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eastAsia="Times New Roman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Times New Roman" w:hAnsi="Times New Roman" w:eastAsia="Times New Roman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eastAsia="Times New Roman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eastAsia="Times New Roman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eastAsia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eastAsia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eastAsia="Times New Roman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eastAsia="Times New Roman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eastAsia="Times New Roman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eastAsia="Times New Roman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eastAsia="Times New Roman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eastAsia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hAnsi="Times New Roman" w:eastAsia="Times New Roman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ns0:coreProperties xmlns:ns0="http://schemas.openxmlformats.org/package/2006/metadata/core-properties">
  <ns0:revision>1</ns0:revision>
  <dc:title xmlns:dc="http://purl.org/dc/elements/1.1/">Table 2 Main associations, adjusted absolute risks, and interaction analyses</dc:title>
  <dc:creator xmlns:dc="http://purl.org/dc/elements/1.1/"/>
  <ns0:lastModifiedBy/>
  <dc:description xmlns:dc="http://purl.org/dc/elements/1.1/"/>
</ns0:coreProperties>
</file>