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194B" w14:textId="29B76347" w:rsidR="001F4E95" w:rsidRPr="001F4E95" w:rsidRDefault="00C17B31" w:rsidP="001F4E95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29ED2EF3" wp14:editId="7940C54F">
            <wp:extent cx="6014610" cy="5234940"/>
            <wp:effectExtent l="0" t="0" r="5715" b="3810"/>
            <wp:docPr id="1691314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70" cy="526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3198" w14:textId="77777777" w:rsidR="001F4E95" w:rsidRPr="001F4E95" w:rsidRDefault="001F4E95" w:rsidP="001F4E95">
      <w:pPr>
        <w:spacing w:after="0" w:line="360" w:lineRule="auto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noProof/>
          <w:color w:val="000000"/>
          <w:kern w:val="0"/>
          <w14:ligatures w14:val="none"/>
        </w:rPr>
        <w:t>1</w: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Holotype and Distribution map in Iran (Southern Khorassan Province) of </w:t>
      </w:r>
      <w:r w:rsidRPr="001F4E95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Astragalus kharazmii</w:t>
      </w:r>
      <w:r w:rsidRPr="001F4E9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F.Ghahrem., Maassoumi &amp; Alirezaei (B. Ghazvini 9201, T).</w:t>
      </w:r>
    </w:p>
    <w:p w14:paraId="57D46753" w14:textId="77777777" w:rsidR="00CD2C28" w:rsidRDefault="00CD2C28"/>
    <w:p w14:paraId="08FA3556" w14:textId="00FB13CD" w:rsidR="001F4E95" w:rsidRPr="001F4E95" w:rsidRDefault="00941001" w:rsidP="001F4E95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0DF703D9" wp14:editId="7E511DA0">
            <wp:extent cx="5788912" cy="5897880"/>
            <wp:effectExtent l="0" t="0" r="2540" b="7620"/>
            <wp:docPr id="13134252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22" cy="591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CE882" w14:textId="77777777" w:rsidR="001F4E95" w:rsidRPr="001F4E95" w:rsidRDefault="001F4E95" w:rsidP="001F4E95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noProof/>
          <w:color w:val="000000"/>
          <w:kern w:val="0"/>
          <w14:ligatures w14:val="none"/>
        </w:rPr>
        <w:t>2</w:t>
      </w:r>
      <w:r w:rsidRPr="001F4E95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Holotype of </w:t>
      </w:r>
      <w:r w:rsidRPr="001F4E95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Astragalus kharazmii</w:t>
      </w:r>
      <w:r w:rsidRPr="001F4E95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F.Ghahrem., Maassoumi &amp; Alirezaei (B. Ghazvini 9201, T). A. Inflorescence, B. Leaf, C. Legume, D. Floral parts of a dissected flower include the calyx, standard, keel, wings, stamens, and pistil.</w:t>
      </w:r>
    </w:p>
    <w:p w14:paraId="7A46CB82" w14:textId="77777777" w:rsidR="001F4E95" w:rsidRDefault="001F4E95"/>
    <w:p w14:paraId="7102170C" w14:textId="6FD18B0F" w:rsidR="001F4E95" w:rsidRPr="001F4E95" w:rsidRDefault="00924532" w:rsidP="001F4E95">
      <w:pPr>
        <w:keepNext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2914D329" wp14:editId="3F8F2F71">
            <wp:extent cx="5927416" cy="6697980"/>
            <wp:effectExtent l="0" t="0" r="0" b="7620"/>
            <wp:docPr id="12388632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117" cy="671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B2A55" w14:textId="77777777" w:rsidR="001F4E95" w:rsidRPr="001F4E95" w:rsidRDefault="001F4E95" w:rsidP="001F4E95">
      <w:pPr>
        <w:spacing w:after="200" w:line="36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3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Scanning electron microscopy (SEM) images of </w:t>
      </w:r>
      <w:r w:rsidRPr="001F4E95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Astragalus kharazmii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>, A, B: leaf trichomes; C, D: stomata and leaf trichomes; E, F: calyx trichomes.</w:t>
      </w:r>
    </w:p>
    <w:p w14:paraId="5AD4FE22" w14:textId="77777777" w:rsidR="001F4E95" w:rsidRDefault="001F4E95"/>
    <w:p w14:paraId="073F6B5C" w14:textId="70A1C2EB" w:rsidR="001F4E95" w:rsidRPr="001F4E95" w:rsidRDefault="00482923" w:rsidP="001F4E95">
      <w:pPr>
        <w:keepNext/>
        <w:spacing w:line="360" w:lineRule="auto"/>
        <w:jc w:val="center"/>
        <w:rPr>
          <w:rFonts w:ascii="Calibri" w:eastAsia="Calibri" w:hAnsi="Calibri" w:cs="Arial"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41200EE5" wp14:editId="2281B34B">
            <wp:extent cx="5692140" cy="6339840"/>
            <wp:effectExtent l="0" t="0" r="3810" b="3810"/>
            <wp:docPr id="847679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1" t="-354" b="2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63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6680A" w14:textId="77777777" w:rsidR="001F4E95" w:rsidRPr="001F4E95" w:rsidRDefault="001F4E95" w:rsidP="001F4E95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4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4E95">
        <w:rPr>
          <w:rFonts w:ascii="Times New Roman" w:eastAsia="Calibri" w:hAnsi="Times New Roman" w:cs="Times New Roman"/>
          <w:color w:val="000000"/>
          <w:lang w:bidi="fa-IR"/>
        </w:rPr>
        <w:t xml:space="preserve">Bayesian phylogenetic tree of </w:t>
      </w:r>
      <w:r w:rsidRPr="001F4E95">
        <w:rPr>
          <w:rFonts w:ascii="Times New Roman" w:eastAsia="Calibri" w:hAnsi="Times New Roman" w:cs="Times New Roman"/>
          <w:i/>
          <w:iCs/>
          <w:color w:val="000000"/>
          <w:lang w:bidi="fa-IR"/>
        </w:rPr>
        <w:t>Astragalus</w:t>
      </w:r>
      <w:r w:rsidRPr="001F4E95">
        <w:rPr>
          <w:rFonts w:ascii="Times New Roman" w:eastAsia="Calibri" w:hAnsi="Times New Roman" w:cs="Times New Roman"/>
          <w:color w:val="000000"/>
          <w:lang w:bidi="fa-IR"/>
        </w:rPr>
        <w:t xml:space="preserve"> species based on nuclear ITS sequences. Bootstrap values are shown at branch points; values greater than 50 % were considered significant. Major clades (A–K) are indicated, and species delimitation results inferred by ASAP, ABGD, GMYC, and ITS2 analyses are summarized alongside the phylogeny.</w:t>
      </w:r>
    </w:p>
    <w:p w14:paraId="651A8DA4" w14:textId="77777777" w:rsidR="001F4E95" w:rsidRDefault="001F4E95"/>
    <w:p w14:paraId="58F284DF" w14:textId="0B3ECF4F" w:rsidR="001F4E95" w:rsidRPr="001F4E95" w:rsidRDefault="00924532" w:rsidP="001F4E95">
      <w:pPr>
        <w:keepNext/>
        <w:spacing w:after="0" w:line="360" w:lineRule="auto"/>
        <w:jc w:val="center"/>
        <w:rPr>
          <w:rFonts w:ascii="Calibri" w:eastAsia="Calibri" w:hAnsi="Calibri" w:cs="Arial"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32B927BC" wp14:editId="340BB0EC">
            <wp:extent cx="4186112" cy="7650480"/>
            <wp:effectExtent l="0" t="0" r="5080" b="7620"/>
            <wp:docPr id="209314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150" cy="768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053AC" w14:textId="77777777" w:rsidR="001F4E95" w:rsidRPr="001F4E95" w:rsidRDefault="001F4E95" w:rsidP="001F4E95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5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Secondary structure of the ITS2 region in </w:t>
      </w:r>
      <w:r w:rsidRPr="001F4E95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Astragalus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species. The predicted structures show variations in helix length and unpaired bases among different taxa.</w:t>
      </w:r>
    </w:p>
    <w:p w14:paraId="746037F8" w14:textId="4CFA2DF9" w:rsidR="001F4E95" w:rsidRPr="001F4E95" w:rsidRDefault="00924532" w:rsidP="001F4E95">
      <w:pPr>
        <w:keepNext/>
        <w:spacing w:after="200" w:line="360" w:lineRule="auto"/>
        <w:jc w:val="center"/>
        <w:rPr>
          <w:rFonts w:ascii="Calibri" w:eastAsia="Calibri" w:hAnsi="Calibri" w:cs="Arial"/>
          <w:color w:val="000000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76AF5F37" wp14:editId="29155FDF">
            <wp:extent cx="6244389" cy="5273040"/>
            <wp:effectExtent l="0" t="0" r="4445" b="3810"/>
            <wp:docPr id="581415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428" cy="528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01F87" w14:textId="77777777" w:rsidR="001F4E95" w:rsidRPr="001F4E95" w:rsidRDefault="001F4E95" w:rsidP="001F4E95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6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Divergence time phylogenetic tree of </w:t>
      </w:r>
      <w:r w:rsidRPr="001F4E95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Astragalus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species inferred using a Bayesian relaxed-clock analysis. Numbers at internal nodes indicate the estimated divergence times (Ma).</w:t>
      </w:r>
    </w:p>
    <w:p w14:paraId="6DD329AB" w14:textId="77777777" w:rsidR="001F4E95" w:rsidRDefault="001F4E95"/>
    <w:p w14:paraId="62180A55" w14:textId="77777777" w:rsidR="001F4E95" w:rsidRPr="001F4E95" w:rsidRDefault="001F4E95" w:rsidP="001F4E95">
      <w:pPr>
        <w:keepNext/>
        <w:spacing w:after="200" w:line="360" w:lineRule="auto"/>
        <w:jc w:val="center"/>
        <w:rPr>
          <w:rFonts w:ascii="Calibri" w:eastAsia="Calibri" w:hAnsi="Calibri" w:cs="Arial"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noProof/>
          <w:color w:val="000000"/>
          <w:kern w:val="0"/>
          <w14:ligatures w14:val="none"/>
        </w:rPr>
        <w:lastRenderedPageBreak/>
        <w:drawing>
          <wp:inline distT="0" distB="0" distL="0" distR="0" wp14:anchorId="7AFF50BE" wp14:editId="5E40BC95">
            <wp:extent cx="3283934" cy="7037652"/>
            <wp:effectExtent l="0" t="0" r="0" b="0"/>
            <wp:docPr id="1088194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47" cy="706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513F89" w14:textId="77777777" w:rsidR="001F4E95" w:rsidRPr="001F4E95" w:rsidRDefault="001F4E95" w:rsidP="001F4E95">
      <w:pPr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7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Ancestral area reconstruction of </w:t>
      </w:r>
      <w:r w:rsidRPr="001F4E95">
        <w:rPr>
          <w:rFonts w:ascii="Times New Roman" w:eastAsia="Calibri" w:hAnsi="Times New Roman" w:cs="Times New Roman"/>
          <w:i/>
          <w:iCs/>
          <w:color w:val="000000"/>
          <w:kern w:val="0"/>
          <w14:ligatures w14:val="none"/>
        </w:rPr>
        <w:t>Astragalus</w:t>
      </w:r>
      <w:r w:rsidRPr="001F4E95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inferred using RASP. Pie charts indicate the relative probabilities of ancestral areas, whereas coloured circles represent the present-day geographic distribution of each species. Geographic regions: Japan (A), China (B), Russia (C), Korea (D), Kazakhstan (E), Iran (F), Iraq (G), Europe (H), Canada (I), the USA (J), and Turkey (K).</w:t>
      </w:r>
    </w:p>
    <w:p w14:paraId="79542102" w14:textId="77777777" w:rsidR="001F4E95" w:rsidRPr="001F4E95" w:rsidRDefault="001F4E95" w:rsidP="001F4E95">
      <w:pPr>
        <w:keepNext/>
        <w:spacing w:after="200" w:line="360" w:lineRule="auto"/>
        <w:jc w:val="center"/>
        <w:rPr>
          <w:rFonts w:ascii="Calibri" w:eastAsia="Calibri" w:hAnsi="Calibri" w:cs="Arial"/>
          <w:color w:val="000000"/>
          <w:kern w:val="0"/>
          <w14:ligatures w14:val="none"/>
        </w:rPr>
      </w:pPr>
      <w:r w:rsidRPr="001F4E95">
        <w:rPr>
          <w:rFonts w:ascii="Calibri" w:eastAsia="Calibri" w:hAnsi="Calibri" w:cs="Arial"/>
          <w:noProof/>
          <w:color w:val="000000"/>
          <w:kern w:val="0"/>
          <w:sz w:val="22"/>
          <w:szCs w:val="22"/>
          <w14:ligatures w14:val="none"/>
        </w:rPr>
        <w:lastRenderedPageBreak/>
        <w:drawing>
          <wp:inline distT="0" distB="0" distL="0" distR="0" wp14:anchorId="6636A71A" wp14:editId="59B57167">
            <wp:extent cx="5976620" cy="2705100"/>
            <wp:effectExtent l="0" t="0" r="5080" b="0"/>
            <wp:docPr id="207787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76032" name=""/>
                    <pic:cNvPicPr/>
                  </pic:nvPicPr>
                  <pic:blipFill rotWithShape="1">
                    <a:blip r:embed="rId11"/>
                    <a:srcRect t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83468F" w14:textId="77777777" w:rsidR="001F4E95" w:rsidRPr="001F4E95" w:rsidRDefault="001F4E95" w:rsidP="001F4E95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Fig. 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begin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instrText xml:space="preserve"> SEQ Figure \* ARABIC </w:instrTex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separate"/>
      </w:r>
      <w:r w:rsidRPr="001F4E95">
        <w:rPr>
          <w:rFonts w:ascii="Times New Roman" w:eastAsia="Calibri" w:hAnsi="Times New Roman" w:cs="Times New Roman"/>
          <w:b/>
          <w:bCs/>
          <w:noProof/>
          <w:color w:val="000000"/>
          <w:kern w:val="0"/>
          <w14:ligatures w14:val="none"/>
        </w:rPr>
        <w:t>8</w:t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fldChar w:fldCharType="end"/>
      </w:r>
      <w:r w:rsidRPr="001F4E95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1F4E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Schematic representation of the hypothesized dispersal routes of the sampled </w:t>
      </w:r>
      <w:r w:rsidRPr="001F4E95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Astragalus</w:t>
      </w:r>
      <w:r w:rsidRPr="001F4E9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lineages inferred from ancestral area reconstruction using S-DIVA. Arrows indicate the inferred directions of lineage dispersal among the reconstructed ancestral areas.</w:t>
      </w:r>
    </w:p>
    <w:p w14:paraId="178494A3" w14:textId="77777777" w:rsidR="001F4E95" w:rsidRDefault="001F4E95"/>
    <w:sectPr w:rsidR="001F4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95"/>
    <w:rsid w:val="00123B7E"/>
    <w:rsid w:val="001F4E95"/>
    <w:rsid w:val="00255386"/>
    <w:rsid w:val="00365202"/>
    <w:rsid w:val="00482923"/>
    <w:rsid w:val="004A7E9C"/>
    <w:rsid w:val="004D0803"/>
    <w:rsid w:val="00683B08"/>
    <w:rsid w:val="00924532"/>
    <w:rsid w:val="00941001"/>
    <w:rsid w:val="0094480D"/>
    <w:rsid w:val="00A16EFA"/>
    <w:rsid w:val="00C17B31"/>
    <w:rsid w:val="00CD2C28"/>
    <w:rsid w:val="00D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432F9"/>
  <w15:chartTrackingRefBased/>
  <w15:docId w15:val="{3C1955B7-5639-4DC1-943F-E08457C7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E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E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E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E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E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E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E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2026-08-02T09:21:00Z</dcterms:created>
  <dcterms:modified xsi:type="dcterms:W3CDTF">2026-08-02T10:11:00Z</dcterms:modified>
</cp:coreProperties>
</file>