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D6A92" w14:textId="77777777" w:rsidR="00EC027F" w:rsidRDefault="00EC027F" w:rsidP="00EC027F">
      <w:pPr>
        <w:pStyle w:val="Heading1"/>
        <w:spacing w:before="0" w:after="120" w:line="259" w:lineRule="auto"/>
      </w:pPr>
      <w:r>
        <w:rPr>
          <w:rFonts w:ascii="Times New Roman" w:hAnsi="Times New Roman"/>
          <w:sz w:val="22"/>
        </w:rPr>
        <w:t>Supplementary Materials</w:t>
      </w:r>
    </w:p>
    <w:p w14:paraId="758E269F" w14:textId="77777777" w:rsidR="00EC027F" w:rsidRDefault="00EC027F" w:rsidP="00EC027F">
      <w:pPr>
        <w:spacing w:after="120" w:line="259" w:lineRule="auto"/>
      </w:pPr>
      <w:r>
        <w:t>The following supporting materials should be submitted with the manuscript when available: Supplementary File S1: PRISMA-ScR checklist; Supplementary File S2: screening export; Supplementary File S3: extraction export. If the CSV exports are not uploaded as supplementary files, the Data Availability Statement should be revised accordingly.</w:t>
      </w:r>
    </w:p>
    <w:p w14:paraId="696C9BD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7F"/>
    <w:rsid w:val="000C4033"/>
    <w:rsid w:val="00173ED8"/>
    <w:rsid w:val="002F50B1"/>
    <w:rsid w:val="003315B5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C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67919"/>
  <w15:chartTrackingRefBased/>
  <w15:docId w15:val="{1325F2FF-6A9B-4C5A-B642-FBFF5F0B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27F"/>
    <w:pPr>
      <w:spacing w:after="200" w:line="276" w:lineRule="auto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02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2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2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2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2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27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27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27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27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C0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2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2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2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2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2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2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0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27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0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27F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02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27F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02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2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2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2026-08-05T14:40:00Z</dcterms:created>
  <dcterms:modified xsi:type="dcterms:W3CDTF">2026-08-05T14:40:00Z</dcterms:modified>
</cp:coreProperties>
</file>