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034A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color w:val="0F1115"/>
          <w:sz w:val="21"/>
          <w:szCs w:val="21"/>
          <w:shd w:val="clear" w:color="auto" w:fill="FFFFFF"/>
        </w:rPr>
      </w:pPr>
      <w:r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  <w:t xml:space="preserve">Supplementary Fig. S1. </w:t>
      </w:r>
      <w:r>
        <w:rPr>
          <w:rFonts w:ascii="Times New Roman" w:eastAsia="Segoe UI" w:hAnsi="Times New Roman" w:cs="Segoe UI"/>
          <w:color w:val="0F1115"/>
          <w:sz w:val="21"/>
          <w:szCs w:val="21"/>
          <w:shd w:val="clear" w:color="auto" w:fill="FFFFFF"/>
        </w:rPr>
        <w:t>Concentration-dependent inhibition of MUM-2B cell viability by CGA and SEL (24 h). (</w:t>
      </w:r>
      <w:r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  <w:t>A</w:t>
      </w:r>
      <w:r>
        <w:rPr>
          <w:rFonts w:ascii="Times New Roman" w:eastAsia="Segoe UI" w:hAnsi="Times New Roman" w:cs="Segoe UI"/>
          <w:color w:val="0F1115"/>
          <w:sz w:val="21"/>
          <w:szCs w:val="21"/>
          <w:shd w:val="clear" w:color="auto" w:fill="FFFFFF"/>
        </w:rPr>
        <w:t>) Cell viability curves after treatment with different concentrations of CGA (100–800 μM) for 24 h. (</w:t>
      </w:r>
      <w:r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  <w:t>B</w:t>
      </w:r>
      <w:r>
        <w:rPr>
          <w:rFonts w:ascii="Times New Roman" w:eastAsia="Segoe UI" w:hAnsi="Times New Roman" w:cs="Segoe UI"/>
          <w:color w:val="0F1115"/>
          <w:sz w:val="21"/>
          <w:szCs w:val="21"/>
          <w:shd w:val="clear" w:color="auto" w:fill="FFFFFF"/>
        </w:rPr>
        <w:t>) Cell viability curves after treatment with different concentrations of SEL (125–300 μM) for 24 h. The IC₅₀ was approximately 500 μM for CGA and 175 μM for SEL (mean ± SD).</w:t>
      </w:r>
    </w:p>
    <w:p w14:paraId="5ED117FB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imSun" w:hAnsi="Times New Roman" w:cs="Segoe UI"/>
          <w:color w:val="0F1115"/>
          <w:sz w:val="21"/>
          <w:szCs w:val="21"/>
          <w:shd w:val="clear" w:color="auto" w:fill="FFFFFF"/>
        </w:rPr>
      </w:pPr>
      <w:r>
        <w:rPr>
          <w:rFonts w:ascii="Times New Roman" w:eastAsia="SimSun" w:hAnsi="Times New Roman" w:cs="Segoe UI" w:hint="eastAsia"/>
          <w:noProof/>
          <w:color w:val="0F1115"/>
          <w:sz w:val="21"/>
          <w:szCs w:val="21"/>
          <w:shd w:val="clear" w:color="auto" w:fill="FFFFFF"/>
        </w:rPr>
        <w:drawing>
          <wp:inline distT="0" distB="0" distL="114300" distR="114300" wp14:anchorId="6F320CDB" wp14:editId="6E242AD6">
            <wp:extent cx="5269230" cy="1650365"/>
            <wp:effectExtent l="0" t="0" r="7620" b="6985"/>
            <wp:docPr id="6" name="图片 6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1D9D1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color w:val="0F1115"/>
          <w:sz w:val="21"/>
          <w:szCs w:val="21"/>
          <w:shd w:val="clear" w:color="auto" w:fill="FFFFFF"/>
        </w:rPr>
      </w:pPr>
    </w:p>
    <w:p w14:paraId="745DF466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5375E636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6D0D9AE1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3DFB8DD8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767D64B8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438DCB19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31B5596C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153447D3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11B416FD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44E29744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43D1DDC0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6534E49E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39336162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032BBA3B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imSun" w:hAnsi="Times New Roman" w:cs="Segoe UI"/>
          <w:color w:val="0F1115"/>
          <w:sz w:val="21"/>
          <w:szCs w:val="21"/>
          <w:shd w:val="clear" w:color="auto" w:fill="FFFFFF"/>
        </w:rPr>
      </w:pPr>
      <w:r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  <w:lastRenderedPageBreak/>
        <w:t>Supplementary Fig. S2.</w:t>
      </w:r>
      <w:r>
        <w:rPr>
          <w:rFonts w:ascii="Times New Roman" w:eastAsia="Segoe UI" w:hAnsi="Times New Roman" w:cs="Segoe UI"/>
          <w:color w:val="0F1115"/>
          <w:sz w:val="21"/>
          <w:szCs w:val="21"/>
          <w:shd w:val="clear" w:color="auto" w:fill="FFFFFF"/>
        </w:rPr>
        <w:t> Body weight changes of nude mice during the 14-day treatment period. No significant differences in body weight were observed among all groups (P &gt; 0.05)</w:t>
      </w:r>
      <w:r>
        <w:rPr>
          <w:rFonts w:ascii="Times New Roman" w:eastAsia="SimSun" w:hAnsi="Times New Roman" w:cs="Segoe UI" w:hint="eastAsia"/>
          <w:color w:val="0F1115"/>
          <w:sz w:val="21"/>
          <w:szCs w:val="21"/>
          <w:shd w:val="clear" w:color="auto" w:fill="FFFFFF"/>
        </w:rPr>
        <w:t>.</w:t>
      </w:r>
      <w:r>
        <w:rPr>
          <w:rFonts w:ascii="Times New Roman" w:eastAsia="SimSun" w:hAnsi="Times New Roman" w:cs="Segoe UI" w:hint="eastAsia"/>
          <w:noProof/>
          <w:color w:val="0F1115"/>
          <w:sz w:val="21"/>
          <w:szCs w:val="21"/>
          <w:shd w:val="clear" w:color="auto" w:fill="FFFFFF"/>
        </w:rPr>
        <w:drawing>
          <wp:inline distT="0" distB="0" distL="114300" distR="114300" wp14:anchorId="7C8C488D" wp14:editId="2CC85052">
            <wp:extent cx="5269230" cy="2303780"/>
            <wp:effectExtent l="0" t="0" r="7620" b="1270"/>
            <wp:docPr id="7" name="图片 7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423CE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312E5C6C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5A9C69C2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3D921F1A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29C00A4E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47580E5A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182B7F7E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57C6D4B9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01DB8FC8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5F27A593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0F07E1E8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3C72422B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06615101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5E6D3D9F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</w:pPr>
    </w:p>
    <w:p w14:paraId="1FE1E7B0" w14:textId="77777777" w:rsidR="00A8318F" w:rsidRDefault="00A8318F" w:rsidP="00A8318F">
      <w:pPr>
        <w:pStyle w:val="NormalWeb"/>
        <w:widowControl/>
        <w:spacing w:before="240" w:after="240" w:line="288" w:lineRule="auto"/>
        <w:rPr>
          <w:rFonts w:ascii="Times New Roman" w:eastAsia="Segoe UI" w:hAnsi="Times New Roman" w:cs="Segoe UI"/>
          <w:color w:val="0F1115"/>
          <w:sz w:val="21"/>
          <w:szCs w:val="21"/>
        </w:rPr>
      </w:pPr>
      <w:r>
        <w:rPr>
          <w:rFonts w:ascii="Times New Roman" w:eastAsia="Segoe UI" w:hAnsi="Times New Roman" w:cs="Segoe UI"/>
          <w:b/>
          <w:bCs/>
          <w:color w:val="0F1115"/>
          <w:sz w:val="21"/>
          <w:szCs w:val="21"/>
          <w:shd w:val="clear" w:color="auto" w:fill="FFFFFF"/>
        </w:rPr>
        <w:lastRenderedPageBreak/>
        <w:t>Supplementary Fig. S3.</w:t>
      </w:r>
      <w:r>
        <w:rPr>
          <w:rFonts w:ascii="Times New Roman" w:eastAsia="Segoe UI" w:hAnsi="Times New Roman" w:cs="Segoe UI"/>
          <w:color w:val="0F1115"/>
          <w:sz w:val="21"/>
          <w:szCs w:val="21"/>
          <w:shd w:val="clear" w:color="auto" w:fill="FFFFFF"/>
        </w:rPr>
        <w:t> IHC analysis of GNA11 in tumor tissues. No positive staining was observed for GNA11 in any group. Groups: Con, CGA-H, 5-FU, SEL, SEL+CGA-M. Scale bar = 50 μm.</w:t>
      </w:r>
    </w:p>
    <w:p w14:paraId="38820622" w14:textId="77777777" w:rsidR="00A8318F" w:rsidRDefault="00A8318F" w:rsidP="00A8318F">
      <w:pPr>
        <w:pStyle w:val="NormalWeb"/>
        <w:widowControl/>
        <w:spacing w:before="240" w:line="288" w:lineRule="auto"/>
        <w:rPr>
          <w:rFonts w:ascii="Times New Roman" w:eastAsia="SimSun" w:hAnsi="Times New Roman" w:cs="Segoe UI"/>
          <w:sz w:val="21"/>
          <w:szCs w:val="21"/>
          <w:shd w:val="clear" w:color="auto" w:fill="FFFFFF"/>
        </w:rPr>
      </w:pPr>
      <w:r>
        <w:rPr>
          <w:rFonts w:ascii="Times New Roman" w:eastAsia="SimSun" w:hAnsi="Times New Roman" w:cs="Segoe UI" w:hint="eastAsia"/>
          <w:noProof/>
          <w:sz w:val="21"/>
          <w:szCs w:val="21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1BBE2073" wp14:editId="67EF9A44">
            <wp:simplePos x="0" y="0"/>
            <wp:positionH relativeFrom="column">
              <wp:posOffset>-419100</wp:posOffset>
            </wp:positionH>
            <wp:positionV relativeFrom="paragraph">
              <wp:posOffset>19050</wp:posOffset>
            </wp:positionV>
            <wp:extent cx="5947410" cy="918210"/>
            <wp:effectExtent l="0" t="0" r="15240" b="15240"/>
            <wp:wrapTopAndBottom/>
            <wp:docPr id="8" name="图片 8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EFE06C" w14:textId="77777777" w:rsidR="008B07A6" w:rsidRDefault="008B07A6"/>
    <w:sectPr w:rsidR="008B07A6" w:rsidSect="00A8318F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ADDAE" w14:textId="77777777" w:rsidR="00A8318F" w:rsidRDefault="00A8318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3DBB6D" wp14:editId="5C4C2C4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FE0F46" w14:textId="77777777" w:rsidR="00A8318F" w:rsidRDefault="00A8318F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DBB6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DFE0F46" w14:textId="77777777" w:rsidR="00A8318F" w:rsidRDefault="00A8318F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8F"/>
    <w:rsid w:val="00066677"/>
    <w:rsid w:val="000F2794"/>
    <w:rsid w:val="00153A17"/>
    <w:rsid w:val="001A37F3"/>
    <w:rsid w:val="003A4E89"/>
    <w:rsid w:val="00556784"/>
    <w:rsid w:val="008B07A6"/>
    <w:rsid w:val="0097029A"/>
    <w:rsid w:val="00987B63"/>
    <w:rsid w:val="00990454"/>
    <w:rsid w:val="00A234E6"/>
    <w:rsid w:val="00A8318F"/>
    <w:rsid w:val="00BF13F9"/>
    <w:rsid w:val="00CE738E"/>
    <w:rsid w:val="00D31E7D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DE864"/>
  <w15:chartTrackingRefBased/>
  <w15:docId w15:val="{452CBF56-1FB2-415B-A08E-7DC329B3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18F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18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18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18F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18F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18F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18F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18F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18F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18F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318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3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18F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3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318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3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318F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3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18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318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A8318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A8318F"/>
    <w:rPr>
      <w:rFonts w:eastAsiaTheme="minorEastAsia"/>
      <w:sz w:val="18"/>
      <w:lang w:eastAsia="zh-CN"/>
      <w14:ligatures w14:val="none"/>
    </w:rPr>
  </w:style>
  <w:style w:type="paragraph" w:styleId="NormalWeb">
    <w:name w:val="Normal (Web)"/>
    <w:basedOn w:val="Normal"/>
    <w:qFormat/>
    <w:rsid w:val="00A8318F"/>
    <w:rPr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A8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2026-09-14T12:13:00Z</dcterms:created>
  <dcterms:modified xsi:type="dcterms:W3CDTF">2026-09-14T12:13:00Z</dcterms:modified>
</cp:coreProperties>
</file>