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2CE5" w14:textId="77777777" w:rsidR="00397FCB" w:rsidRDefault="00397FCB" w:rsidP="00397FCB">
      <w:pPr>
        <w:pStyle w:val="Heading1"/>
        <w:pBdr>
          <w:top w:val="none" w:sz="2" w:space="1" w:color="000000"/>
          <w:left w:val="none" w:sz="2" w:space="4" w:color="000000"/>
          <w:bottom w:val="none" w:sz="2" w:space="1" w:color="000000"/>
          <w:right w:val="none" w:sz="2" w:space="4" w:color="000000"/>
        </w:pBdr>
        <w:spacing w:before="320" w:after="140" w:line="240" w:lineRule="auto"/>
      </w:pPr>
      <w:r>
        <w:rPr>
          <w:rFonts w:ascii="Times New Roman"/>
          <w:b/>
          <w:color w:val="1A1A1A"/>
          <w:sz w:val="26"/>
        </w:rPr>
        <w:t>Appendix A. Cross-Validation and Sensitivity</w:t>
      </w:r>
    </w:p>
    <w:p w14:paraId="37C05842" w14:textId="77777777" w:rsidR="00397FCB" w:rsidRDefault="00397FCB" w:rsidP="00397FCB">
      <w:pPr>
        <w:pStyle w:val="ManuscriptBody"/>
        <w:spacing w:before="60" w:after="200"/>
      </w:pPr>
      <w:r>
        <w:rPr>
          <w:i/>
          <w:sz w:val="20"/>
        </w:rPr>
        <w:t>Appendices A–E are provided as online supplementary material and are not part of the main text.</w:t>
      </w:r>
    </w:p>
    <w:p w14:paraId="6906BA9C" w14:textId="77777777" w:rsidR="00397FCB" w:rsidRDefault="00397FCB" w:rsidP="00397FCB">
      <w:pPr>
        <w:pStyle w:val="Heading2"/>
        <w:pBdr>
          <w:top w:val="none" w:sz="2" w:space="1" w:color="000000"/>
          <w:left w:val="none" w:sz="2" w:space="4" w:color="000000"/>
          <w:bottom w:val="none" w:sz="2" w:space="1" w:color="000000"/>
          <w:right w:val="none" w:sz="2" w:space="4" w:color="000000"/>
        </w:pBdr>
        <w:spacing w:line="240" w:lineRule="auto"/>
      </w:pPr>
      <w:r>
        <w:rPr>
          <w:rFonts w:ascii="Times New Roman"/>
          <w:b/>
          <w:i/>
          <w:color w:val="1A1A1A"/>
          <w:sz w:val="22"/>
        </w:rPr>
        <w:t>A.1 Sensitivity to the number of validation clusters</w:t>
      </w:r>
    </w:p>
    <w:p w14:paraId="4231DC52"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ind w:firstLine="431"/>
      </w:pPr>
      <w:r>
        <w:t>The validation partitions parcels into K ≈ N/80 k-means clusters. Because any partition is a modeling choice, Table A1 re-runs both the reduced-form gap test and the similarity test at K ∈ {60, 80, 100, 120} under a fixed control set. The gap coefficient is negative at every K and the similarity coefficient positive and significant at every K, so neither result is an artifact of the K = 80 partition.</w:t>
      </w:r>
    </w:p>
    <w:p w14:paraId="0DDE13FA"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t>Table A1. Sensitivity to the number of validation clusters.</w:t>
      </w:r>
    </w:p>
    <w:tbl>
      <w:tblPr>
        <w:tblOverlap w:val="never"/>
        <w:tblW w:w="90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1400"/>
        <w:gridCol w:w="1400"/>
        <w:gridCol w:w="1600"/>
        <w:gridCol w:w="1300"/>
        <w:gridCol w:w="1900"/>
        <w:gridCol w:w="1400"/>
      </w:tblGrid>
      <w:tr w:rsidR="00397FCB" w14:paraId="259FF28F" w14:textId="77777777" w:rsidTr="00922C41">
        <w:trPr>
          <w:cantSplit/>
          <w:trHeight w:val="56"/>
          <w:tblHeader/>
          <w:jc w:val="center"/>
        </w:trPr>
        <w:tc>
          <w:tcPr>
            <w:tcW w:w="14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1BB11DA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K</w:t>
            </w:r>
          </w:p>
        </w:tc>
        <w:tc>
          <w:tcPr>
            <w:tcW w:w="14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74CBACF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Cluster pairs</w:t>
            </w:r>
          </w:p>
        </w:tc>
        <w:tc>
          <w:tcPr>
            <w:tcW w:w="16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44B67D8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Gap coefficient</w:t>
            </w:r>
          </w:p>
        </w:tc>
        <w:tc>
          <w:tcPr>
            <w:tcW w:w="13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27F9A3B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Gap p</w:t>
            </w:r>
          </w:p>
        </w:tc>
        <w:tc>
          <w:tcPr>
            <w:tcW w:w="19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2F09915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Similarity coefficient</w:t>
            </w:r>
          </w:p>
        </w:tc>
        <w:tc>
          <w:tcPr>
            <w:tcW w:w="14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1D1ABBB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Similarity p</w:t>
            </w:r>
          </w:p>
        </w:tc>
      </w:tr>
      <w:tr w:rsidR="00397FCB" w14:paraId="6BFA00CB" w14:textId="77777777" w:rsidTr="00922C41">
        <w:trPr>
          <w:cantSplit/>
          <w:trHeight w:val="56"/>
          <w:jc w:val="center"/>
        </w:trPr>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4292FB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60</w:t>
            </w:r>
          </w:p>
        </w:tc>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B1767A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1,769</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BF1318A"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−0.0568</w:t>
            </w:r>
          </w:p>
        </w:tc>
        <w:tc>
          <w:tcPr>
            <w:tcW w:w="13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F063ED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0.157</w:t>
            </w:r>
          </w:p>
        </w:tc>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DA6AC4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+0.0997</w:t>
            </w:r>
          </w:p>
        </w:tc>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E2C13A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0.028</w:t>
            </w:r>
          </w:p>
        </w:tc>
      </w:tr>
      <w:tr w:rsidR="00397FCB" w14:paraId="2D1DA62F" w14:textId="77777777" w:rsidTr="00922C41">
        <w:trPr>
          <w:cantSplit/>
          <w:trHeight w:val="56"/>
          <w:jc w:val="center"/>
        </w:trPr>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0FD6ED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80 (baseline)</w:t>
            </w:r>
          </w:p>
        </w:tc>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593360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3,157</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B8D973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−0.0496</w:t>
            </w:r>
          </w:p>
        </w:tc>
        <w:tc>
          <w:tcPr>
            <w:tcW w:w="13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1EF1AE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0.040</w:t>
            </w:r>
          </w:p>
        </w:tc>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CE80EC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+0.0756</w:t>
            </w:r>
          </w:p>
        </w:tc>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D8B894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0.011</w:t>
            </w:r>
          </w:p>
        </w:tc>
      </w:tr>
      <w:tr w:rsidR="00397FCB" w14:paraId="5D67A525" w14:textId="77777777" w:rsidTr="00922C41">
        <w:trPr>
          <w:cantSplit/>
          <w:trHeight w:val="56"/>
          <w:jc w:val="center"/>
        </w:trPr>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57D208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100</w:t>
            </w:r>
          </w:p>
        </w:tc>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C56CC5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4,941</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8EAF16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−0.0459</w:t>
            </w:r>
          </w:p>
        </w:tc>
        <w:tc>
          <w:tcPr>
            <w:tcW w:w="13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83B487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0.017</w:t>
            </w:r>
          </w:p>
        </w:tc>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558E86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+0.0641</w:t>
            </w:r>
          </w:p>
        </w:tc>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ED8C76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0.004</w:t>
            </w:r>
          </w:p>
        </w:tc>
      </w:tr>
      <w:tr w:rsidR="00397FCB" w14:paraId="12BE62B3" w14:textId="77777777" w:rsidTr="00922C41">
        <w:trPr>
          <w:cantSplit/>
          <w:trHeight w:val="56"/>
          <w:jc w:val="center"/>
        </w:trPr>
        <w:tc>
          <w:tcPr>
            <w:tcW w:w="14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6C3762B7"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120</w:t>
            </w:r>
          </w:p>
        </w:tc>
        <w:tc>
          <w:tcPr>
            <w:tcW w:w="14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23D3045D"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7,129</w:t>
            </w:r>
          </w:p>
        </w:tc>
        <w:tc>
          <w:tcPr>
            <w:tcW w:w="16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715B1D41"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−0.0312</w:t>
            </w:r>
          </w:p>
        </w:tc>
        <w:tc>
          <w:tcPr>
            <w:tcW w:w="13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4F7E2CAA"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0.038</w:t>
            </w:r>
          </w:p>
        </w:tc>
        <w:tc>
          <w:tcPr>
            <w:tcW w:w="19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36845EE2"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+0.0508</w:t>
            </w:r>
          </w:p>
        </w:tc>
        <w:tc>
          <w:tcPr>
            <w:tcW w:w="14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0F38D7E0"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0.005</w:t>
            </w:r>
          </w:p>
        </w:tc>
      </w:tr>
    </w:tbl>
    <w:p w14:paraId="2CDD3AF4"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The K = 80 appendix row uses a fixed control set and therefore differs slightly from the headline Table 2 estimate, isolating the effect of K alone.</w:t>
      </w:r>
    </w:p>
    <w:p w14:paraId="3E2B78E2" w14:textId="77777777" w:rsidR="00397FCB" w:rsidRDefault="00397FCB" w:rsidP="00397FCB">
      <w:pPr>
        <w:pStyle w:val="Heading2"/>
        <w:pBdr>
          <w:top w:val="none" w:sz="2" w:space="1" w:color="000000"/>
          <w:left w:val="none" w:sz="2" w:space="4" w:color="000000"/>
          <w:bottom w:val="none" w:sz="2" w:space="1" w:color="000000"/>
          <w:right w:val="none" w:sz="2" w:space="4" w:color="000000"/>
        </w:pBdr>
        <w:spacing w:line="240" w:lineRule="auto"/>
      </w:pPr>
      <w:r>
        <w:rPr>
          <w:rFonts w:ascii="Times New Roman"/>
          <w:b/>
          <w:i/>
          <w:color w:val="1A1A1A"/>
          <w:sz w:val="22"/>
        </w:rPr>
        <w:t>A.2 Year-block sensitivity to neighborhood size</w:t>
      </w:r>
    </w:p>
    <w:p w14:paraId="24C95291"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ind w:firstLine="431"/>
      </w:pPr>
      <w:r>
        <w:t>Table A2 varies k in the year-block multi-matrix model. λ</w:t>
      </w:r>
      <w:r>
        <w:rPr>
          <w:vertAlign w:val="subscript"/>
        </w:rPr>
        <w:t>s</w:t>
      </w:r>
      <w:r>
        <w:t xml:space="preserve"> is positive at every k, with conventional support concentrated at intermediate neighborhood sizes.</w:t>
      </w:r>
    </w:p>
    <w:p w14:paraId="5A713DB2"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t>Table A2. Year-block multi-matrix SEM sensitivity to k (Seoul, N = 6,413).</w:t>
      </w:r>
    </w:p>
    <w:tbl>
      <w:tblPr>
        <w:tblOverlap w:val="never"/>
        <w:tblW w:w="90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1200"/>
        <w:gridCol w:w="1600"/>
        <w:gridCol w:w="1600"/>
        <w:gridCol w:w="1800"/>
        <w:gridCol w:w="2800"/>
      </w:tblGrid>
      <w:tr w:rsidR="00397FCB" w14:paraId="2F509344" w14:textId="77777777" w:rsidTr="00922C41">
        <w:trPr>
          <w:cantSplit/>
          <w:trHeight w:val="56"/>
          <w:tblHeader/>
          <w:jc w:val="center"/>
        </w:trPr>
        <w:tc>
          <w:tcPr>
            <w:tcW w:w="12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4558B84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k</w:t>
            </w:r>
          </w:p>
        </w:tc>
        <w:tc>
          <w:tcPr>
            <w:tcW w:w="16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77A20A6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λ</w:t>
            </w:r>
            <w:r>
              <w:rPr>
                <w:b/>
                <w:sz w:val="18"/>
                <w:vertAlign w:val="subscript"/>
              </w:rPr>
              <w:t>s</w:t>
            </w:r>
            <w:r>
              <w:rPr>
                <w:b/>
                <w:sz w:val="18"/>
              </w:rPr>
              <w:t>, M3</w:t>
            </w:r>
          </w:p>
        </w:tc>
        <w:tc>
          <w:tcPr>
            <w:tcW w:w="16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1E75FB5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LR p</w:t>
            </w:r>
          </w:p>
        </w:tc>
        <w:tc>
          <w:tcPr>
            <w:tcW w:w="18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2F3918F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5% support</w:t>
            </w:r>
          </w:p>
        </w:tc>
        <w:tc>
          <w:tcPr>
            <w:tcW w:w="28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3C80ABE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Interpretation</w:t>
            </w:r>
          </w:p>
        </w:tc>
      </w:tr>
      <w:tr w:rsidR="00397FCB" w14:paraId="1F09E9B7" w14:textId="77777777" w:rsidTr="00922C41">
        <w:trPr>
          <w:cantSplit/>
          <w:trHeight w:val="56"/>
          <w:jc w:val="center"/>
        </w:trPr>
        <w:tc>
          <w:tcPr>
            <w:tcW w:w="1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12E6E5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4</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D4B18B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0.02224</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50088B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0.1847</w:t>
            </w:r>
          </w:p>
        </w:tc>
        <w:tc>
          <w:tcPr>
            <w:tcW w:w="1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089929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w:t>
            </w:r>
          </w:p>
        </w:tc>
        <w:tc>
          <w:tcPr>
            <w:tcW w:w="2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8C9C14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Positive but imprecise</w:t>
            </w:r>
          </w:p>
        </w:tc>
      </w:tr>
      <w:tr w:rsidR="00397FCB" w14:paraId="31F474CD" w14:textId="77777777" w:rsidTr="00922C41">
        <w:trPr>
          <w:cantSplit/>
          <w:trHeight w:val="56"/>
          <w:jc w:val="center"/>
        </w:trPr>
        <w:tc>
          <w:tcPr>
            <w:tcW w:w="1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A57C82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6</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4A7571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0.04037</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2C5DB8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0.0393</w:t>
            </w:r>
          </w:p>
        </w:tc>
        <w:tc>
          <w:tcPr>
            <w:tcW w:w="1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B83F51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Yes</w:t>
            </w:r>
          </w:p>
        </w:tc>
        <w:tc>
          <w:tcPr>
            <w:tcW w:w="2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05EDA9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Detectable</w:t>
            </w:r>
          </w:p>
        </w:tc>
      </w:tr>
      <w:tr w:rsidR="00397FCB" w14:paraId="3F0A9267" w14:textId="77777777" w:rsidTr="00922C41">
        <w:trPr>
          <w:cantSplit/>
          <w:trHeight w:val="56"/>
          <w:jc w:val="center"/>
        </w:trPr>
        <w:tc>
          <w:tcPr>
            <w:tcW w:w="1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A319AD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8</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C0CFC3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0.05484</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933F3D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0.0121</w:t>
            </w:r>
          </w:p>
        </w:tc>
        <w:tc>
          <w:tcPr>
            <w:tcW w:w="1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91D50C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Yes</w:t>
            </w:r>
          </w:p>
        </w:tc>
        <w:tc>
          <w:tcPr>
            <w:tcW w:w="2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4AF959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Baseline year-block result</w:t>
            </w:r>
          </w:p>
        </w:tc>
      </w:tr>
      <w:tr w:rsidR="00397FCB" w14:paraId="0FCCA95A" w14:textId="77777777" w:rsidTr="00922C41">
        <w:trPr>
          <w:cantSplit/>
          <w:trHeight w:val="56"/>
          <w:jc w:val="center"/>
        </w:trPr>
        <w:tc>
          <w:tcPr>
            <w:tcW w:w="1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39F5D6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10</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3CDEB3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0.05076</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DC47CE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0.0313</w:t>
            </w:r>
          </w:p>
        </w:tc>
        <w:tc>
          <w:tcPr>
            <w:tcW w:w="1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5F9B74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Yes</w:t>
            </w:r>
          </w:p>
        </w:tc>
        <w:tc>
          <w:tcPr>
            <w:tcW w:w="2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7F8687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Detectable</w:t>
            </w:r>
          </w:p>
        </w:tc>
      </w:tr>
      <w:tr w:rsidR="00397FCB" w14:paraId="2659E059" w14:textId="77777777" w:rsidTr="00922C41">
        <w:trPr>
          <w:cantSplit/>
          <w:trHeight w:val="56"/>
          <w:jc w:val="center"/>
        </w:trPr>
        <w:tc>
          <w:tcPr>
            <w:tcW w:w="1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989889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12</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C49A06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0.04549</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F9AAACA"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0.0704</w:t>
            </w:r>
          </w:p>
        </w:tc>
        <w:tc>
          <w:tcPr>
            <w:tcW w:w="1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B96E37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w:t>
            </w:r>
          </w:p>
        </w:tc>
        <w:tc>
          <w:tcPr>
            <w:tcW w:w="2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6A1557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10% evidence</w:t>
            </w:r>
          </w:p>
        </w:tc>
      </w:tr>
      <w:tr w:rsidR="00397FCB" w14:paraId="0B571C03" w14:textId="77777777" w:rsidTr="00922C41">
        <w:trPr>
          <w:cantSplit/>
          <w:trHeight w:val="56"/>
          <w:jc w:val="center"/>
        </w:trPr>
        <w:tc>
          <w:tcPr>
            <w:tcW w:w="12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61008FDF"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16</w:t>
            </w:r>
          </w:p>
        </w:tc>
        <w:tc>
          <w:tcPr>
            <w:tcW w:w="16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6D9C3A2C"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0.04631</w:t>
            </w:r>
          </w:p>
        </w:tc>
        <w:tc>
          <w:tcPr>
            <w:tcW w:w="16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D7093DC"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0.0945</w:t>
            </w:r>
          </w:p>
        </w:tc>
        <w:tc>
          <w:tcPr>
            <w:tcW w:w="18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02E52BBA"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w:t>
            </w:r>
          </w:p>
        </w:tc>
        <w:tc>
          <w:tcPr>
            <w:tcW w:w="28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2CCB3904"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10% evidence</w:t>
            </w:r>
          </w:p>
        </w:tc>
      </w:tr>
    </w:tbl>
    <w:p w14:paraId="27DA4322"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λ</w:t>
      </w:r>
      <w:r>
        <w:rPr>
          <w:vertAlign w:val="subscript"/>
        </w:rPr>
        <w:t>s</w:t>
      </w:r>
      <w:r>
        <w:t xml:space="preserve"> is positive at every k. Use sign-stable, with strongest conventional support at intermediate k, not uniformly robust.</w:t>
      </w:r>
    </w:p>
    <w:p w14:paraId="7B4E30FC" w14:textId="77777777" w:rsidR="00397FCB" w:rsidRDefault="00397FCB" w:rsidP="00397FCB">
      <w:pPr>
        <w:pStyle w:val="Heading2"/>
        <w:pBdr>
          <w:top w:val="none" w:sz="2" w:space="1" w:color="000000"/>
          <w:left w:val="none" w:sz="2" w:space="4" w:color="000000"/>
          <w:bottom w:val="none" w:sz="2" w:space="1" w:color="000000"/>
          <w:right w:val="none" w:sz="2" w:space="4" w:color="000000"/>
        </w:pBdr>
        <w:spacing w:line="240" w:lineRule="auto"/>
      </w:pPr>
      <w:r>
        <w:rPr>
          <w:rFonts w:ascii="Times New Roman"/>
          <w:b/>
          <w:i/>
          <w:color w:val="1A1A1A"/>
          <w:sz w:val="22"/>
        </w:rPr>
        <w:t>A.3 Diagnostics for saturation above one</w:t>
      </w:r>
    </w:p>
    <w:p w14:paraId="01BA3840"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ind w:firstLine="431"/>
      </w:pPr>
      <w:r>
        <w:t>Table A3 shows that mechanical capping and deletion of s &gt; 1 observations weaken the channel by removing policy-relevant variation, whereas retaining the sample and controlling for I(s &gt; 1) preserves it.</w:t>
      </w:r>
    </w:p>
    <w:p w14:paraId="600C96BC"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lastRenderedPageBreak/>
        <w:t>Table A3. Nominal-saturation-above-one diagnostics (year-block k = 8).</w:t>
      </w:r>
    </w:p>
    <w:tbl>
      <w:tblPr>
        <w:tblOverlap w:val="never"/>
        <w:tblW w:w="92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2300"/>
        <w:gridCol w:w="900"/>
        <w:gridCol w:w="1100"/>
        <w:gridCol w:w="1000"/>
        <w:gridCol w:w="1100"/>
        <w:gridCol w:w="900"/>
        <w:gridCol w:w="1900"/>
      </w:tblGrid>
      <w:tr w:rsidR="00397FCB" w14:paraId="77C6DB2A" w14:textId="77777777" w:rsidTr="00922C41">
        <w:trPr>
          <w:cantSplit/>
          <w:trHeight w:val="56"/>
          <w:tblHeader/>
          <w:jc w:val="center"/>
        </w:trPr>
        <w:tc>
          <w:tcPr>
            <w:tcW w:w="23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5DFF9FE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Treatment</w:t>
            </w:r>
          </w:p>
        </w:tc>
        <w:tc>
          <w:tcPr>
            <w:tcW w:w="9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32A78B6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N</w:t>
            </w:r>
          </w:p>
        </w:tc>
        <w:tc>
          <w:tcPr>
            <w:tcW w:w="11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609C111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Mean s</w:t>
            </w:r>
          </w:p>
        </w:tc>
        <w:tc>
          <w:tcPr>
            <w:tcW w:w="10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5E485FF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SD s</w:t>
            </w:r>
          </w:p>
        </w:tc>
        <w:tc>
          <w:tcPr>
            <w:tcW w:w="11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1995906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λ</w:t>
            </w:r>
            <w:r>
              <w:rPr>
                <w:b/>
                <w:sz w:val="18"/>
                <w:vertAlign w:val="subscript"/>
              </w:rPr>
              <w:t>s</w:t>
            </w:r>
            <w:r>
              <w:rPr>
                <w:b/>
                <w:sz w:val="18"/>
              </w:rPr>
              <w:t>, M3</w:t>
            </w:r>
          </w:p>
        </w:tc>
        <w:tc>
          <w:tcPr>
            <w:tcW w:w="9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19D239F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p</w:t>
            </w:r>
          </w:p>
        </w:tc>
        <w:tc>
          <w:tcPr>
            <w:tcW w:w="19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3107153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Role in paper</w:t>
            </w:r>
          </w:p>
        </w:tc>
      </w:tr>
      <w:tr w:rsidR="00397FCB" w14:paraId="6223272A" w14:textId="77777777" w:rsidTr="00922C41">
        <w:trPr>
          <w:cantSplit/>
          <w:trHeight w:val="56"/>
          <w:jc w:val="center"/>
        </w:trPr>
        <w:tc>
          <w:tcPr>
            <w:tcW w:w="23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2D2CCD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Baseline: upper-1% winsorization</w:t>
            </w:r>
          </w:p>
        </w:tc>
        <w:tc>
          <w:tcPr>
            <w:tcW w:w="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C088A2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6,413</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EA8C94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0.8709</w:t>
            </w:r>
          </w:p>
        </w:tc>
        <w:tc>
          <w:tcPr>
            <w:tcW w:w="1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C3F14E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0.5919</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B11561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0.05484</w:t>
            </w:r>
          </w:p>
        </w:tc>
        <w:tc>
          <w:tcPr>
            <w:tcW w:w="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32022CA"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0.0121</w:t>
            </w:r>
          </w:p>
        </w:tc>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2E3A44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Preferred specification</w:t>
            </w:r>
          </w:p>
        </w:tc>
      </w:tr>
      <w:tr w:rsidR="00397FCB" w14:paraId="6C2DB15E" w14:textId="77777777" w:rsidTr="00922C41">
        <w:trPr>
          <w:cantSplit/>
          <w:trHeight w:val="56"/>
          <w:jc w:val="center"/>
        </w:trPr>
        <w:tc>
          <w:tcPr>
            <w:tcW w:w="23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9A2667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Mechanical cap at 1</w:t>
            </w:r>
          </w:p>
        </w:tc>
        <w:tc>
          <w:tcPr>
            <w:tcW w:w="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6431A1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6,413</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74C92E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0.7170</w:t>
            </w:r>
          </w:p>
        </w:tc>
        <w:tc>
          <w:tcPr>
            <w:tcW w:w="1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FABE09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0.3114</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FD3B75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0.03294</w:t>
            </w:r>
          </w:p>
        </w:tc>
        <w:tc>
          <w:tcPr>
            <w:tcW w:w="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82CED6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0.1869</w:t>
            </w:r>
          </w:p>
        </w:tc>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E9B703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Severe compression stress test</w:t>
            </w:r>
          </w:p>
        </w:tc>
      </w:tr>
      <w:tr w:rsidR="00397FCB" w14:paraId="42FE577B" w14:textId="77777777" w:rsidTr="00922C41">
        <w:trPr>
          <w:cantSplit/>
          <w:trHeight w:val="56"/>
          <w:jc w:val="center"/>
        </w:trPr>
        <w:tc>
          <w:tcPr>
            <w:tcW w:w="23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FFA61DA"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Delete observations with s &gt; 1</w:t>
            </w:r>
          </w:p>
        </w:tc>
        <w:tc>
          <w:tcPr>
            <w:tcW w:w="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388C80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4,137</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16E9A9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0.5613</w:t>
            </w:r>
          </w:p>
        </w:tc>
        <w:tc>
          <w:tcPr>
            <w:tcW w:w="1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B2DA23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0.2864</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0B41E0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0.04542</w:t>
            </w:r>
          </w:p>
        </w:tc>
        <w:tc>
          <w:tcPr>
            <w:tcW w:w="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8EFA49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0.0984</w:t>
            </w:r>
          </w:p>
        </w:tc>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C891BDA"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Severe deletion stress test</w:t>
            </w:r>
          </w:p>
        </w:tc>
      </w:tr>
      <w:tr w:rsidR="00397FCB" w14:paraId="55B780C9" w14:textId="77777777" w:rsidTr="00922C41">
        <w:trPr>
          <w:cantSplit/>
          <w:trHeight w:val="56"/>
          <w:jc w:val="center"/>
        </w:trPr>
        <w:tc>
          <w:tcPr>
            <w:tcW w:w="23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326EE8FE"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Retain sample + control I(s &gt; 1)</w:t>
            </w:r>
          </w:p>
        </w:tc>
        <w:tc>
          <w:tcPr>
            <w:tcW w:w="9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63ED33E9"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6,413</w:t>
            </w:r>
          </w:p>
        </w:tc>
        <w:tc>
          <w:tcPr>
            <w:tcW w:w="11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DED511B"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Baseline</w:t>
            </w:r>
          </w:p>
        </w:tc>
        <w:tc>
          <w:tcPr>
            <w:tcW w:w="10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344D3C05"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Baseline</w:t>
            </w:r>
          </w:p>
        </w:tc>
        <w:tc>
          <w:tcPr>
            <w:tcW w:w="11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2046309"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≈0.0526</w:t>
            </w:r>
          </w:p>
        </w:tc>
        <w:tc>
          <w:tcPr>
            <w:tcW w:w="9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4D58143B"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0.0170</w:t>
            </w:r>
          </w:p>
        </w:tc>
        <w:tc>
          <w:tcPr>
            <w:tcW w:w="19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470CEB9B"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Preferred diagnostic for level shift</w:t>
            </w:r>
          </w:p>
        </w:tc>
      </w:tr>
    </w:tbl>
    <w:p w14:paraId="7BD472F0"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Values above one are institutionally admissible. Capping and deletion remove policy-relevant variation; direct control for I(s &gt; 1) preserves the saturation-organized channel.</w:t>
      </w:r>
    </w:p>
    <w:p w14:paraId="204A4BD0" w14:textId="77777777" w:rsidR="00397FCB" w:rsidRDefault="00397FCB" w:rsidP="00397FCB">
      <w:pPr>
        <w:pStyle w:val="Heading2"/>
        <w:pBdr>
          <w:top w:val="none" w:sz="2" w:space="1" w:color="000000"/>
          <w:left w:val="none" w:sz="2" w:space="4" w:color="000000"/>
          <w:bottom w:val="none" w:sz="2" w:space="1" w:color="000000"/>
          <w:right w:val="none" w:sz="2" w:space="4" w:color="000000"/>
        </w:pBdr>
        <w:spacing w:line="240" w:lineRule="auto"/>
      </w:pPr>
      <w:r>
        <w:rPr>
          <w:rFonts w:ascii="Times New Roman"/>
          <w:b/>
          <w:i/>
          <w:color w:val="1A1A1A"/>
          <w:sz w:val="22"/>
        </w:rPr>
        <w:t>A.4 Equivalence tests for the pooled non-Seoul coefficient</w:t>
      </w:r>
    </w:p>
    <w:p w14:paraId="5D4B3052"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ind w:firstLine="431"/>
      </w:pPr>
      <w:r>
        <w:t>Table A4 reports two one-sided tests at several margins. Equivalence cannot be established at the narrowest margins; it is established only within ±0.05 and wider. The non-Seoul average is practically small within ±0.05 but not negligible at ±0.03.</w:t>
      </w:r>
    </w:p>
    <w:p w14:paraId="288997C0"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t>Table A4. Equivalence tests for the pooled non-Seoul gap coefficient.</w:t>
      </w:r>
    </w:p>
    <w:tbl>
      <w:tblPr>
        <w:tblOverlap w:val="never"/>
        <w:tblW w:w="90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2200"/>
        <w:gridCol w:w="3000"/>
        <w:gridCol w:w="3800"/>
      </w:tblGrid>
      <w:tr w:rsidR="00397FCB" w14:paraId="5C39E16F" w14:textId="77777777" w:rsidTr="00922C41">
        <w:trPr>
          <w:cantSplit/>
          <w:trHeight w:val="56"/>
          <w:tblHeader/>
          <w:jc w:val="center"/>
        </w:trPr>
        <w:tc>
          <w:tcPr>
            <w:tcW w:w="22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418F720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Equivalence margin</w:t>
            </w:r>
          </w:p>
        </w:tc>
        <w:tc>
          <w:tcPr>
            <w:tcW w:w="30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3717134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TOST conclusion</w:t>
            </w:r>
          </w:p>
        </w:tc>
        <w:tc>
          <w:tcPr>
            <w:tcW w:w="38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0B4B20E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Permitted claim</w:t>
            </w:r>
          </w:p>
        </w:tc>
      </w:tr>
      <w:tr w:rsidR="00397FCB" w14:paraId="0F0ED390" w14:textId="77777777" w:rsidTr="00922C41">
        <w:trPr>
          <w:cantSplit/>
          <w:trHeight w:val="56"/>
          <w:jc w:val="center"/>
        </w:trPr>
        <w:tc>
          <w:tcPr>
            <w:tcW w:w="2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38A3CE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±0.03</w:t>
            </w:r>
          </w:p>
        </w:tc>
        <w:tc>
          <w:tcPr>
            <w:tcW w:w="3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94F8B7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Equivalence not established</w:t>
            </w:r>
          </w:p>
        </w:tc>
        <w:tc>
          <w:tcPr>
            <w:tcW w:w="3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BA61F6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Do not call the effect negligible at this narrow margin</w:t>
            </w:r>
          </w:p>
        </w:tc>
      </w:tr>
      <w:tr w:rsidR="00397FCB" w14:paraId="33FA9A02" w14:textId="77777777" w:rsidTr="00922C41">
        <w:trPr>
          <w:cantSplit/>
          <w:trHeight w:val="56"/>
          <w:jc w:val="center"/>
        </w:trPr>
        <w:tc>
          <w:tcPr>
            <w:tcW w:w="2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6D6F07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±0.04</w:t>
            </w:r>
          </w:p>
        </w:tc>
        <w:tc>
          <w:tcPr>
            <w:tcW w:w="3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ED2CA3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Equivalence not established</w:t>
            </w:r>
          </w:p>
        </w:tc>
        <w:tc>
          <w:tcPr>
            <w:tcW w:w="3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7A4451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Evidence remains inconclusive</w:t>
            </w:r>
          </w:p>
        </w:tc>
      </w:tr>
      <w:tr w:rsidR="00397FCB" w14:paraId="2F9AF649" w14:textId="77777777" w:rsidTr="00922C41">
        <w:trPr>
          <w:cantSplit/>
          <w:trHeight w:val="56"/>
          <w:jc w:val="center"/>
        </w:trPr>
        <w:tc>
          <w:tcPr>
            <w:tcW w:w="2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FF309B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±0.05</w:t>
            </w:r>
          </w:p>
        </w:tc>
        <w:tc>
          <w:tcPr>
            <w:tcW w:w="3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9C91DF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Equivalence established</w:t>
            </w:r>
          </w:p>
        </w:tc>
        <w:tc>
          <w:tcPr>
            <w:tcW w:w="3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38EFD5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Non-Seoul average is practically small within ±0.05</w:t>
            </w:r>
          </w:p>
        </w:tc>
      </w:tr>
      <w:tr w:rsidR="00397FCB" w14:paraId="40D63187" w14:textId="77777777" w:rsidTr="00922C41">
        <w:trPr>
          <w:cantSplit/>
          <w:trHeight w:val="56"/>
          <w:jc w:val="center"/>
        </w:trPr>
        <w:tc>
          <w:tcPr>
            <w:tcW w:w="22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66E72103"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±0.06</w:t>
            </w:r>
          </w:p>
        </w:tc>
        <w:tc>
          <w:tcPr>
            <w:tcW w:w="30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4BEA6FC4"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Equivalence established</w:t>
            </w:r>
          </w:p>
        </w:tc>
        <w:tc>
          <w:tcPr>
            <w:tcW w:w="38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7BCE9FD2"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Non-Seoul average is practically small within ±0.06</w:t>
            </w:r>
          </w:p>
        </w:tc>
      </w:tr>
    </w:tbl>
    <w:p w14:paraId="7436D3CB"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State the equivalence margin ex ante. Power against a Seoul-sized effect is informative but does not itself prove a zero or equivalent effect.</w:t>
      </w:r>
    </w:p>
    <w:p w14:paraId="76680515" w14:textId="77777777" w:rsidR="00397FCB" w:rsidRDefault="00397FCB" w:rsidP="00397FCB">
      <w:pPr>
        <w:pStyle w:val="Heading2"/>
        <w:pBdr>
          <w:top w:val="none" w:sz="2" w:space="1" w:color="000000"/>
          <w:left w:val="none" w:sz="2" w:space="4" w:color="000000"/>
          <w:bottom w:val="none" w:sz="2" w:space="1" w:color="000000"/>
          <w:right w:val="none" w:sz="2" w:space="4" w:color="000000"/>
        </w:pBdr>
        <w:spacing w:line="240" w:lineRule="auto"/>
      </w:pPr>
      <w:r>
        <w:rPr>
          <w:rFonts w:ascii="Times New Roman"/>
          <w:b/>
          <w:i/>
          <w:color w:val="1A1A1A"/>
          <w:sz w:val="22"/>
        </w:rPr>
        <w:t>A.5 Rolling temporal out-of-sample covariance validation</w:t>
      </w:r>
    </w:p>
    <w:p w14:paraId="0F97FE07"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spacing w:line="264" w:lineRule="auto"/>
      </w:pPr>
      <w:r>
        <w:t>Having detected an in-sample channel that survives contemporaneous restriction, we ask whether it is a temporally stable structure that would help predict next year's covariance. Table A5 reports the rolling test, and the answer is no: adding the saturation matrix worsens relative covariance RMSE by 1.11%, 12.56%, and 0.83% for validation years 2023–2025 (Figure A1c), and edge-specific saturation predictions are not significant in any year. Reporting this negative result plainly is what disciplines the main text: the channel is an in-sample descriptor, not a validated forecasting parameter.</w:t>
      </w:r>
    </w:p>
    <w:p w14:paraId="54F90EB6"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t>Table A5. Rolling temporal out-of-sample covariance validation.</w:t>
      </w:r>
    </w:p>
    <w:tbl>
      <w:tblPr>
        <w:tblOverlap w:val="never"/>
        <w:tblW w:w="93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1500"/>
        <w:gridCol w:w="1600"/>
        <w:gridCol w:w="2000"/>
        <w:gridCol w:w="2400"/>
        <w:gridCol w:w="1800"/>
      </w:tblGrid>
      <w:tr w:rsidR="00397FCB" w14:paraId="209B7ABF" w14:textId="77777777" w:rsidTr="00922C41">
        <w:trPr>
          <w:cantSplit/>
          <w:trHeight w:val="56"/>
          <w:tblHeader/>
          <w:jc w:val="center"/>
        </w:trPr>
        <w:tc>
          <w:tcPr>
            <w:tcW w:w="15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71B6307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Validation year</w:t>
            </w:r>
          </w:p>
        </w:tc>
        <w:tc>
          <w:tcPr>
            <w:tcW w:w="16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756EF31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Training window</w:t>
            </w:r>
          </w:p>
        </w:tc>
        <w:tc>
          <w:tcPr>
            <w:tcW w:w="20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3C71994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Change in covariance RMSE: M3 vs M1</w:t>
            </w:r>
          </w:p>
        </w:tc>
        <w:tc>
          <w:tcPr>
            <w:tcW w:w="24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6D12B28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Edge-specific saturation prediction</w:t>
            </w:r>
          </w:p>
        </w:tc>
        <w:tc>
          <w:tcPr>
            <w:tcW w:w="18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0157CE8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Interpretation</w:t>
            </w:r>
          </w:p>
        </w:tc>
      </w:tr>
      <w:tr w:rsidR="00397FCB" w14:paraId="6E4C33D1" w14:textId="77777777" w:rsidTr="00922C41">
        <w:trPr>
          <w:cantSplit/>
          <w:trHeight w:val="56"/>
          <w:jc w:val="center"/>
        </w:trPr>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7C0B97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2023</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7980BE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2018–2022</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F0D237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+1.11%</w:t>
            </w:r>
          </w:p>
        </w:tc>
        <w:tc>
          <w:tcPr>
            <w:tcW w:w="2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616C1E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Not statistically significant</w:t>
            </w:r>
          </w:p>
        </w:tc>
        <w:tc>
          <w:tcPr>
            <w:tcW w:w="1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21943D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M3 worse</w:t>
            </w:r>
          </w:p>
        </w:tc>
      </w:tr>
      <w:tr w:rsidR="00397FCB" w14:paraId="7C034BD4" w14:textId="77777777" w:rsidTr="00922C41">
        <w:trPr>
          <w:cantSplit/>
          <w:trHeight w:val="56"/>
          <w:jc w:val="center"/>
        </w:trPr>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C6CD94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2024</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6D8587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2018–2023</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4C7188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+12.56%</w:t>
            </w:r>
          </w:p>
        </w:tc>
        <w:tc>
          <w:tcPr>
            <w:tcW w:w="2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5042B7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Not statistically significant</w:t>
            </w:r>
          </w:p>
        </w:tc>
        <w:tc>
          <w:tcPr>
            <w:tcW w:w="18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C05225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M3 materially worse</w:t>
            </w:r>
          </w:p>
        </w:tc>
      </w:tr>
      <w:tr w:rsidR="00397FCB" w14:paraId="0B1C74C7" w14:textId="77777777" w:rsidTr="00922C41">
        <w:trPr>
          <w:cantSplit/>
          <w:trHeight w:val="56"/>
          <w:jc w:val="center"/>
        </w:trPr>
        <w:tc>
          <w:tcPr>
            <w:tcW w:w="15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2580F742"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2025</w:t>
            </w:r>
          </w:p>
        </w:tc>
        <w:tc>
          <w:tcPr>
            <w:tcW w:w="16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5F9A608A"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2018–2024</w:t>
            </w:r>
          </w:p>
        </w:tc>
        <w:tc>
          <w:tcPr>
            <w:tcW w:w="20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40766580"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+0.83%</w:t>
            </w:r>
          </w:p>
        </w:tc>
        <w:tc>
          <w:tcPr>
            <w:tcW w:w="24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920B166"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Not statistically significant</w:t>
            </w:r>
          </w:p>
        </w:tc>
        <w:tc>
          <w:tcPr>
            <w:tcW w:w="18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6425DFD"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M3 slightly worse</w:t>
            </w:r>
          </w:p>
        </w:tc>
      </w:tr>
    </w:tbl>
    <w:p w14:paraId="5DB89CCE"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lastRenderedPageBreak/>
        <w:t xml:space="preserve">Note. </w:t>
      </w:r>
      <w:r>
        <w:t>Positive values indicate deterioration when the saturation matrix is added. The structural channel is detected in sample but does not add temporal out-of-sample covariance-prediction value.</w:t>
      </w:r>
    </w:p>
    <w:p w14:paraId="0E64729D" w14:textId="77777777" w:rsidR="00397FCB" w:rsidRDefault="00397FCB" w:rsidP="00397FCB">
      <w:pPr>
        <w:pStyle w:val="ManuscriptBody"/>
        <w:keepNext/>
        <w:pBdr>
          <w:top w:val="none" w:sz="2" w:space="1" w:color="000000"/>
          <w:left w:val="none" w:sz="2" w:space="4" w:color="000000"/>
          <w:bottom w:val="none" w:sz="2" w:space="1" w:color="000000"/>
          <w:right w:val="none" w:sz="2" w:space="4" w:color="000000"/>
        </w:pBdr>
        <w:spacing w:before="200" w:after="60" w:line="240" w:lineRule="auto"/>
        <w:jc w:val="center"/>
      </w:pPr>
      <w:r>
        <w:rPr>
          <w:noProof/>
        </w:rPr>
        <w:drawing>
          <wp:inline distT="0" distB="0" distL="0" distR="0" wp14:anchorId="3FC75411" wp14:editId="5CF0D76E">
            <wp:extent cx="5943600" cy="2034524"/>
            <wp:effectExtent l="0" t="0" r="0" b="0"/>
            <wp:docPr id="3" name="그림 %d 3"/>
            <wp:cNvGraphicFramePr/>
            <a:graphic xmlns:a="http://schemas.openxmlformats.org/drawingml/2006/main">
              <a:graphicData uri="http://schemas.openxmlformats.org/drawingml/2006/picture">
                <pic:pic xmlns:pic="http://schemas.openxmlformats.org/drawingml/2006/picture">
                  <pic:nvPicPr>
                    <pic:cNvPr id="0" name="C:\Users\김다훈\AppData\Local\Temp\Hnc\BinData\EMB000080ecb374.png"/>
                    <pic:cNvPicPr/>
                  </pic:nvPicPr>
                  <pic:blipFill>
                    <a:blip r:embed="rId4"/>
                    <a:stretch>
                      <a:fillRect/>
                    </a:stretch>
                  </pic:blipFill>
                  <pic:spPr>
                    <a:xfrm>
                      <a:off x="0" y="0"/>
                      <a:ext cx="5943600" cy="2034524"/>
                    </a:xfrm>
                    <a:prstGeom prst="rect">
                      <a:avLst/>
                    </a:prstGeom>
                    <a:effectLst/>
                  </pic:spPr>
                </pic:pic>
              </a:graphicData>
            </a:graphic>
          </wp:inline>
        </w:drawing>
      </w:r>
    </w:p>
    <w:p w14:paraId="3E8DBA77" w14:textId="77777777" w:rsidR="00397FCB" w:rsidRDefault="00397FCB" w:rsidP="00397FCB">
      <w:pPr>
        <w:pStyle w:val="FigureCaption"/>
        <w:pBdr>
          <w:top w:val="none" w:sz="2" w:space="1" w:color="000000"/>
          <w:left w:val="none" w:sz="2" w:space="4" w:color="000000"/>
          <w:bottom w:val="none" w:sz="2" w:space="1" w:color="000000"/>
          <w:right w:val="none" w:sz="2" w:space="4" w:color="000000"/>
        </w:pBdr>
        <w:spacing w:before="20"/>
      </w:pPr>
      <w:r>
        <w:rPr>
          <w:b/>
          <w:sz w:val="18"/>
        </w:rPr>
        <w:t xml:space="preserve">Figure A1. </w:t>
      </w:r>
      <w:r>
        <w:rPr>
          <w:sz w:val="18"/>
        </w:rPr>
        <w:t>Structural detection and its limits. Panel (a) shows λs in the pooled and year-block graphs, the latter about 82% of the pooled magnitude and both bounded away from zero. Panel (b) shows λs across k = 4–16: the sign is stable and significance concentrates at intermediate k. Panel (c) shows the rolling out-of-sample test, in which adding the saturation matrix worsens covariance RMSE in every validation year.</w:t>
      </w:r>
    </w:p>
    <w:p w14:paraId="5E37415E" w14:textId="77777777" w:rsidR="00397FCB" w:rsidRDefault="00397FCB" w:rsidP="00397FCB">
      <w:pPr>
        <w:pStyle w:val="Heading2"/>
        <w:pBdr>
          <w:top w:val="none" w:sz="2" w:space="1" w:color="000000"/>
          <w:left w:val="none" w:sz="2" w:space="4" w:color="000000"/>
          <w:bottom w:val="none" w:sz="2" w:space="1" w:color="000000"/>
          <w:right w:val="none" w:sz="2" w:space="4" w:color="000000"/>
        </w:pBdr>
        <w:spacing w:line="240" w:lineRule="auto"/>
      </w:pPr>
      <w:r>
        <w:rPr>
          <w:rFonts w:ascii="Times New Roman"/>
          <w:b/>
          <w:i/>
          <w:color w:val="1A1A1A"/>
          <w:sz w:val="22"/>
        </w:rPr>
        <w:t>A.6 Measurement structure of nominal saturation</w:t>
      </w:r>
    </w:p>
    <w:p w14:paraId="08D3A0B3"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spacing w:line="264" w:lineRule="auto"/>
      </w:pPr>
      <w:r>
        <w:t>Error in sᴮ is systematic rather than classical. For capacity-relaxation cases the base schedule understates true permitted capacity; for legacy cases the parcel may hold no remaining development option at all. Random multiplicative perturbations therefore do not address the structure, and the I(s &gt; 1) control absorbs a level difference rather than correcting rank misclassification in the saturation graph. Table A3 shows what this costs: capping at one erases precision and deletion weakens the channel, so part of the estimate rests on observations whose institutional origin the base schedule cannot distinguish. Constructing parcel-level effective permitted FAR, or at minimum separating parcels covered by district-unit plans and bonus schemes from legacy non-conforming stock, is the first-order data improvement this design needs.</w:t>
      </w:r>
    </w:p>
    <w:p w14:paraId="39C89592" w14:textId="77777777" w:rsidR="00397FCB" w:rsidRDefault="00397FCB" w:rsidP="00397FCB">
      <w:pPr>
        <w:pStyle w:val="Heading1"/>
        <w:pBdr>
          <w:top w:val="none" w:sz="2" w:space="1" w:color="000000"/>
          <w:left w:val="none" w:sz="2" w:space="4" w:color="000000"/>
          <w:bottom w:val="none" w:sz="2" w:space="1" w:color="000000"/>
          <w:right w:val="none" w:sz="2" w:space="4" w:color="000000"/>
        </w:pBdr>
        <w:spacing w:before="320" w:after="140" w:line="240" w:lineRule="auto"/>
      </w:pPr>
      <w:r>
        <w:rPr>
          <w:rFonts w:ascii="Times New Roman"/>
          <w:b/>
          <w:color w:val="1A1A1A"/>
          <w:sz w:val="26"/>
        </w:rPr>
        <w:t>Appendix B. Common-Parameter Structural Horse Race</w:t>
      </w:r>
    </w:p>
    <w:p w14:paraId="5F1ED1C3"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ind w:firstLine="431"/>
      </w:pPr>
      <w:r>
        <w:t>Before the maximum-likelihood estimation of Section 5, a reduced-form contest computes, for each candidate weight of Section 3.3, the correlation matrix the identity implies at the common Seoul estimate ρ = 0.325, and regresses observed pairwise cluster correlations on the implied ones under district fixed effects and dyadic-robust inference. Because it borrows one dependence parameter across matrices, the paper does not rest on it, but its joint regressions establish the separability of the similarity and distance structures and dispose of the level and vintage rivals.</w:t>
      </w:r>
    </w:p>
    <w:p w14:paraId="3C6209DF"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lastRenderedPageBreak/>
        <w:t>Table B1. Common-parameter structural test, each candidate weight alone (ρ = 0.325).</w:t>
      </w:r>
    </w:p>
    <w:tbl>
      <w:tblPr>
        <w:tblOverlap w:val="never"/>
        <w:tblW w:w="90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3200"/>
        <w:gridCol w:w="1700"/>
        <w:gridCol w:w="1600"/>
        <w:gridCol w:w="2500"/>
      </w:tblGrid>
      <w:tr w:rsidR="00397FCB" w14:paraId="2870FC5E" w14:textId="77777777" w:rsidTr="00922C41">
        <w:trPr>
          <w:cantSplit/>
          <w:trHeight w:val="56"/>
          <w:tblHeader/>
          <w:jc w:val="center"/>
        </w:trPr>
        <w:tc>
          <w:tcPr>
            <w:tcW w:w="32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1821764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Candidate weight</w:t>
            </w:r>
          </w:p>
        </w:tc>
        <w:tc>
          <w:tcPr>
            <w:tcW w:w="17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56C4039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Coefficient</w:t>
            </w:r>
          </w:p>
        </w:tc>
        <w:tc>
          <w:tcPr>
            <w:tcW w:w="16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38CBC59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p</w:t>
            </w:r>
          </w:p>
        </w:tc>
        <w:tc>
          <w:tcPr>
            <w:tcW w:w="25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7C6777E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Verdict</w:t>
            </w:r>
          </w:p>
        </w:tc>
      </w:tr>
      <w:tr w:rsidR="00397FCB" w14:paraId="38604AC7"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18E756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Similarity, exp(−κ|gap|)</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13A75F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+0.076</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ACC492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0.011</w:t>
            </w:r>
          </w:p>
        </w:tc>
        <w:tc>
          <w:tcPr>
            <w:tcW w:w="2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A1EBDB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Significant</w:t>
            </w:r>
          </w:p>
        </w:tc>
      </w:tr>
      <w:tr w:rsidR="00397FCB" w14:paraId="2D5FCD74"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1218A7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Distance, exp(−d/d₀)</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EC9A65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+0.089</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8FFFAE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0.006</w:t>
            </w:r>
          </w:p>
        </w:tc>
        <w:tc>
          <w:tcPr>
            <w:tcW w:w="2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F4A385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Significant; strongest marginal structure</w:t>
            </w:r>
          </w:p>
        </w:tc>
      </w:tr>
      <w:tr w:rsidR="00397FCB" w14:paraId="3A2F0AE4"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F5993F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Level, min(s</w:t>
            </w:r>
            <w:r>
              <w:rPr>
                <w:sz w:val="18"/>
                <w:vertAlign w:val="subscript"/>
              </w:rPr>
              <w:t>i</w:t>
            </w:r>
            <w:r>
              <w:rPr>
                <w:sz w:val="18"/>
              </w:rPr>
              <w:t>, s</w:t>
            </w:r>
            <w:r>
              <w:rPr>
                <w:sz w:val="18"/>
                <w:vertAlign w:val="subscript"/>
              </w:rPr>
              <w:t>j</w:t>
            </w:r>
            <w:r>
              <w:rPr>
                <w:sz w:val="18"/>
              </w:rPr>
              <w:t>)</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A8D2BE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+0.064</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4D98B2A"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0.010</w:t>
            </w:r>
          </w:p>
        </w:tc>
        <w:tc>
          <w:tcPr>
            <w:tcW w:w="2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8BCB31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Significant marginally</w:t>
            </w:r>
          </w:p>
        </w:tc>
      </w:tr>
      <w:tr w:rsidR="00397FCB" w14:paraId="50C67DBA"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9C193A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Level, product s</w:t>
            </w:r>
            <w:r>
              <w:rPr>
                <w:sz w:val="18"/>
                <w:vertAlign w:val="subscript"/>
              </w:rPr>
              <w:t>i</w:t>
            </w:r>
            <w:r>
              <w:rPr>
                <w:sz w:val="18"/>
              </w:rPr>
              <w:t>s</w:t>
            </w:r>
            <w:r>
              <w:rPr>
                <w:sz w:val="18"/>
                <w:vertAlign w:val="subscript"/>
              </w:rPr>
              <w:t>j</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249A0A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+0.015</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DA497E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0.508</w:t>
            </w:r>
          </w:p>
        </w:tc>
        <w:tc>
          <w:tcPr>
            <w:tcW w:w="2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E64817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Not significant</w:t>
            </w:r>
          </w:p>
        </w:tc>
      </w:tr>
      <w:tr w:rsidR="00397FCB" w14:paraId="15F2E33C"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9D232D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Vintage similarity</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FF46B7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+0.010</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ECCAC5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0.600</w:t>
            </w:r>
          </w:p>
        </w:tc>
        <w:tc>
          <w:tcPr>
            <w:tcW w:w="2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CFD8C0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Not significant</w:t>
            </w:r>
          </w:p>
        </w:tc>
      </w:tr>
      <w:tr w:rsidR="00397FCB" w14:paraId="7572660F" w14:textId="77777777" w:rsidTr="00922C41">
        <w:trPr>
          <w:cantSplit/>
          <w:trHeight w:val="56"/>
          <w:jc w:val="center"/>
        </w:trPr>
        <w:tc>
          <w:tcPr>
            <w:tcW w:w="32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220428B9"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Shuffled-saturation placebo</w:t>
            </w:r>
          </w:p>
        </w:tc>
        <w:tc>
          <w:tcPr>
            <w:tcW w:w="17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49B1654"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+0.015</w:t>
            </w:r>
          </w:p>
        </w:tc>
        <w:tc>
          <w:tcPr>
            <w:tcW w:w="16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CB4552E"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0.046</w:t>
            </w:r>
          </w:p>
        </w:tc>
        <w:tc>
          <w:tcPr>
            <w:tcW w:w="25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4D34962F"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Same sign, one-fifth the magnitude; see note</w:t>
            </w:r>
          </w:p>
        </w:tc>
      </w:tr>
    </w:tbl>
    <w:p w14:paraId="40C23740"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District fixed effects and dyadic-robust p-values. This is a preliminary common-parameter contest, not the decisive ML model. The shuffled-saturation placebo deserves comment rather than dismissal: its coefficient is positive, the same sign as the similarity weight, and its p-value of 0.046 clears a conventional 5% threshold. Two features bound what it implies. Its magnitude, +0.015, is about one fifth of the similarity coefficient (+0.076), and shuffling saturation labels preserves the marginal distribution of gaps and hence much of the block structure that the common-ρ construction imposes, so the placebo is not a clean zero-signal benchmark in this design. Read together, the placebo indicates that part of the common-parameter similarity result is attributable to construction rather than to the saturation assignment itself, which is one reason the paper does not rest on this contest and moves to separately estimated dependence parameters in Section 5. The decisive test there is a likelihood-ratio test on λs with its own parameter, where the identification diagnostics of Table 5b apply.</w:t>
      </w:r>
    </w:p>
    <w:p w14:paraId="75CE5801"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t>Table B2. Common-parameter joint structural tests.</w:t>
      </w:r>
    </w:p>
    <w:tbl>
      <w:tblPr>
        <w:tblOverlap w:val="never"/>
        <w:tblW w:w="100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2600"/>
        <w:gridCol w:w="1700"/>
        <w:gridCol w:w="1600"/>
        <w:gridCol w:w="1500"/>
        <w:gridCol w:w="1500"/>
        <w:gridCol w:w="1100"/>
      </w:tblGrid>
      <w:tr w:rsidR="00397FCB" w14:paraId="6E1DA2B6" w14:textId="77777777" w:rsidTr="00922C41">
        <w:trPr>
          <w:cantSplit/>
          <w:trHeight w:val="56"/>
          <w:tblHeader/>
          <w:jc w:val="center"/>
        </w:trPr>
        <w:tc>
          <w:tcPr>
            <w:tcW w:w="26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081322B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Specification</w:t>
            </w:r>
          </w:p>
        </w:tc>
        <w:tc>
          <w:tcPr>
            <w:tcW w:w="17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61268B6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Similarity</w:t>
            </w:r>
          </w:p>
        </w:tc>
        <w:tc>
          <w:tcPr>
            <w:tcW w:w="16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1EBE197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Distance</w:t>
            </w:r>
          </w:p>
        </w:tc>
        <w:tc>
          <w:tcPr>
            <w:tcW w:w="15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7DE32B5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Level min</w:t>
            </w:r>
          </w:p>
        </w:tc>
        <w:tc>
          <w:tcPr>
            <w:tcW w:w="15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0F037FC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Level product</w:t>
            </w:r>
          </w:p>
        </w:tc>
        <w:tc>
          <w:tcPr>
            <w:tcW w:w="11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1449CBD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Vintage</w:t>
            </w:r>
          </w:p>
        </w:tc>
      </w:tr>
      <w:tr w:rsidR="00397FCB" w14:paraId="24FFAADC" w14:textId="77777777" w:rsidTr="00922C41">
        <w:trPr>
          <w:cantSplit/>
          <w:trHeight w:val="56"/>
          <w:jc w:val="center"/>
        </w:trPr>
        <w:tc>
          <w:tcPr>
            <w:tcW w:w="2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1F8156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Similarity + distance</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5590E6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+0.059 (0.015)</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48AF31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+0.077 (0.003)</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19CB07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32BA44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C49C46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r>
      <w:tr w:rsidR="00397FCB" w14:paraId="6F51E91D" w14:textId="77777777" w:rsidTr="00922C41">
        <w:trPr>
          <w:cantSplit/>
          <w:trHeight w:val="56"/>
          <w:jc w:val="center"/>
        </w:trPr>
        <w:tc>
          <w:tcPr>
            <w:tcW w:w="2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F4A89C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All saturation/distance candidates</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99522B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+0.101 (0.014)</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961849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+0.075 (0.004)</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4D28AB5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−0.079 (0.163)</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C40EBB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+0.076 (0.196)</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19F822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r>
      <w:tr w:rsidR="00397FCB" w14:paraId="3C3FEDD0" w14:textId="77777777" w:rsidTr="00922C41">
        <w:trPr>
          <w:cantSplit/>
          <w:trHeight w:val="56"/>
          <w:jc w:val="center"/>
        </w:trPr>
        <w:tc>
          <w:tcPr>
            <w:tcW w:w="2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468E58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Similarity + distance + vintage</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73A971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+0.059 (0.015)</w:t>
            </w:r>
          </w:p>
        </w:tc>
        <w:tc>
          <w:tcPr>
            <w:tcW w:w="1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DC3B49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+0.076 (0.003)</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7F3A6C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952C4D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c>
          <w:tcPr>
            <w:tcW w:w="1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7553E3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+0.006 (0.739)</w:t>
            </w:r>
          </w:p>
        </w:tc>
      </w:tr>
      <w:tr w:rsidR="00397FCB" w14:paraId="081B3944" w14:textId="77777777" w:rsidTr="00922C41">
        <w:trPr>
          <w:cantSplit/>
          <w:trHeight w:val="56"/>
          <w:jc w:val="center"/>
        </w:trPr>
        <w:tc>
          <w:tcPr>
            <w:tcW w:w="26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7B9322BE"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Residual test D3</w:t>
            </w:r>
          </w:p>
        </w:tc>
        <w:tc>
          <w:tcPr>
            <w:tcW w:w="17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56A8DF96"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c>
          <w:tcPr>
            <w:tcW w:w="16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27967468"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c>
          <w:tcPr>
            <w:tcW w:w="15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51FC775F"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+0.012 (0.569)</w:t>
            </w:r>
          </w:p>
        </w:tc>
        <w:tc>
          <w:tcPr>
            <w:tcW w:w="15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5D7C5D30"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+0.012 (0.588)</w:t>
            </w:r>
          </w:p>
        </w:tc>
        <w:tc>
          <w:tcPr>
            <w:tcW w:w="11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070FE6F0"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r>
    </w:tbl>
    <w:p w14:paraId="1770A266"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Coefficients with p-values in parentheses. The two level variables are highly collinear and should be read jointly as a family; the vintage confound is set aside.</w:t>
      </w:r>
    </w:p>
    <w:p w14:paraId="5712DB7A"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t>Table B3. Robustness of the similarity-versus-distance contest to fixed ρ.</w:t>
      </w:r>
    </w:p>
    <w:tbl>
      <w:tblPr>
        <w:tblOverlap w:val="never"/>
        <w:tblW w:w="91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1900"/>
        <w:gridCol w:w="2000"/>
        <w:gridCol w:w="1700"/>
        <w:gridCol w:w="2000"/>
        <w:gridCol w:w="1500"/>
      </w:tblGrid>
      <w:tr w:rsidR="00397FCB" w14:paraId="0AFA05B9" w14:textId="77777777" w:rsidTr="00922C41">
        <w:trPr>
          <w:cantSplit/>
          <w:trHeight w:val="56"/>
          <w:tblHeader/>
          <w:jc w:val="center"/>
        </w:trPr>
        <w:tc>
          <w:tcPr>
            <w:tcW w:w="19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097AA88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Fixed ρ</w:t>
            </w:r>
          </w:p>
        </w:tc>
        <w:tc>
          <w:tcPr>
            <w:tcW w:w="20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41A0B27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Similarity coefficient</w:t>
            </w:r>
          </w:p>
        </w:tc>
        <w:tc>
          <w:tcPr>
            <w:tcW w:w="17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4CEA59A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Similarity p</w:t>
            </w:r>
          </w:p>
        </w:tc>
        <w:tc>
          <w:tcPr>
            <w:tcW w:w="20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557DB21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Distance coefficient</w:t>
            </w:r>
          </w:p>
        </w:tc>
        <w:tc>
          <w:tcPr>
            <w:tcW w:w="15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5225B0B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Distance p</w:t>
            </w:r>
          </w:p>
        </w:tc>
      </w:tr>
      <w:tr w:rsidR="00397FCB" w14:paraId="1B43A1CB" w14:textId="77777777" w:rsidTr="00922C41">
        <w:trPr>
          <w:cantSplit/>
          <w:trHeight w:val="56"/>
          <w:jc w:val="center"/>
        </w:trPr>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4BA537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0.200</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B21AE9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0.0582</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6348C7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0.015</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8FD530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0.0776</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966E3F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0.003</w:t>
            </w:r>
          </w:p>
        </w:tc>
      </w:tr>
      <w:tr w:rsidR="00397FCB" w14:paraId="7AA8F9F7" w14:textId="77777777" w:rsidTr="00922C41">
        <w:trPr>
          <w:cantSplit/>
          <w:trHeight w:val="56"/>
          <w:jc w:val="center"/>
        </w:trPr>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CA2AB4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0.265</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791CE6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0.0588</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FA76EA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0.015</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54CC97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0.0770</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DD9E16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0.003</w:t>
            </w:r>
          </w:p>
        </w:tc>
      </w:tr>
      <w:tr w:rsidR="00397FCB" w14:paraId="07ADBA0C" w14:textId="77777777" w:rsidTr="00922C41">
        <w:trPr>
          <w:cantSplit/>
          <w:trHeight w:val="56"/>
          <w:jc w:val="center"/>
        </w:trPr>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F8A78D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0.325 (baseline)</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E4B5AC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0.0594</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BE64960"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0.015</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C99D3D8"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0.0765</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460FBE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0.003</w:t>
            </w:r>
          </w:p>
        </w:tc>
      </w:tr>
      <w:tr w:rsidR="00397FCB" w14:paraId="55C4A8AA" w14:textId="77777777" w:rsidTr="00922C41">
        <w:trPr>
          <w:cantSplit/>
          <w:trHeight w:val="56"/>
          <w:jc w:val="center"/>
        </w:trPr>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EC7170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0.400</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6CA677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0.0602</w:t>
            </w:r>
          </w:p>
        </w:tc>
        <w:tc>
          <w:tcPr>
            <w:tcW w:w="17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DF1165A"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0.015</w:t>
            </w:r>
          </w:p>
        </w:tc>
        <w:tc>
          <w:tcPr>
            <w:tcW w:w="20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4F362C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0.0758</w:t>
            </w:r>
          </w:p>
        </w:tc>
        <w:tc>
          <w:tcPr>
            <w:tcW w:w="15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82104D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0.004</w:t>
            </w:r>
          </w:p>
        </w:tc>
      </w:tr>
      <w:tr w:rsidR="00397FCB" w14:paraId="4D466460" w14:textId="77777777" w:rsidTr="00922C41">
        <w:trPr>
          <w:cantSplit/>
          <w:trHeight w:val="56"/>
          <w:jc w:val="center"/>
        </w:trPr>
        <w:tc>
          <w:tcPr>
            <w:tcW w:w="19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748770CC"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0.500</w:t>
            </w:r>
          </w:p>
        </w:tc>
        <w:tc>
          <w:tcPr>
            <w:tcW w:w="20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0AFF49A9"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0.0615</w:t>
            </w:r>
          </w:p>
        </w:tc>
        <w:tc>
          <w:tcPr>
            <w:tcW w:w="17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7EB97C22"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0.015</w:t>
            </w:r>
          </w:p>
        </w:tc>
        <w:tc>
          <w:tcPr>
            <w:tcW w:w="20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2CDC16D8"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0.0751</w:t>
            </w:r>
          </w:p>
        </w:tc>
        <w:tc>
          <w:tcPr>
            <w:tcW w:w="15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26524ED"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0.004</w:t>
            </w:r>
          </w:p>
        </w:tc>
      </w:tr>
    </w:tbl>
    <w:p w14:paraId="20858D45"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The joint reduced-form result is insensitive to the borrowed common dependence parameter.</w:t>
      </w:r>
    </w:p>
    <w:p w14:paraId="3E89541A" w14:textId="77777777" w:rsidR="00397FCB" w:rsidRDefault="00397FCB" w:rsidP="00397FCB">
      <w:pPr>
        <w:pStyle w:val="Heading1"/>
        <w:pBdr>
          <w:top w:val="none" w:sz="2" w:space="1" w:color="000000"/>
          <w:left w:val="none" w:sz="2" w:space="4" w:color="000000"/>
          <w:bottom w:val="none" w:sz="2" w:space="1" w:color="000000"/>
          <w:right w:val="none" w:sz="2" w:space="4" w:color="000000"/>
        </w:pBdr>
        <w:spacing w:before="320" w:after="140" w:line="240" w:lineRule="auto"/>
      </w:pPr>
      <w:r>
        <w:rPr>
          <w:rFonts w:ascii="Times New Roman"/>
          <w:b/>
          <w:color w:val="1A1A1A"/>
          <w:sz w:val="26"/>
        </w:rPr>
        <w:t>Appendix C. A Motivating Micro-Foundation for the Similarity Kernel</w:t>
      </w:r>
    </w:p>
    <w:p w14:paraId="356C4096"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ind w:firstLine="431"/>
      </w:pPr>
      <w:r>
        <w:t xml:space="preserve">A parcel’s value includes the option to build the unbuilt remainder of its permitted envelope. Marginal floor value declines in height, so the option’s sensitivity to metropolitan shocks—its delta—is a smooth monotone function of saturation: near-empty parcels carry large option deltas, near-saturated parcels small </w:t>
      </w:r>
      <w:r>
        <w:lastRenderedPageBreak/>
        <w:t>ones. If a single common factor drove all shocks, pairwise correlations would be organized by the product of deltas, favoring the level weights of Section 3.3. If instead shocks strike locally along the delta line—rate shocks where option value dominates, envelope shocks near the constraint—then two parcels co-move to the extent their deltas are similar, i.e. to the extent their saturations are close. Under Laplace-type local loading this yields exactly exp(−κ|s</w:t>
      </w:r>
      <w:r>
        <w:rPr>
          <w:vertAlign w:val="subscript"/>
        </w:rPr>
        <w:t>i</w:t>
      </w:r>
      <w:r>
        <w:t xml:space="preserve"> − s</w:t>
      </w:r>
      <w:r>
        <w:rPr>
          <w:vertAlign w:val="subscript"/>
        </w:rPr>
        <w:t>j</w:t>
      </w:r>
      <w:r>
        <w:t>|), the gap-similarity kernel. The model also predicts that the structure should appear only where the envelope binds, because where slack is abundant every parcel carries a large, undifferentiated option delta and the gap ceases to sort exposure. We present this as a motivating exposure model, not a uniquely derived micro-foundation: it identifies the rivals to beat and the market where the channel should be visible, both of which the evidence bears out.</w:t>
      </w:r>
    </w:p>
    <w:p w14:paraId="14F69DDA" w14:textId="77777777" w:rsidR="00397FCB" w:rsidRDefault="00397FCB" w:rsidP="00397FCB">
      <w:pPr>
        <w:pStyle w:val="Heading1"/>
        <w:pBdr>
          <w:top w:val="none" w:sz="2" w:space="1" w:color="000000"/>
          <w:left w:val="none" w:sz="2" w:space="4" w:color="000000"/>
          <w:bottom w:val="none" w:sz="2" w:space="1" w:color="000000"/>
          <w:right w:val="none" w:sz="2" w:space="4" w:color="000000"/>
        </w:pBdr>
        <w:spacing w:before="320" w:after="140" w:line="240" w:lineRule="auto"/>
      </w:pPr>
      <w:r>
        <w:rPr>
          <w:rFonts w:ascii="Times New Roman"/>
          <w:b/>
          <w:color w:val="1A1A1A"/>
          <w:sz w:val="26"/>
        </w:rPr>
        <w:t>Appendix D. Power Reinforcement: A Residual-Product Panel</w:t>
      </w:r>
    </w:p>
    <w:p w14:paraId="54126220"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ind w:firstLine="431"/>
      </w:pPr>
      <w:r>
        <w:t>Correlation-level tests use one observation per cluster pair from eight annual values—a power ceiling. A cluster-pair × year panel of residual products (24,340 pair-years), which discards no within-year variation, reproduces the structure at higher resolution. The saturation gap enters negative and significant on its own and softens beside a stronger distance term; the saturation and geographic structures genuinely coexist, so power is not what limits the distinction. This within-year panel also bridges the annual-correlation validation and the contemporaneous residual-dependence object.</w:t>
      </w:r>
    </w:p>
    <w:p w14:paraId="604B4CBA"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t>Table D1. Residual-product panel (cluster-pair × year; N = 24,340).</w:t>
      </w:r>
    </w:p>
    <w:tbl>
      <w:tblPr>
        <w:tblOverlap w:val="never"/>
        <w:tblW w:w="94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2600"/>
        <w:gridCol w:w="1900"/>
        <w:gridCol w:w="1400"/>
        <w:gridCol w:w="2100"/>
        <w:gridCol w:w="1400"/>
      </w:tblGrid>
      <w:tr w:rsidR="00397FCB" w14:paraId="1CE8C648" w14:textId="77777777" w:rsidTr="00922C41">
        <w:trPr>
          <w:cantSplit/>
          <w:trHeight w:val="56"/>
          <w:tblHeader/>
          <w:jc w:val="center"/>
        </w:trPr>
        <w:tc>
          <w:tcPr>
            <w:tcW w:w="26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43CB530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Specification</w:t>
            </w:r>
          </w:p>
        </w:tc>
        <w:tc>
          <w:tcPr>
            <w:tcW w:w="19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6A3C72F4"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Gap coefficient</w:t>
            </w:r>
          </w:p>
        </w:tc>
        <w:tc>
          <w:tcPr>
            <w:tcW w:w="14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2C12E4D1"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Gap p</w:t>
            </w:r>
          </w:p>
        </w:tc>
        <w:tc>
          <w:tcPr>
            <w:tcW w:w="21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6BE0E829"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Log-distance coefficient</w:t>
            </w:r>
          </w:p>
        </w:tc>
        <w:tc>
          <w:tcPr>
            <w:tcW w:w="14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2E375C9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Distance p</w:t>
            </w:r>
          </w:p>
        </w:tc>
      </w:tr>
      <w:tr w:rsidR="00397FCB" w14:paraId="46430808" w14:textId="77777777" w:rsidTr="00922C41">
        <w:trPr>
          <w:cantSplit/>
          <w:trHeight w:val="56"/>
          <w:jc w:val="center"/>
        </w:trPr>
        <w:tc>
          <w:tcPr>
            <w:tcW w:w="26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90B8A6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Gap only</w:t>
            </w:r>
          </w:p>
        </w:tc>
        <w:tc>
          <w:tcPr>
            <w:tcW w:w="1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3ACA625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−0.0333</w:t>
            </w:r>
          </w:p>
        </w:tc>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012CAA2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0.039</w:t>
            </w:r>
          </w:p>
        </w:tc>
        <w:tc>
          <w:tcPr>
            <w:tcW w:w="21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987A91A"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c>
          <w:tcPr>
            <w:tcW w:w="14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46F209D"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w:t>
            </w:r>
          </w:p>
        </w:tc>
      </w:tr>
      <w:tr w:rsidR="00397FCB" w14:paraId="7BE7CE31" w14:textId="77777777" w:rsidTr="00922C41">
        <w:trPr>
          <w:cantSplit/>
          <w:trHeight w:val="56"/>
          <w:jc w:val="center"/>
        </w:trPr>
        <w:tc>
          <w:tcPr>
            <w:tcW w:w="26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497E6BD"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Gap + log distance</w:t>
            </w:r>
          </w:p>
        </w:tc>
        <w:tc>
          <w:tcPr>
            <w:tcW w:w="19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227B8D3F"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−0.0275</w:t>
            </w:r>
          </w:p>
        </w:tc>
        <w:tc>
          <w:tcPr>
            <w:tcW w:w="14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78E66048"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0.070</w:t>
            </w:r>
          </w:p>
        </w:tc>
        <w:tc>
          <w:tcPr>
            <w:tcW w:w="21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3908A56A"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−0.0719</w:t>
            </w:r>
          </w:p>
        </w:tc>
        <w:tc>
          <w:tcPr>
            <w:tcW w:w="14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1BBEA5B5"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0.013</w:t>
            </w:r>
          </w:p>
        </w:tc>
      </w:tr>
    </w:tbl>
    <w:p w14:paraId="06DE2BE9"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Year fixed effects and dyadic-robust inference. This within-year panel bridges the annual-correlation validation and the contemporaneous residual-dependence object.</w:t>
      </w:r>
    </w:p>
    <w:p w14:paraId="144731BC" w14:textId="77777777" w:rsidR="00397FCB" w:rsidRDefault="00397FCB" w:rsidP="00397FCB">
      <w:pPr>
        <w:pStyle w:val="Heading1"/>
        <w:pBdr>
          <w:top w:val="none" w:sz="2" w:space="1" w:color="000000"/>
          <w:left w:val="none" w:sz="2" w:space="4" w:color="000000"/>
          <w:bottom w:val="none" w:sz="2" w:space="1" w:color="000000"/>
          <w:right w:val="none" w:sz="2" w:space="4" w:color="000000"/>
        </w:pBdr>
        <w:spacing w:before="320" w:after="140" w:line="240" w:lineRule="auto"/>
      </w:pPr>
      <w:r>
        <w:rPr>
          <w:rFonts w:ascii="Times New Roman"/>
          <w:b/>
          <w:color w:val="1A1A1A"/>
          <w:sz w:val="26"/>
        </w:rPr>
        <w:t>Appendix E. Single-Matrix Full-Kernel Mechanism Illustration</w:t>
      </w:r>
    </w:p>
    <w:p w14:paraId="0A4BB398" w14:textId="77777777" w:rsidR="00397FCB" w:rsidRDefault="00397FCB" w:rsidP="00397FCB">
      <w:pPr>
        <w:pStyle w:val="ManuscriptBody"/>
        <w:pBdr>
          <w:top w:val="none" w:sz="2" w:space="1" w:color="000000"/>
          <w:left w:val="none" w:sz="2" w:space="4" w:color="000000"/>
          <w:bottom w:val="none" w:sz="2" w:space="1" w:color="000000"/>
          <w:right w:val="none" w:sz="2" w:space="4" w:color="000000"/>
        </w:pBdr>
        <w:ind w:firstLine="431"/>
      </w:pPr>
      <w:r>
        <w:t>For mechanism illustration only, Table E1 applies each policy operator to a single-matrix full-kernel model (κ = 5), where the dispersion logic of Section 3.3 does hold: compression of the saturation distribution raises mean correlation and spreading lowers it. This is a theoretical and matrix-construction sensitivity, not a policy estimate; its role is to locate precisely why the dispersion principle fails on the estimated multi-matrix nearest-neighbor structure—namely, that uniform upzoning leaves a value-based graph unchanged, so its exact zero is representation-driven.</w:t>
      </w:r>
    </w:p>
    <w:p w14:paraId="15358DD6" w14:textId="77777777" w:rsidR="00397FCB" w:rsidRDefault="00397FCB" w:rsidP="00397FCB">
      <w:pPr>
        <w:pStyle w:val="TableCaption"/>
        <w:pBdr>
          <w:top w:val="none" w:sz="2" w:space="1" w:color="000000"/>
          <w:left w:val="none" w:sz="2" w:space="4" w:color="000000"/>
          <w:bottom w:val="none" w:sz="2" w:space="1" w:color="000000"/>
          <w:right w:val="none" w:sz="2" w:space="4" w:color="000000"/>
        </w:pBdr>
      </w:pPr>
      <w:r>
        <w:t>Table E1. Single-matrix full-kernel mechanism illustration (κ = 5).</w:t>
      </w:r>
    </w:p>
    <w:tbl>
      <w:tblPr>
        <w:tblOverlap w:val="never"/>
        <w:tblW w:w="9000" w:type="dxa"/>
        <w:jc w:val="center"/>
        <w:tblBorders>
          <w:top w:val="single" w:sz="3" w:space="0" w:color="0A0000"/>
          <w:left w:val="single" w:sz="3" w:space="0" w:color="0A0000"/>
          <w:bottom w:val="single" w:sz="3" w:space="0" w:color="0A0000"/>
          <w:right w:val="single" w:sz="3" w:space="0" w:color="0A0000"/>
        </w:tblBorders>
        <w:tblLayout w:type="fixed"/>
        <w:tblCellMar>
          <w:top w:w="28" w:type="dxa"/>
          <w:left w:w="102" w:type="dxa"/>
          <w:bottom w:w="28" w:type="dxa"/>
          <w:right w:w="102" w:type="dxa"/>
        </w:tblCellMar>
        <w:tblLook w:val="04A0" w:firstRow="1" w:lastRow="0" w:firstColumn="1" w:lastColumn="0" w:noHBand="0" w:noVBand="1"/>
      </w:tblPr>
      <w:tblGrid>
        <w:gridCol w:w="3200"/>
        <w:gridCol w:w="2900"/>
        <w:gridCol w:w="2900"/>
      </w:tblGrid>
      <w:tr w:rsidR="00397FCB" w14:paraId="693A18CB" w14:textId="77777777" w:rsidTr="00922C41">
        <w:trPr>
          <w:cantSplit/>
          <w:trHeight w:val="56"/>
          <w:tblHeader/>
          <w:jc w:val="center"/>
        </w:trPr>
        <w:tc>
          <w:tcPr>
            <w:tcW w:w="32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428F0663"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b/>
                <w:sz w:val="18"/>
              </w:rPr>
              <w:t>Policy</w:t>
            </w:r>
          </w:p>
        </w:tc>
        <w:tc>
          <w:tcPr>
            <w:tcW w:w="29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03F4CDE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Saturation distribution</w:t>
            </w:r>
          </w:p>
        </w:tc>
        <w:tc>
          <w:tcPr>
            <w:tcW w:w="2900" w:type="dxa"/>
            <w:tcBorders>
              <w:top w:val="single" w:sz="11" w:space="0" w:color="000000"/>
              <w:left w:val="none" w:sz="2" w:space="0" w:color="FFFFFF"/>
              <w:bottom w:val="single" w:sz="3" w:space="0" w:color="000000"/>
              <w:right w:val="none" w:sz="2" w:space="0" w:color="FFFFFF"/>
            </w:tcBorders>
            <w:tcMar>
              <w:top w:w="30" w:type="dxa"/>
              <w:left w:w="70" w:type="dxa"/>
              <w:bottom w:w="30" w:type="dxa"/>
              <w:right w:w="70" w:type="dxa"/>
            </w:tcMar>
            <w:vAlign w:val="center"/>
          </w:tcPr>
          <w:p w14:paraId="618C94EC"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b/>
                <w:sz w:val="18"/>
              </w:rPr>
              <w:t>Δ mean absolute correlation</w:t>
            </w:r>
          </w:p>
        </w:tc>
      </w:tr>
      <w:tr w:rsidR="00397FCB" w14:paraId="79CDD07C"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4D615A2"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Uniform upzoning, g = 0.20</w:t>
            </w:r>
          </w:p>
        </w:tc>
        <w:tc>
          <w:tcPr>
            <w:tcW w:w="2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408EBA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Compression</w:t>
            </w:r>
          </w:p>
        </w:tc>
        <w:tc>
          <w:tcPr>
            <w:tcW w:w="2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5452C9F"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+0.016%</w:t>
            </w:r>
          </w:p>
        </w:tc>
      </w:tr>
      <w:tr w:rsidR="00397FCB" w14:paraId="25AC6662"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7C427A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Sending-side designation</w:t>
            </w:r>
          </w:p>
        </w:tc>
        <w:tc>
          <w:tcPr>
            <w:tcW w:w="2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B31D5D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Compression</w:t>
            </w:r>
          </w:p>
        </w:tc>
        <w:tc>
          <w:tcPr>
            <w:tcW w:w="2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1E6287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+0.006%</w:t>
            </w:r>
          </w:p>
        </w:tc>
      </w:tr>
      <w:tr w:rsidR="00397FCB" w14:paraId="321E585E"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61E073C6"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Receiving-side designation</w:t>
            </w:r>
          </w:p>
        </w:tc>
        <w:tc>
          <w:tcPr>
            <w:tcW w:w="2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7AC6594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Compression</w:t>
            </w:r>
          </w:p>
        </w:tc>
        <w:tc>
          <w:tcPr>
            <w:tcW w:w="2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265BFDA5"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+0.028%</w:t>
            </w:r>
          </w:p>
        </w:tc>
      </w:tr>
      <w:tr w:rsidR="00397FCB" w14:paraId="7713C8A5" w14:textId="77777777" w:rsidTr="00922C41">
        <w:trPr>
          <w:cantSplit/>
          <w:trHeight w:val="56"/>
          <w:jc w:val="center"/>
        </w:trPr>
        <w:tc>
          <w:tcPr>
            <w:tcW w:w="32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130D52E"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TDR, conventional designation</w:t>
            </w:r>
          </w:p>
        </w:tc>
        <w:tc>
          <w:tcPr>
            <w:tcW w:w="2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596F270B"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Compression</w:t>
            </w:r>
          </w:p>
        </w:tc>
        <w:tc>
          <w:tcPr>
            <w:tcW w:w="2900" w:type="dxa"/>
            <w:tcBorders>
              <w:top w:val="none" w:sz="2" w:space="0" w:color="FFFFFF"/>
              <w:left w:val="none" w:sz="2" w:space="0" w:color="FFFFFF"/>
              <w:bottom w:val="none" w:sz="2" w:space="0" w:color="FFFFFF"/>
              <w:right w:val="none" w:sz="2" w:space="0" w:color="FFFFFF"/>
            </w:tcBorders>
            <w:tcMar>
              <w:top w:w="30" w:type="dxa"/>
              <w:left w:w="70" w:type="dxa"/>
              <w:bottom w:w="30" w:type="dxa"/>
              <w:right w:w="70" w:type="dxa"/>
            </w:tcMar>
            <w:vAlign w:val="center"/>
          </w:tcPr>
          <w:p w14:paraId="1839A8F7" w14:textId="77777777" w:rsidR="00397FCB" w:rsidRDefault="00397FCB" w:rsidP="00922C41">
            <w:pPr>
              <w:pStyle w:val="ManuscriptBody"/>
              <w:keepNext/>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+0.033%</w:t>
            </w:r>
          </w:p>
        </w:tc>
      </w:tr>
      <w:tr w:rsidR="00397FCB" w14:paraId="05ABBC77" w14:textId="77777777" w:rsidTr="00922C41">
        <w:trPr>
          <w:cantSplit/>
          <w:trHeight w:val="56"/>
          <w:jc w:val="center"/>
        </w:trPr>
        <w:tc>
          <w:tcPr>
            <w:tcW w:w="32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4D0555A1"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left"/>
            </w:pPr>
            <w:r>
              <w:rPr>
                <w:sz w:val="18"/>
              </w:rPr>
              <w:t>TDR, dispersion-widening designation</w:t>
            </w:r>
          </w:p>
        </w:tc>
        <w:tc>
          <w:tcPr>
            <w:tcW w:w="29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60B2ECB6"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Spreading</w:t>
            </w:r>
          </w:p>
        </w:tc>
        <w:tc>
          <w:tcPr>
            <w:tcW w:w="2900" w:type="dxa"/>
            <w:tcBorders>
              <w:top w:val="none" w:sz="2" w:space="0" w:color="FFFFFF"/>
              <w:left w:val="none" w:sz="2" w:space="0" w:color="FFFFFF"/>
              <w:bottom w:val="single" w:sz="11" w:space="0" w:color="000000"/>
              <w:right w:val="none" w:sz="2" w:space="0" w:color="FFFFFF"/>
            </w:tcBorders>
            <w:tcMar>
              <w:top w:w="30" w:type="dxa"/>
              <w:left w:w="70" w:type="dxa"/>
              <w:bottom w:w="30" w:type="dxa"/>
              <w:right w:w="70" w:type="dxa"/>
            </w:tcMar>
            <w:vAlign w:val="center"/>
          </w:tcPr>
          <w:p w14:paraId="4B2FD92F" w14:textId="77777777" w:rsidR="00397FCB" w:rsidRDefault="00397FCB" w:rsidP="00922C41">
            <w:pPr>
              <w:pStyle w:val="ManuscriptBody"/>
              <w:pBdr>
                <w:top w:val="none" w:sz="2" w:space="1" w:color="000000"/>
                <w:left w:val="none" w:sz="2" w:space="4" w:color="000000"/>
                <w:bottom w:val="none" w:sz="2" w:space="1" w:color="000000"/>
                <w:right w:val="none" w:sz="2" w:space="4" w:color="000000"/>
              </w:pBdr>
              <w:snapToGrid w:val="0"/>
              <w:spacing w:before="20" w:after="20" w:line="240" w:lineRule="auto"/>
              <w:jc w:val="center"/>
            </w:pPr>
            <w:r>
              <w:rPr>
                <w:sz w:val="18"/>
              </w:rPr>
              <w:t>−0.029%</w:t>
            </w:r>
          </w:p>
        </w:tc>
      </w:tr>
    </w:tbl>
    <w:p w14:paraId="2869D349" w14:textId="77777777" w:rsidR="00397FCB" w:rsidRDefault="00397FCB" w:rsidP="00397FCB">
      <w:pPr>
        <w:pStyle w:val="TableNote"/>
        <w:pBdr>
          <w:top w:val="none" w:sz="2" w:space="1" w:color="000000"/>
          <w:left w:val="none" w:sz="2" w:space="4" w:color="000000"/>
          <w:bottom w:val="none" w:sz="2" w:space="1" w:color="000000"/>
          <w:right w:val="none" w:sz="2" w:space="4" w:color="000000"/>
        </w:pBdr>
      </w:pPr>
      <w:r>
        <w:rPr>
          <w:i/>
        </w:rPr>
        <w:t xml:space="preserve">Note. </w:t>
      </w:r>
      <w:r>
        <w:t>Theory and matrix-construction sensitivity only; not a policy estimate. It shows that the exact zero under value-based nearest-</w:t>
      </w:r>
      <w:r>
        <w:lastRenderedPageBreak/>
        <w:t>neighbor uniform upzoning is representation-driven.</w:t>
      </w:r>
    </w:p>
    <w:p w14:paraId="5699D5A6" w14:textId="0486A922" w:rsidR="008B07A6" w:rsidRDefault="008B07A6" w:rsidP="00397FCB">
      <w:pPr>
        <w:pStyle w:val="ManuscriptBody"/>
      </w:pPr>
    </w:p>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CB"/>
    <w:rsid w:val="00066677"/>
    <w:rsid w:val="00153A17"/>
    <w:rsid w:val="001A37F3"/>
    <w:rsid w:val="00397FCB"/>
    <w:rsid w:val="003A4E89"/>
    <w:rsid w:val="00556784"/>
    <w:rsid w:val="008B07A6"/>
    <w:rsid w:val="0097029A"/>
    <w:rsid w:val="00987B63"/>
    <w:rsid w:val="00A234E6"/>
    <w:rsid w:val="00D31E7D"/>
    <w:rsid w:val="00F23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B53CD"/>
  <w15:chartTrackingRefBased/>
  <w15:docId w15:val="{9F763BBF-33A9-43BA-84AA-55C84AEC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FCB"/>
    <w:pPr>
      <w:spacing w:line="276" w:lineRule="auto"/>
      <w:jc w:val="both"/>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397FCB"/>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97FCB"/>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7FCB"/>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7FCB"/>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97FCB"/>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97FCB"/>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97FCB"/>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97FCB"/>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97FCB"/>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FCB"/>
    <w:rPr>
      <w:rFonts w:eastAsiaTheme="majorEastAsia" w:cstheme="majorBidi"/>
      <w:color w:val="272727" w:themeColor="text1" w:themeTint="D8"/>
    </w:rPr>
  </w:style>
  <w:style w:type="paragraph" w:styleId="Title">
    <w:name w:val="Title"/>
    <w:basedOn w:val="Normal"/>
    <w:next w:val="Normal"/>
    <w:link w:val="TitleChar"/>
    <w:uiPriority w:val="10"/>
    <w:qFormat/>
    <w:rsid w:val="00397FCB"/>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7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FCB"/>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7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FCB"/>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97FCB"/>
    <w:rPr>
      <w:i/>
      <w:iCs/>
      <w:color w:val="404040" w:themeColor="text1" w:themeTint="BF"/>
    </w:rPr>
  </w:style>
  <w:style w:type="paragraph" w:styleId="ListParagraph">
    <w:name w:val="List Paragraph"/>
    <w:basedOn w:val="Normal"/>
    <w:uiPriority w:val="34"/>
    <w:qFormat/>
    <w:rsid w:val="00397FCB"/>
    <w:pPr>
      <w:spacing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97FCB"/>
    <w:rPr>
      <w:i/>
      <w:iCs/>
      <w:color w:val="0F4761" w:themeColor="accent1" w:themeShade="BF"/>
    </w:rPr>
  </w:style>
  <w:style w:type="paragraph" w:styleId="IntenseQuote">
    <w:name w:val="Intense Quote"/>
    <w:basedOn w:val="Normal"/>
    <w:next w:val="Normal"/>
    <w:link w:val="IntenseQuoteChar"/>
    <w:uiPriority w:val="30"/>
    <w:qFormat/>
    <w:rsid w:val="00397F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97FCB"/>
    <w:rPr>
      <w:i/>
      <w:iCs/>
      <w:color w:val="0F4761" w:themeColor="accent1" w:themeShade="BF"/>
    </w:rPr>
  </w:style>
  <w:style w:type="character" w:styleId="IntenseReference">
    <w:name w:val="Intense Reference"/>
    <w:basedOn w:val="DefaultParagraphFont"/>
    <w:uiPriority w:val="32"/>
    <w:qFormat/>
    <w:rsid w:val="00397FCB"/>
    <w:rPr>
      <w:b/>
      <w:bCs/>
      <w:smallCaps/>
      <w:color w:val="0F4761" w:themeColor="accent1" w:themeShade="BF"/>
      <w:spacing w:val="5"/>
    </w:rPr>
  </w:style>
  <w:style w:type="paragraph" w:customStyle="1" w:styleId="ManuscriptBody">
    <w:name w:val="Manuscript Body"/>
    <w:rsid w:val="00397FCB"/>
    <w:pPr>
      <w:widowControl w:val="0"/>
      <w:pBdr>
        <w:top w:val="none" w:sz="2" w:space="0" w:color="000000"/>
        <w:left w:val="none" w:sz="2" w:space="0" w:color="000000"/>
        <w:bottom w:val="none" w:sz="2" w:space="0" w:color="000000"/>
        <w:right w:val="none" w:sz="2" w:space="0" w:color="000000"/>
      </w:pBdr>
      <w:autoSpaceDE w:val="0"/>
      <w:autoSpaceDN w:val="0"/>
      <w:spacing w:line="276" w:lineRule="auto"/>
      <w:jc w:val="both"/>
      <w:textAlignment w:val="baseline"/>
    </w:pPr>
    <w:rPr>
      <w:rFonts w:ascii="Times New Roman" w:eastAsia="Times New Roman" w:hAnsi="Times New Roman" w:cs="Times New Roman"/>
      <w:color w:val="000000"/>
      <w:kern w:val="0"/>
      <w:sz w:val="22"/>
      <w:szCs w:val="22"/>
      <w14:ligatures w14:val="none"/>
    </w:rPr>
  </w:style>
  <w:style w:type="paragraph" w:customStyle="1" w:styleId="TableCaption">
    <w:name w:val="Table Caption"/>
    <w:basedOn w:val="ManuscriptBody"/>
    <w:qFormat/>
    <w:rsid w:val="00397FCB"/>
    <w:pPr>
      <w:keepNext/>
      <w:spacing w:before="260" w:after="60" w:line="240" w:lineRule="auto"/>
      <w:jc w:val="left"/>
    </w:pPr>
    <w:rPr>
      <w:sz w:val="20"/>
    </w:rPr>
  </w:style>
  <w:style w:type="paragraph" w:customStyle="1" w:styleId="FigureCaption">
    <w:name w:val="Figure Caption"/>
    <w:basedOn w:val="ManuscriptBody"/>
    <w:qFormat/>
    <w:rsid w:val="00397FCB"/>
    <w:pPr>
      <w:spacing w:before="60" w:after="220" w:line="240" w:lineRule="auto"/>
      <w:jc w:val="left"/>
    </w:pPr>
    <w:rPr>
      <w:sz w:val="20"/>
    </w:rPr>
  </w:style>
  <w:style w:type="paragraph" w:customStyle="1" w:styleId="TableNote">
    <w:name w:val="Table Note"/>
    <w:basedOn w:val="ManuscriptBody"/>
    <w:qFormat/>
    <w:rsid w:val="00397FCB"/>
    <w:pPr>
      <w:spacing w:before="60" w:after="20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1928</Words>
  <Characters>10991</Characters>
  <Application>Microsoft Office Word</Application>
  <DocSecurity>0</DocSecurity>
  <Lines>91</Lines>
  <Paragraphs>25</Paragraphs>
  <ScaleCrop>false</ScaleCrop>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2026-08-10T06:07:00Z</dcterms:created>
  <dcterms:modified xsi:type="dcterms:W3CDTF">2026-08-10T06:08:00Z</dcterms:modified>
</cp:coreProperties>
</file>