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line="276"/>
      </w:pPr>
      <w:r>
        <w:rPr>
          <w:rFonts w:ascii="Times New Roman" w:cs="Times New Roman" w:eastAsia="Times New Roman" w:hAnsi="Times New Roman"/>
          <w:b/>
          <w:bCs/>
          <w:i w:val="false"/>
          <w:iCs w:val="false"/>
          <w:sz w:val="24"/>
          <w:szCs w:val="24"/>
        </w:rPr>
        <w:t xml:space="preserve">STROBE Statement — Checklist of items that should be included in reports of cohort studies</w:t>
      </w:r>
    </w:p>
    <w:p>
      <w:pPr>
        <w:spacing w:after="120" w:before="0" w:line="276"/>
      </w:pPr>
      <w:r>
        <w:rPr>
          <w:rFonts w:ascii="Times New Roman" w:cs="Times New Roman" w:eastAsia="Times New Roman" w:hAnsi="Times New Roman"/>
          <w:b w:val="false"/>
          <w:bCs w:val="false"/>
          <w:i/>
          <w:iCs/>
          <w:sz w:val="22"/>
          <w:szCs w:val="22"/>
        </w:rPr>
        <w:t xml:space="preserve">Manuscript: “Sequential genomic testing in prenatal diagnosis: incremental yield of chromosomal microarray and exome sequencing, real-world NIPT confirmation rates and pregnancy outcomes in 120 consecutive amniocenteses from northeastern Türkiye — a retrospective cohort study”</w:t>
      </w:r>
    </w:p>
    <w:p>
      <w:pPr>
        <w:spacing w:after="200" w:before="0" w:line="276"/>
      </w:pPr>
      <w:r>
        <w:rPr>
          <w:rFonts w:ascii="Times New Roman" w:cs="Times New Roman" w:eastAsia="Times New Roman" w:hAnsi="Times New Roman"/>
          <w:b w:val="false"/>
          <w:bCs w:val="false"/>
          <w:i/>
          <w:iCs/>
          <w:sz w:val="22"/>
          <w:szCs w:val="22"/>
        </w:rPr>
        <w:t xml:space="preserve">Submitted to BMC Medical Genomics  —  Corresponding author: Çağrı Doğan, MD  —  1 August 2026</w:t>
      </w:r>
    </w:p>
    <w:tbl>
      <w:tblPr>
        <w:tblW w:type="dxa" w:w="10100"/>
        <w:tblBorders>
          <w:top w:val="single" w:color="auto" w:sz="4"/>
          <w:left w:val="single" w:color="auto" w:sz="4"/>
          <w:bottom w:val="single" w:color="auto" w:sz="4"/>
          <w:right w:val="single" w:color="auto" w:sz="4"/>
          <w:insideH w:val="single" w:color="auto" w:sz="4"/>
          <w:insideV w:val="single" w:color="auto" w:sz="4"/>
        </w:tblBorders>
      </w:tblPr>
      <w:tblGrid>
        <w:gridCol w:w="1000"/>
        <w:gridCol w:w="7200"/>
        <w:gridCol w:w="1900"/>
      </w:tblGrid>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Item No.</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Recommendation</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bCs/>
                <w:i w:val="false"/>
                <w:iCs w:val="false"/>
                <w:sz w:val="20"/>
                <w:szCs w:val="20"/>
              </w:rPr>
              <w:t xml:space="preserve">Reported on page(s)</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Title and abstract</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Indicate the study’s design with a commonly used term in the title or the abstract</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Provide in the abstract an informative and balanced summary of what was done and what was found</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1</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1–2</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Introduction</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2</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Background/rationale: Explain the scientific background and rationale for the investigation being reported</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3–4</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3</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Objectives: State specific objectives, including any prespecified hypotheses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4–5</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Methods</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4</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Study design: Present key elements of study design early in the paper</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5</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5</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Setting: Describe the setting, locations, and relevant dates, including periods of recruitment, exposure, follow-up, and data collection</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5</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6</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Cohort study—Give the eligibility criteria, and the sources and methods of selection of participants. Describe methods of follow-up</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Cohort study—For matched studies, give matching criteria and number of exposed and unexposed</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5, 8</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N/A (not matched)</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7</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Variables: Clearly define all outcomes, exposures, predictors, potential confounders, and effect modifiers. Give diagnostic criteria, if applicable</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5–8</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8*</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Data sources/measurement: For each variable of interest, give sources of data and details of methods of assessment (measurement). Describe comparability of assessment methods if there is more than one group</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5–8; Additional file 2 (Table S1)</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9</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Bias: Describe any efforts to address potential sources of bias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6, 8, 19</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10</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Study size: Explain how the study size was arrived at</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5, 8</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11</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Quantitative variables: Explain how quantitative variables were handled in the analyses. If applicable, describe which groupings were chosen and why</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5, 7, 8</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12</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Describe all statistical methods, including those used to control for confounding</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Describe any methods used to examine subgroups and interactions</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(c) Explain how missing data were addressed</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(d) Cohort study—If applicable, explain how loss to follow-up was addressed</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(e) Describe any sensitivity analyses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8</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8, 11</w:t>
            </w:r>
          </w:p>
          <w:p>
            <w:pPr>
              <w:spacing w:after="20" w:before="20" w:line="240"/>
              <w:jc w:val="center"/>
            </w:pPr>
            <w:r>
              <w:rPr>
                <w:rFonts w:ascii="Times New Roman" w:cs="Times New Roman" w:eastAsia="Times New Roman" w:hAnsi="Times New Roman"/>
                <w:b w:val="false"/>
                <w:bCs w:val="false"/>
                <w:i w:val="false"/>
                <w:iCs w:val="false"/>
                <w:sz w:val="20"/>
                <w:szCs w:val="20"/>
              </w:rPr>
              <w:t>6, 8</w:t>
            </w:r>
          </w:p>
          <w:p>
            <w:pPr>
              <w:spacing w:after="20" w:before="20" w:line="240"/>
              <w:jc w:val="center"/>
            </w:pPr>
            <w:r>
              <w:rPr>
                <w:rFonts w:ascii="Times New Roman" w:cs="Times New Roman" w:eastAsia="Times New Roman" w:hAnsi="Times New Roman"/>
                <w:b w:val="false"/>
                <w:bCs w:val="false"/>
                <w:i w:val="false"/>
                <w:iCs w:val="false"/>
                <w:sz w:val="20"/>
                <w:szCs w:val="20"/>
              </w:rPr>
              <w:t>8, 13</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13 (bounding analysis)</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Results</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13*</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Report numbers of individuals at each stage of study—eg numbers potentially eligible, examined for eligibility, confirmed eligible, included in the study, completing follow-up, and analysed</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Give reasons for non-participation at each stage</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(c) Consider use of a flow diagram</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5, 9, 13</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6, 13</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Fig. 1 (legend p. 22)</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14*</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Give characteristics of study participants (eg demographic, clinical, social) and information on exposures and potential confounders</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Indicate number of participants with missing data for each variable of interest</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(c) Cohort study—Summarise follow-up time (eg, average and total amount)</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9; Table 1 (p. 26)</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6, 13</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13</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15*</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Outcome data: Cohort study—Report numbers of outcome events or summary measures over time</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9–13; Tables 2 and 7 (pp. 27, 30–31)</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16</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(a) Give unadjusted estimates and, if applicable, confounder-adjusted estimates and their precision (eg, 95% confidence interval). Make clear which confounders were adjusted for and why they were included</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(b) Report category boundaries when continuous variables were categorized</w:t>
            </w:r>
          </w:p>
          <w:p>
            <w:pPr>
              <w:spacing w:after="20" w:before="20" w:line="240"/>
              <w:jc w:val="left"/>
            </w:pPr>
            <w:r>
              <w:rPr>
                <w:rFonts w:ascii="Times New Roman" w:cs="Times New Roman" w:eastAsia="Times New Roman" w:hAnsi="Times New Roman"/>
                <w:b w:val="false"/>
                <w:bCs w:val="false"/>
                <w:i w:val="false"/>
                <w:iCs w:val="false"/>
                <w:sz w:val="20"/>
                <w:szCs w:val="20"/>
              </w:rPr>
              <w:t xml:space="preserve">(c) If relevant, consider translating estimates of relative risk into absolute risk for a meaningful time period</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9–13; Tables 2–7 (pp. 27–31)</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5, 8</w:t>
            </w:r>
          </w:p>
          <w:p>
            <w:pPr>
              <w:spacing w:after="20" w:before="20" w:line="240"/>
              <w:jc w:val="center"/>
            </w:pPr>
            <w:r>
              <w:rPr>
                <w:rFonts w:ascii="Times New Roman" w:cs="Times New Roman" w:eastAsia="Times New Roman" w:hAnsi="Times New Roman"/>
                <w:b w:val="false"/>
                <w:bCs w:val="false"/>
                <w:i w:val="false"/>
                <w:iCs w:val="false"/>
                <w:sz w:val="20"/>
                <w:szCs w:val="20"/>
              </w:rPr>
              <w:t xml:space="preserve">N/A</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17</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Other analyses: Report other analyses done—eg analyses of subgroups and interactions, and sensitivity analyses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11, 13; Tables 4 and 5 (pp. 28–29)</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Discussion</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18</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Key results: Summarise key results with reference to study objectives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14, 19–20</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19</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Limitations: Discuss limitations of the study, taking into account sources of potential bias or imprecision. Discuss both direction and magnitude of any potential bias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19</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20</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Interpretation: Give a cautious overall interpretation of results considering objectives, limitations, multiplicity of analyses, results from similar studies, and other relevant evidence</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14–20</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21</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Generalisability: Discuss the generalisability (external validity) of the study results</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15, 19–20</w:t>
            </w:r>
          </w:p>
        </w:tc>
      </w:tr>
      <w:tr>
        <w:tc>
          <w:tcPr>
            <w:tcW w:type="dxa" w:w="1000"/>
            <w:gridSpan w:val="3"/>
            <w:shd w:fill="F2F2F2" w:val="clear"/>
            <w:tcMar>
              <w:top w:type="dxa" w:w="60"/>
              <w:left w:type="dxa" w:w="90"/>
              <w:bottom w:type="dxa" w:w="60"/>
              <w:right w:type="dxa" w:w="90"/>
            </w:tcMar>
          </w:tcPr>
          <w:p>
            <w:pPr>
              <w:spacing w:after="20" w:before="20" w:line="240"/>
              <w:jc w:val="left"/>
            </w:pPr>
            <w:r>
              <w:rPr>
                <w:rFonts w:ascii="Times New Roman" w:cs="Times New Roman" w:eastAsia="Times New Roman" w:hAnsi="Times New Roman"/>
                <w:b/>
                <w:bCs/>
                <w:i w:val="false"/>
                <w:iCs w:val="false"/>
                <w:sz w:val="20"/>
                <w:szCs w:val="20"/>
              </w:rPr>
              <w:t xml:space="preserve">Other information</w:t>
            </w:r>
          </w:p>
        </w:tc>
      </w:tr>
      <w:tr>
        <w:tc>
          <w:tcPr>
            <w:tcW w:type="dxa" w:w="10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22</w:t>
            </w:r>
          </w:p>
        </w:tc>
        <w:tc>
          <w:tcPr>
            <w:tcW w:type="dxa" w:w="7200"/>
            <w:tcMar>
              <w:top w:type="dxa" w:w="60"/>
              <w:left w:type="dxa" w:w="90"/>
              <w:bottom w:type="dxa" w:w="60"/>
              <w:right w:type="dxa" w:w="90"/>
            </w:tcMar>
          </w:tcPr>
          <w:p>
            <w:pPr>
              <w:spacing w:after="20" w:before="20" w:line="240"/>
              <w:jc w:val="left"/>
            </w:pPr>
            <w:r>
              <w:rPr>
                <w:rFonts w:ascii="Times New Roman" w:cs="Times New Roman" w:eastAsia="Times New Roman" w:hAnsi="Times New Roman"/>
                <w:b w:val="false"/>
                <w:bCs w:val="false"/>
                <w:i w:val="false"/>
                <w:iCs w:val="false"/>
                <w:sz w:val="20"/>
                <w:szCs w:val="20"/>
              </w:rPr>
              <w:t xml:space="preserve">Funding: Give the source of funding and the role of the funders for the present study and, if applicable, for the original study on which the present article is based</w:t>
            </w:r>
          </w:p>
        </w:tc>
        <w:tc>
          <w:tcPr>
            <w:tcW w:type="dxa" w:w="1900"/>
            <w:tcMar>
              <w:top w:type="dxa" w:w="60"/>
              <w:left w:type="dxa" w:w="90"/>
              <w:bottom w:type="dxa" w:w="60"/>
              <w:right w:type="dxa" w:w="90"/>
            </w:tcMar>
          </w:tcPr>
          <w:p>
            <w:pPr>
              <w:spacing w:after="20" w:before="20" w:line="240"/>
              <w:jc w:val="center"/>
            </w:pPr>
            <w:r>
              <w:rPr>
                <w:rFonts w:ascii="Times New Roman" w:cs="Times New Roman" w:eastAsia="Times New Roman" w:hAnsi="Times New Roman"/>
                <w:b w:val="false"/>
                <w:bCs w:val="false"/>
                <w:i w:val="false"/>
                <w:iCs w:val="false"/>
                <w:sz w:val="20"/>
                <w:szCs w:val="20"/>
              </w:rPr>
              <w:t xml:space="preserve">21</w:t>
            </w:r>
          </w:p>
        </w:tc>
      </w:tr>
    </w:tbl>
    <w:p>
      <w:pPr>
        <w:spacing w:after="120" w:before="200" w:line="276"/>
      </w:pPr>
      <w:r>
        <w:rPr>
          <w:rFonts w:ascii="Times New Roman" w:cs="Times New Roman" w:eastAsia="Times New Roman" w:hAnsi="Times New Roman"/>
          <w:b w:val="false"/>
          <w:bCs w:val="false"/>
          <w:i/>
          <w:iCs/>
          <w:sz w:val="20"/>
          <w:szCs w:val="20"/>
        </w:rPr>
        <w:t xml:space="preserve">*Give information separately for exposed and unexposed groups (cohort studies), cases and controls (case-control studies), or comparison groups (cross-sectional studies). In this single-cohort prenatal diagnostic study, no exposed/unexposed comparison applies; data are reported for the whole cohort and for prespecified clinical subgroups (e.g., abnormal vs. normal ultrasonography).</w:t>
      </w:r>
    </w:p>
    <w:p>
      <w:pPr>
        <w:spacing w:after="120" w:before="0" w:line="276"/>
      </w:pPr>
      <w:r>
        <w:rPr>
          <w:rFonts w:ascii="Times New Roman" w:cs="Times New Roman" w:eastAsia="Times New Roman" w:hAnsi="Times New Roman"/>
          <w:b w:val="false"/>
          <w:bCs w:val="false"/>
          <w:i/>
          <w:iCs/>
          <w:sz w:val="20"/>
          <w:szCs w:val="20"/>
        </w:rPr>
        <w:t xml:space="preserve">Note: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pPr>
        <w:spacing w:after="120" w:before="0" w:line="276"/>
      </w:pPr>
      <w:r>
        <w:rPr>
          <w:rFonts w:ascii="Times New Roman" w:cs="Times New Roman" w:eastAsia="Times New Roman" w:hAnsi="Times New Roman"/>
          <w:b w:val="false"/>
          <w:bCs w:val="false"/>
          <w:i/>
          <w:iCs/>
          <w:sz w:val="20"/>
          <w:szCs w:val="20"/>
        </w:rPr>
        <w:t xml:space="preserve">Page numbers refer to the submitted manuscript file (Amniocentesis_BMCMedGenomics_Manuscript.docx), which carries continuous line and page numbering. Please re-check the page references against the final PDF generated at submission before uploading.</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STROBE checklist</dc:title>
  <dc:creator>Çağrı Doğan</dc:creator>
  <cp:lastModifiedBy>Un-named</cp:lastModifiedBy>
  <cp:revision>1</cp:revision>
  <dcterms:created xsi:type="dcterms:W3CDTF">2026-07-29T11:57:55.101Z</dcterms:created>
  <dcterms:modified xsi:type="dcterms:W3CDTF">2026-07-29T11:57:55.101Z</dcterms:modified>
</cp:coreProperties>
</file>

<file path=docProps/custom.xml><?xml version="1.0" encoding="utf-8"?>
<Properties xmlns="http://schemas.openxmlformats.org/officeDocument/2006/custom-properties" xmlns:vt="http://schemas.openxmlformats.org/officeDocument/2006/docPropsVTypes"/>
</file>