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color w:val="2F5597"/>
          <w:sz w:val="36"/>
        </w:rPr>
        <w:t>Manuscript Appendix</w:t>
      </w:r>
    </w:p>
    <w:p>
      <w:pPr>
        <w:spacing w:after="160"/>
        <w:jc w:val="center"/>
      </w:pPr>
      <w:r>
        <w:rPr>
          <w:rFonts w:ascii="Times New Roman" w:hAnsi="Times New Roman"/>
          <w:i/>
          <w:sz w:val="22"/>
        </w:rPr>
        <w:t>Supporting sensitivity, diagnostics, sample accounting, and design documentation</w:t>
      </w:r>
    </w:p>
    <w:p>
      <w:pPr>
        <w:pStyle w:val="AppendixBody"/>
      </w:pPr>
      <w:r>
        <w:t>This appendix contains the compact material needed to interpret and reproduce the main-text results. It documents component coverage and published zeros, endpoint sensitivity, alternative proxy-space and persistence checks, income-estimation sensitivity, residual diagnostics, sample exclusions, and the exact common-share proxy sets and transformations. Complete country-level outputs, null-benchmark replications, full PCA decompositions, frequency extensions, alternative market-zero designs, pairwise tests, MMQR results, logs, and replication code are supplied in the Online Resource and replication archive.</w:t>
      </w:r>
    </w:p>
    <w:p>
      <w:pPr>
        <w:pStyle w:val="AppendixHeading"/>
        <w:keepNext/>
      </w:pPr>
      <w:r>
        <w:rPr>
          <w:rFonts w:ascii="Times New Roman" w:hAnsi="Times New Roman"/>
          <w:b/>
          <w:color w:val="2F5597"/>
          <w:sz w:val="26"/>
        </w:rPr>
        <w:t>Appendix A1. Component coverage and treatment of published zeros</w:t>
      </w:r>
    </w:p>
    <w:p>
      <w:pPr>
        <w:pStyle w:val="AppendixBody"/>
      </w:pPr>
      <w:r>
        <w:t>The IMF release contains numeric values for all 3,976 country-years per component over 1993–2020, but some released zeros may encode absent or unmeasured market activity. The conservative design retains isolated published zeros within otherwise usable histories and excludes only country series that are zero in every official year for FMA or FME.</w:t>
      </w:r>
    </w:p>
    <w:tbl>
      <w:tblPr>
        <w:tblStyle w:val="TableGrid"/>
        <w:tblW w:type="auto" w:w="0"/>
        <w:jc w:val="center"/>
        <w:tblLayout w:type="fixed"/>
        <w:tblLook w:firstColumn="1" w:firstRow="1" w:lastColumn="0" w:lastRow="0" w:noHBand="0" w:noVBand="1" w:val="04A0"/>
      </w:tblPr>
      <w:tblGrid>
        <w:gridCol w:w="1782"/>
        <w:gridCol w:w="1782"/>
        <w:gridCol w:w="1782"/>
        <w:gridCol w:w="1782"/>
        <w:gridCol w:w="1782"/>
        <w:gridCol w:w="1782"/>
        <w:gridCol w:w="1782"/>
        <w:gridCol w:w="1782"/>
      </w:tblGrid>
      <w:tr>
        <w:trPr>
          <w:cantSplit/>
          <w:tblHeader w:val="true"/>
        </w:trPr>
        <w:tc>
          <w:tcPr>
            <w:tcW w:type="dxa" w:w="86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Component</w:t>
            </w:r>
          </w:p>
        </w:tc>
        <w:tc>
          <w:tcPr>
            <w:tcW w:type="dxa" w:w="3312"/>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Description</w:t>
            </w:r>
          </w:p>
        </w:tc>
        <w:tc>
          <w:tcPr>
            <w:tcW w:type="dxa" w:w="165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Official observations</w:t>
            </w:r>
          </w:p>
        </w:tc>
        <w:tc>
          <w:tcPr>
            <w:tcW w:type="dxa" w:w="1512"/>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Zero observations</w:t>
            </w:r>
          </w:p>
        </w:tc>
        <w:tc>
          <w:tcPr>
            <w:tcW w:type="dxa" w:w="1800"/>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Countries with any zero</w:t>
            </w:r>
          </w:p>
        </w:tc>
        <w:tc>
          <w:tcPr>
            <w:tcW w:type="dxa" w:w="1800"/>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Entirely zero countries</w:t>
            </w:r>
          </w:p>
        </w:tc>
        <w:tc>
          <w:tcPr>
            <w:tcW w:type="dxa" w:w="136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Usable countries</w:t>
            </w:r>
          </w:p>
        </w:tc>
        <w:tc>
          <w:tcPr>
            <w:tcW w:type="dxa" w:w="172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2021–2023 carry-forward</w:t>
            </w:r>
          </w:p>
        </w:tc>
      </w:tr>
      <w:tr>
        <w:trPr>
          <w:cantSplit/>
        </w:trPr>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FID</w:t>
            </w:r>
          </w:p>
        </w:tc>
        <w:tc>
          <w:tcPr>
            <w:tcW w:type="dxa" w:w="331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Financial Institutions Depth</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3,976</w:t>
            </w:r>
          </w:p>
        </w:tc>
        <w:tc>
          <w:tcPr>
            <w:tcW w:type="dxa" w:w="151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5</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172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426</w:t>
            </w:r>
          </w:p>
        </w:tc>
      </w:tr>
      <w:tr>
        <w:trPr>
          <w:cantSplit/>
        </w:trPr>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FIA</w:t>
            </w:r>
          </w:p>
        </w:tc>
        <w:tc>
          <w:tcPr>
            <w:tcW w:type="dxa" w:w="331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Financial Institutions Access</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3,976</w:t>
            </w:r>
          </w:p>
        </w:tc>
        <w:tc>
          <w:tcPr>
            <w:tcW w:type="dxa" w:w="151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5</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172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426</w:t>
            </w:r>
          </w:p>
        </w:tc>
      </w:tr>
      <w:tr>
        <w:trPr>
          <w:cantSplit/>
        </w:trPr>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FIE</w:t>
            </w:r>
          </w:p>
        </w:tc>
        <w:tc>
          <w:tcPr>
            <w:tcW w:type="dxa" w:w="331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Financial Institutions Efficiency</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3,976</w:t>
            </w:r>
          </w:p>
        </w:tc>
        <w:tc>
          <w:tcPr>
            <w:tcW w:type="dxa" w:w="151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5</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172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426</w:t>
            </w:r>
          </w:p>
        </w:tc>
      </w:tr>
      <w:tr>
        <w:trPr>
          <w:cantSplit/>
        </w:trPr>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FMD</w:t>
            </w:r>
          </w:p>
        </w:tc>
        <w:tc>
          <w:tcPr>
            <w:tcW w:type="dxa" w:w="331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Financial Markets Depth</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3,976</w:t>
            </w:r>
          </w:p>
        </w:tc>
        <w:tc>
          <w:tcPr>
            <w:tcW w:type="dxa" w:w="151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38</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172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426</w:t>
            </w:r>
          </w:p>
        </w:tc>
      </w:tr>
      <w:tr>
        <w:trPr>
          <w:cantSplit/>
        </w:trPr>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FMA</w:t>
            </w:r>
          </w:p>
        </w:tc>
        <w:tc>
          <w:tcPr>
            <w:tcW w:type="dxa" w:w="331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Financial Markets Access</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3,976</w:t>
            </w:r>
          </w:p>
        </w:tc>
        <w:tc>
          <w:tcPr>
            <w:tcW w:type="dxa" w:w="151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985</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38</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35</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107</w:t>
            </w:r>
          </w:p>
        </w:tc>
        <w:tc>
          <w:tcPr>
            <w:tcW w:type="dxa" w:w="172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426</w:t>
            </w:r>
          </w:p>
        </w:tc>
      </w:tr>
      <w:tr>
        <w:trPr>
          <w:cantSplit/>
        </w:trPr>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FME</w:t>
            </w:r>
          </w:p>
        </w:tc>
        <w:tc>
          <w:tcPr>
            <w:tcW w:type="dxa" w:w="331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Financial Markets Efficiency</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3,976</w:t>
            </w:r>
          </w:p>
        </w:tc>
        <w:tc>
          <w:tcPr>
            <w:tcW w:type="dxa" w:w="151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1,608</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60</w:t>
            </w:r>
          </w:p>
        </w:tc>
        <w:tc>
          <w:tcPr>
            <w:tcW w:type="dxa" w:w="1800"/>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57</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85</w:t>
            </w:r>
          </w:p>
        </w:tc>
        <w:tc>
          <w:tcPr>
            <w:tcW w:type="dxa" w:w="172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426</w:t>
            </w:r>
          </w:p>
        </w:tc>
      </w:tr>
    </w:tbl>
    <w:p>
      <w:pPr>
        <w:spacing w:before="40" w:after="100" w:line="240" w:lineRule="auto"/>
      </w:pPr>
      <w:r>
        <w:rPr>
          <w:rFonts w:ascii="Times New Roman" w:hAnsi="Times New Roman"/>
          <w:b/>
          <w:sz w:val="17"/>
        </w:rPr>
        <w:t xml:space="preserve">Notes. </w:t>
      </w:r>
      <w:r>
        <w:rPr>
          <w:rFonts w:ascii="Times New Roman" w:hAnsi="Times New Roman"/>
          <w:sz w:val="17"/>
        </w:rPr>
        <w:t>“Entirely zero” means zero in every year from 1993 through 2020. The 35 all-zero FMA histories and 57 all-zero FME histories are treated as unavailable in the conservative design because no within-country anchor exists. No interpolation is applied to those histories. The common 83-economy market sample produces 83 successful FMD regressions and 82 successful FMA and FME regressions. The carry-forward count equals 142 economies multiplied by three years and refers only to level alignment for 2021–2023; it is not an IMF update and creates no new variation.</w:t>
      </w:r>
    </w:p>
    <w:p>
      <w:r>
        <w:br w:type="page"/>
      </w:r>
    </w:p>
    <w:p>
      <w:pPr>
        <w:pStyle w:val="AppendixHeading"/>
        <w:keepNext/>
      </w:pPr>
      <w:r>
        <w:rPr>
          <w:rFonts w:ascii="Times New Roman" w:hAnsi="Times New Roman"/>
          <w:b/>
          <w:color w:val="2F5597"/>
          <w:sz w:val="26"/>
        </w:rPr>
        <w:t>Appendix A2. Endpoint sensitivity of target-excluded common shares</w:t>
      </w:r>
    </w:p>
    <w:p>
      <w:pPr>
        <w:pStyle w:val="AppendixBody"/>
      </w:pPr>
      <w:r>
        <w:t>This table compares the level common-proxy explanatory shares over the aligned 1993–2023 panel with estimates ending at the official component endpoint in 2020. Standard errors are based on cross-country dispersion in the country-level coefficients of determination.</w:t>
      </w:r>
    </w:p>
    <w:tbl>
      <w:tblPr>
        <w:tblStyle w:val="TableGrid"/>
        <w:tblW w:type="auto" w:w="0"/>
        <w:jc w:val="center"/>
        <w:tblLayout w:type="fixed"/>
        <w:tblLook w:firstColumn="1" w:firstRow="1" w:lastColumn="0" w:lastRow="0" w:noHBand="0" w:noVBand="1" w:val="04A0"/>
      </w:tblPr>
      <w:tblGrid>
        <w:gridCol w:w="2376"/>
        <w:gridCol w:w="2376"/>
        <w:gridCol w:w="2376"/>
        <w:gridCol w:w="2376"/>
        <w:gridCol w:w="2376"/>
        <w:gridCol w:w="2376"/>
      </w:tblGrid>
      <w:tr>
        <w:trPr>
          <w:cantSplit/>
          <w:tblHeader w:val="true"/>
        </w:trPr>
        <w:tc>
          <w:tcPr>
            <w:tcW w:type="dxa" w:w="244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Target</w:t>
            </w:r>
          </w:p>
        </w:tc>
        <w:tc>
          <w:tcPr>
            <w:tcW w:type="dxa" w:w="792"/>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N</w:t>
            </w:r>
          </w:p>
        </w:tc>
        <w:tc>
          <w:tcPr>
            <w:tcW w:type="dxa" w:w="244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1993–2023 mean R² (SE)</w:t>
            </w:r>
          </w:p>
        </w:tc>
        <w:tc>
          <w:tcPr>
            <w:tcW w:type="dxa" w:w="792"/>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N</w:t>
            </w:r>
          </w:p>
        </w:tc>
        <w:tc>
          <w:tcPr>
            <w:tcW w:type="dxa" w:w="244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1993–2020 mean R² (SE)</w:t>
            </w:r>
          </w:p>
        </w:tc>
        <w:tc>
          <w:tcPr>
            <w:tcW w:type="dxa" w:w="129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Difference</w:t>
            </w:r>
          </w:p>
        </w:tc>
      </w:tr>
      <w:tr>
        <w:trPr>
          <w:cantSplit/>
        </w:trPr>
        <w:tc>
          <w:tcPr>
            <w:tcW w:type="dxa" w:w="1296"/>
            <w:gridSpan w:val="6"/>
            <w:vAlign w:val="center"/>
            <w:tcMar>
              <w:top w:w="45" w:type="dxa"/>
              <w:start w:w="55" w:type="dxa"/>
              <w:bottom w:w="45" w:type="dxa"/>
              <w:end w:w="55" w:type="dxa"/>
            </w:tcMar>
            <w:shd w:fill="E7E6E6"/>
          </w:tcPr>
          <w:p>
            <w:pPr>
              <w:spacing w:before="0" w:after="0" w:line="240" w:lineRule="auto"/>
              <w:jc w:val="center"/>
            </w:pPr>
            <w:r>
              <w:rPr>
                <w:rFonts w:ascii="Times New Roman" w:hAnsi="Times New Roman"/>
                <w:b/>
                <w:sz w:val="16"/>
              </w:rPr>
              <w:t>Panel A. Parent indices and comparators</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FD</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0.823 (0.012)</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0.827 (0.012)</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−0.004</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0.846 (0.011)</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0.846 (0.011)</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−0.000</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FM</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0.753 (0.015)</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0.756 (0.015)</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−0.002</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Energy use</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0.826 (0.013)</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0.817 (0.014)</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0.010</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CO₂ per capita</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0.843 (0.013)</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0.829 (0.013)</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0.015</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Ecological footprint</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0.719 (0.018)</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0.728 (0.017)</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−0.008</w:t>
            </w:r>
          </w:p>
        </w:tc>
      </w:tr>
      <w:tr>
        <w:trPr>
          <w:cantSplit/>
        </w:trPr>
        <w:tc>
          <w:tcPr>
            <w:tcW w:type="dxa" w:w="1296"/>
            <w:gridSpan w:val="6"/>
            <w:vAlign w:val="center"/>
            <w:tcMar>
              <w:top w:w="45" w:type="dxa"/>
              <w:start w:w="55" w:type="dxa"/>
              <w:bottom w:w="45" w:type="dxa"/>
              <w:end w:w="55" w:type="dxa"/>
            </w:tcMar>
            <w:shd w:fill="E7E6E6"/>
          </w:tcPr>
          <w:p>
            <w:pPr>
              <w:spacing w:before="0" w:after="0" w:line="240" w:lineRule="auto"/>
              <w:jc w:val="center"/>
            </w:pPr>
            <w:r>
              <w:rPr>
                <w:rFonts w:ascii="Times New Roman" w:hAnsi="Times New Roman"/>
                <w:b/>
                <w:sz w:val="16"/>
              </w:rPr>
              <w:t>Panel B. Financial-institution components and comparators</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FIA</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0.884 (0.009)</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0.881 (0.010)</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0.003</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FID</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0.852 (0.011)</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0.852 (0.010)</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−0.000</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FIE</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0.592 (0.015)</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0.601 (0.015)</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−0.009</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Energy use</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0.818 (0.013)</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0.812 (0.013)</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0.006</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CO₂ per capita</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0.830 (0.014)</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0.821 (0.014)</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0.009</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Ecological footprint</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0.728 (0.017)</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0.732 (0.017)</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−0.004</w:t>
            </w:r>
          </w:p>
        </w:tc>
      </w:tr>
      <w:tr>
        <w:trPr>
          <w:cantSplit/>
        </w:trPr>
        <w:tc>
          <w:tcPr>
            <w:tcW w:type="dxa" w:w="1296"/>
            <w:gridSpan w:val="6"/>
            <w:vAlign w:val="center"/>
            <w:tcMar>
              <w:top w:w="45" w:type="dxa"/>
              <w:start w:w="55" w:type="dxa"/>
              <w:bottom w:w="45" w:type="dxa"/>
              <w:end w:w="55" w:type="dxa"/>
            </w:tcMar>
            <w:shd w:fill="E7E6E6"/>
          </w:tcPr>
          <w:p>
            <w:pPr>
              <w:spacing w:before="0" w:after="0" w:line="240" w:lineRule="auto"/>
              <w:jc w:val="center"/>
            </w:pPr>
            <w:r>
              <w:rPr>
                <w:rFonts w:ascii="Times New Roman" w:hAnsi="Times New Roman"/>
                <w:b/>
                <w:sz w:val="16"/>
              </w:rPr>
              <w:t>Panel C. Common 83-economy market sample</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FMD</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83</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0.836 (0.013)</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83</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0.829 (0.014)</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0.007</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FMA</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82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0.701 (0.023)</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0.687 (0.023)</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0.014</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FME</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82</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0.666 (0.021)</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82</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0.658 (0.022)</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0.008</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Energy use</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83</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0.825 (0.019)</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83</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0.809 (0.020)</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0.016</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CO₂ per capita</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83</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0.863 (0.015)</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83</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0.858 (0.014)</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0.005</w:t>
            </w:r>
          </w:p>
        </w:tc>
      </w:tr>
      <w:tr>
        <w:trPr>
          <w:cantSplit/>
        </w:trPr>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Ecological footprint</w:t>
            </w:r>
          </w:p>
        </w:tc>
        <w:tc>
          <w:tcPr>
            <w:tcW w:type="dxa" w:w="79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83</w:t>
            </w:r>
          </w:p>
        </w:tc>
        <w:tc>
          <w:tcPr>
            <w:tcW w:type="dxa" w:w="244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0.720 (0.023)</w:t>
            </w:r>
          </w:p>
        </w:tc>
        <w:tc>
          <w:tcPr>
            <w:tcW w:type="dxa" w:w="79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83</w:t>
            </w:r>
          </w:p>
        </w:tc>
        <w:tc>
          <w:tcPr>
            <w:tcW w:type="dxa" w:w="2448"/>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0.724 (0.023)</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−0.004</w:t>
            </w:r>
          </w:p>
        </w:tc>
      </w:tr>
    </w:tbl>
    <w:p>
      <w:pPr>
        <w:spacing w:before="40" w:after="100" w:line="240" w:lineRule="auto"/>
      </w:pPr>
      <w:r>
        <w:t>Notes. Difference equals the 1993–2023 estimate minus the 1993–2020 estimate. The largest absolute change is 0.016, or approximately 1.6 percentage points. The component ordering and overlap with physical comparators are unchanged. Endpoint stability does not establish that the absolute level R² is exceptional relative to persistence and drift.</w:t>
      </w:r>
    </w:p>
    <w:p>
      <w:r>
        <w:br w:type="page"/>
      </w:r>
    </w:p>
    <w:p>
      <w:pPr>
        <w:pStyle w:val="AppendixHeading"/>
        <w:keepNext/>
      </w:pPr>
      <w:r>
        <w:rPr>
          <w:rFonts w:ascii="Times New Roman" w:hAnsi="Times New Roman"/>
          <w:b/>
          <w:color w:val="2F5597"/>
          <w:sz w:val="26"/>
        </w:rPr>
        <w:t>Appendix A3. Alternative proxy-space checks</w:t>
      </w:r>
    </w:p>
    <w:p>
      <w:pPr>
        <w:pStyle w:val="AppendixBody"/>
      </w:pPr>
      <w:r>
        <w:t>Three safeguards address different sources of level fit. The target-excluded design removes the target’s own cross-sectional average. The parent-index-excluded design additionally removes FI and FM when FD is the target. The symmetric leave-both-out design excludes FD, energy, FI, and FM from both information sets and uses the same external averages of income, de jure openness, the ecological footprint, and CO₂. A high-persistence, drift-calibrated null benchmark then reapplies the complete estimator to 500 independent panels for each ρ = 0.90, 0.95, 0.97, and 0.99. The grid is a deliberately demanding comparison: the detrended empirical AR estimates are typically lower.</w:t>
      </w:r>
    </w:p>
    <w:p>
      <w:pPr>
        <w:pStyle w:val="AppendixSubheading"/>
      </w:pPr>
      <w:r>
        <w:t>Table A3a. FD level designs and baseline high-persistence null benchmark</w:t>
      </w:r>
    </w:p>
    <w:tbl>
      <w:tblPr>
        <w:tblStyle w:val="TableGrid"/>
        <w:tblW w:type="auto" w:w="0"/>
        <w:jc w:val="center"/>
        <w:tblLayout w:type="fixed"/>
        <w:tblLook w:firstColumn="1" w:firstRow="1" w:lastColumn="0" w:lastRow="0" w:noHBand="0" w:noVBand="1" w:val="04A0"/>
      </w:tblPr>
      <w:tblGrid>
        <w:gridCol w:w="2376"/>
        <w:gridCol w:w="2376"/>
        <w:gridCol w:w="2376"/>
        <w:gridCol w:w="2376"/>
        <w:gridCol w:w="2376"/>
        <w:gridCol w:w="2376"/>
      </w:tblGrid>
      <w:tr>
        <w:trPr>
          <w:tblHeader w:val="true"/>
          <w:tblHeader w:val="true"/>
        </w:trPr>
        <w:tc>
          <w:tcPr>
            <w:tcW w:type="dxa" w:w="2376"/>
            <w:vAlign w:val="center"/>
            <w:shd w:fill="D9EAF7"/>
          </w:tcPr>
          <w:p>
            <w:pPr>
              <w:jc w:val="center"/>
            </w:pPr>
            <w:r>
              <w:rPr>
                <w:b/>
                <w:sz w:val="16"/>
              </w:rPr>
              <w:t>FD design</w:t>
            </w:r>
          </w:p>
        </w:tc>
        <w:tc>
          <w:tcPr>
            <w:tcW w:type="dxa" w:w="2376"/>
            <w:vAlign w:val="center"/>
            <w:shd w:fill="D9EAF7"/>
          </w:tcPr>
          <w:p>
            <w:pPr>
              <w:jc w:val="center"/>
            </w:pPr>
            <w:r>
              <w:rPr>
                <w:b/>
                <w:sz w:val="16"/>
              </w:rPr>
              <w:t>Empirical mean R²</w:t>
            </w:r>
          </w:p>
        </w:tc>
        <w:tc>
          <w:tcPr>
            <w:tcW w:type="dxa" w:w="2376"/>
            <w:vAlign w:val="center"/>
            <w:shd w:fill="D9EAF7"/>
          </w:tcPr>
          <w:p>
            <w:pPr>
              <w:jc w:val="center"/>
            </w:pPr>
            <w:r>
              <w:rPr>
                <w:b/>
                <w:sz w:val="16"/>
              </w:rPr>
              <w:t>Adjusted R²</w:t>
            </w:r>
          </w:p>
        </w:tc>
        <w:tc>
          <w:tcPr>
            <w:tcW w:type="dxa" w:w="2376"/>
            <w:vAlign w:val="center"/>
            <w:shd w:fill="D9EAF7"/>
          </w:tcPr>
          <w:p>
            <w:pPr>
              <w:jc w:val="center"/>
            </w:pPr>
            <w:r>
              <w:rPr>
                <w:b/>
                <w:sz w:val="16"/>
              </w:rPr>
              <w:t>Null p5</w:t>
            </w:r>
          </w:p>
        </w:tc>
        <w:tc>
          <w:tcPr>
            <w:tcW w:type="dxa" w:w="2376"/>
            <w:vAlign w:val="center"/>
            <w:shd w:fill="D9EAF7"/>
          </w:tcPr>
          <w:p>
            <w:pPr>
              <w:jc w:val="center"/>
            </w:pPr>
            <w:r>
              <w:rPr>
                <w:b/>
                <w:sz w:val="16"/>
              </w:rPr>
              <w:t>Null median</w:t>
            </w:r>
          </w:p>
        </w:tc>
        <w:tc>
          <w:tcPr>
            <w:tcW w:type="dxa" w:w="2376"/>
            <w:vAlign w:val="center"/>
            <w:shd w:fill="D9EAF7"/>
          </w:tcPr>
          <w:p>
            <w:pPr>
              <w:jc w:val="center"/>
            </w:pPr>
            <w:r>
              <w:rPr>
                <w:b/>
                <w:sz w:val="16"/>
              </w:rPr>
              <w:t>Null p95</w:t>
            </w:r>
          </w:p>
        </w:tc>
      </w:tr>
      <w:tr>
        <w:tc>
          <w:tcPr>
            <w:tcW w:type="dxa" w:w="2376"/>
            <w:vAlign w:val="center"/>
          </w:tcPr>
          <w:p>
            <w:pPr>
              <w:jc w:val="left"/>
            </w:pPr>
            <w:r>
              <w:rPr>
                <w:b w:val="0"/>
                <w:sz w:val="16"/>
              </w:rPr>
              <w:t>Target-excluded</w:t>
            </w:r>
          </w:p>
        </w:tc>
        <w:tc>
          <w:tcPr>
            <w:tcW w:type="dxa" w:w="2376"/>
            <w:vAlign w:val="center"/>
          </w:tcPr>
          <w:p>
            <w:pPr>
              <w:jc w:val="center"/>
            </w:pPr>
            <w:r>
              <w:rPr>
                <w:b w:val="0"/>
                <w:sz w:val="16"/>
              </w:rPr>
              <w:t>0.823</w:t>
            </w:r>
          </w:p>
        </w:tc>
        <w:tc>
          <w:tcPr>
            <w:tcW w:type="dxa" w:w="2376"/>
            <w:vAlign w:val="center"/>
          </w:tcPr>
          <w:p>
            <w:pPr>
              <w:jc w:val="center"/>
            </w:pPr>
            <w:r>
              <w:rPr>
                <w:b w:val="0"/>
                <w:sz w:val="16"/>
              </w:rPr>
              <w:t>0.769</w:t>
            </w:r>
          </w:p>
        </w:tc>
        <w:tc>
          <w:tcPr>
            <w:tcW w:type="dxa" w:w="2376"/>
            <w:vAlign w:val="center"/>
          </w:tcPr>
          <w:p>
            <w:pPr>
              <w:jc w:val="center"/>
            </w:pPr>
            <w:r>
              <w:rPr>
                <w:b w:val="0"/>
                <w:sz w:val="16"/>
              </w:rPr>
              <w:t>0.885</w:t>
            </w:r>
          </w:p>
        </w:tc>
        <w:tc>
          <w:tcPr>
            <w:tcW w:type="dxa" w:w="2376"/>
            <w:vAlign w:val="center"/>
          </w:tcPr>
          <w:p>
            <w:pPr>
              <w:jc w:val="center"/>
            </w:pPr>
            <w:r>
              <w:rPr>
                <w:b w:val="0"/>
                <w:sz w:val="16"/>
              </w:rPr>
              <w:t>0.911</w:t>
            </w:r>
          </w:p>
        </w:tc>
        <w:tc>
          <w:tcPr>
            <w:tcW w:type="dxa" w:w="2376"/>
            <w:vAlign w:val="center"/>
          </w:tcPr>
          <w:p>
            <w:pPr>
              <w:jc w:val="center"/>
            </w:pPr>
            <w:r>
              <w:rPr>
                <w:b w:val="0"/>
                <w:sz w:val="16"/>
              </w:rPr>
              <w:t>0.932</w:t>
            </w:r>
          </w:p>
        </w:tc>
      </w:tr>
      <w:tr>
        <w:tc>
          <w:tcPr>
            <w:tcW w:type="dxa" w:w="2376"/>
            <w:vAlign w:val="center"/>
          </w:tcPr>
          <w:p>
            <w:pPr>
              <w:jc w:val="left"/>
            </w:pPr>
            <w:r>
              <w:rPr>
                <w:b w:val="0"/>
                <w:sz w:val="16"/>
              </w:rPr>
              <w:t>Parent-index-excluded</w:t>
            </w:r>
          </w:p>
        </w:tc>
        <w:tc>
          <w:tcPr>
            <w:tcW w:type="dxa" w:w="2376"/>
            <w:vAlign w:val="center"/>
          </w:tcPr>
          <w:p>
            <w:pPr>
              <w:jc w:val="center"/>
            </w:pPr>
            <w:r>
              <w:rPr>
                <w:b w:val="0"/>
                <w:sz w:val="16"/>
              </w:rPr>
              <w:t>0.749</w:t>
            </w:r>
          </w:p>
        </w:tc>
        <w:tc>
          <w:tcPr>
            <w:tcW w:type="dxa" w:w="2376"/>
            <w:vAlign w:val="center"/>
          </w:tcPr>
          <w:p>
            <w:pPr>
              <w:jc w:val="center"/>
            </w:pPr>
            <w:r>
              <w:rPr>
                <w:b w:val="0"/>
                <w:sz w:val="16"/>
              </w:rPr>
              <w:t>0.698</w:t>
            </w:r>
          </w:p>
        </w:tc>
        <w:tc>
          <w:tcPr>
            <w:tcW w:type="dxa" w:w="2376"/>
            <w:vAlign w:val="center"/>
          </w:tcPr>
          <w:p>
            <w:pPr>
              <w:jc w:val="center"/>
            </w:pPr>
            <w:r>
              <w:rPr>
                <w:b w:val="0"/>
                <w:sz w:val="16"/>
              </w:rPr>
              <w:t>0.857</w:t>
            </w:r>
          </w:p>
        </w:tc>
        <w:tc>
          <w:tcPr>
            <w:tcW w:type="dxa" w:w="2376"/>
            <w:vAlign w:val="center"/>
          </w:tcPr>
          <w:p>
            <w:pPr>
              <w:jc w:val="center"/>
            </w:pPr>
            <w:r>
              <w:rPr>
                <w:b w:val="0"/>
                <w:sz w:val="16"/>
              </w:rPr>
              <w:t>0.887</w:t>
            </w:r>
          </w:p>
        </w:tc>
        <w:tc>
          <w:tcPr>
            <w:tcW w:type="dxa" w:w="2376"/>
            <w:vAlign w:val="center"/>
          </w:tcPr>
          <w:p>
            <w:pPr>
              <w:jc w:val="center"/>
            </w:pPr>
            <w:r>
              <w:rPr>
                <w:b w:val="0"/>
                <w:sz w:val="16"/>
              </w:rPr>
              <w:t>0.914</w:t>
            </w:r>
          </w:p>
        </w:tc>
      </w:tr>
      <w:tr>
        <w:tc>
          <w:tcPr>
            <w:tcW w:type="dxa" w:w="2376"/>
            <w:vAlign w:val="center"/>
          </w:tcPr>
          <w:p>
            <w:pPr>
              <w:jc w:val="left"/>
            </w:pPr>
            <w:r>
              <w:rPr>
                <w:b w:val="0"/>
                <w:sz w:val="16"/>
              </w:rPr>
              <w:t>Symmetric leave-both-out</w:t>
            </w:r>
          </w:p>
        </w:tc>
        <w:tc>
          <w:tcPr>
            <w:tcW w:type="dxa" w:w="2376"/>
            <w:vAlign w:val="center"/>
          </w:tcPr>
          <w:p>
            <w:pPr>
              <w:jc w:val="center"/>
            </w:pPr>
            <w:r>
              <w:rPr>
                <w:b w:val="0"/>
                <w:sz w:val="16"/>
              </w:rPr>
              <w:t>0.726</w:t>
            </w:r>
          </w:p>
        </w:tc>
        <w:tc>
          <w:tcPr>
            <w:tcW w:type="dxa" w:w="2376"/>
            <w:vAlign w:val="center"/>
          </w:tcPr>
          <w:p>
            <w:pPr>
              <w:jc w:val="center"/>
            </w:pPr>
            <w:r>
              <w:rPr>
                <w:b w:val="0"/>
                <w:sz w:val="16"/>
              </w:rPr>
              <w:t>0.684</w:t>
            </w:r>
          </w:p>
        </w:tc>
        <w:tc>
          <w:tcPr>
            <w:tcW w:type="dxa" w:w="2376"/>
            <w:vAlign w:val="center"/>
          </w:tcPr>
          <w:p>
            <w:pPr>
              <w:jc w:val="center"/>
            </w:pPr>
            <w:r>
              <w:rPr>
                <w:b w:val="0"/>
                <w:sz w:val="16"/>
              </w:rPr>
              <w:t>0.837</w:t>
            </w:r>
          </w:p>
        </w:tc>
        <w:tc>
          <w:tcPr>
            <w:tcW w:type="dxa" w:w="2376"/>
            <w:vAlign w:val="center"/>
          </w:tcPr>
          <w:p>
            <w:pPr>
              <w:jc w:val="center"/>
            </w:pPr>
            <w:r>
              <w:rPr>
                <w:b w:val="0"/>
                <w:sz w:val="16"/>
              </w:rPr>
              <w:t>0.871</w:t>
            </w:r>
          </w:p>
        </w:tc>
        <w:tc>
          <w:tcPr>
            <w:tcW w:type="dxa" w:w="2376"/>
            <w:vAlign w:val="center"/>
          </w:tcPr>
          <w:p>
            <w:pPr>
              <w:jc w:val="center"/>
            </w:pPr>
            <w:r>
              <w:rPr>
                <w:b w:val="0"/>
                <w:sz w:val="16"/>
              </w:rPr>
              <w:t>0.903</w:t>
            </w:r>
          </w:p>
        </w:tc>
      </w:tr>
    </w:tbl>
    <w:p>
      <w:pPr>
        <w:spacing w:before="40" w:after="100" w:line="240" w:lineRule="auto"/>
      </w:pPr>
      <w:r>
        <w:t>Notes. Empirical entries are means across 142 country regressions over 1993–2023. The null-benchmark columns report the ρ = 0.97 distribution from 500 independent high-persistence, drift-calibrated replications. All 500 simulated mean R² values exceed the empirical estimate in every design. These are in-sample common-proxy explanatory shares, not structural variance decompositions.</w:t>
      </w:r>
    </w:p>
    <w:p>
      <w:pPr>
        <w:pStyle w:val="AppendixSubheading"/>
      </w:pPr>
      <w:r>
        <w:t>Table A3b. Symmetric FD–energy comparison under an identical external proxy space</w:t>
      </w:r>
    </w:p>
    <w:tbl>
      <w:tblPr>
        <w:tblStyle w:val="TableGrid"/>
        <w:tblW w:type="auto" w:w="0"/>
        <w:jc w:val="center"/>
        <w:tblLook w:firstColumn="1" w:firstRow="1" w:lastColumn="0" w:lastRow="0" w:noHBand="0" w:noVBand="1" w:val="04A0"/>
      </w:tblPr>
      <w:tblGrid>
        <w:gridCol w:w="2376"/>
        <w:gridCol w:w="2376"/>
        <w:gridCol w:w="2376"/>
        <w:gridCol w:w="2376"/>
        <w:gridCol w:w="2376"/>
        <w:gridCol w:w="2376"/>
      </w:tblGrid>
      <w:tr>
        <w:trPr>
          <w:tblHeader w:val="true"/>
        </w:trPr>
        <w:tc>
          <w:tcPr>
            <w:tcW w:type="dxa" w:w="2376"/>
            <w:shd w:fill="D9EAF7"/>
            <w:vAlign w:val="center"/>
          </w:tcPr>
          <w:p>
            <w:pPr>
              <w:jc w:val="center"/>
            </w:pPr>
            <w:r>
              <w:rPr>
                <w:b/>
                <w:sz w:val="16"/>
              </w:rPr>
              <w:t>Target</w:t>
            </w:r>
          </w:p>
        </w:tc>
        <w:tc>
          <w:tcPr>
            <w:tcW w:type="dxa" w:w="2376"/>
            <w:shd w:fill="D9EAF7"/>
            <w:vAlign w:val="center"/>
          </w:tcPr>
          <w:p>
            <w:pPr>
              <w:jc w:val="center"/>
            </w:pPr>
            <w:r>
              <w:rPr>
                <w:b/>
                <w:sz w:val="16"/>
              </w:rPr>
              <w:t>N</w:t>
            </w:r>
          </w:p>
        </w:tc>
        <w:tc>
          <w:tcPr>
            <w:tcW w:type="dxa" w:w="2376"/>
            <w:shd w:fill="D9EAF7"/>
            <w:vAlign w:val="center"/>
          </w:tcPr>
          <w:p>
            <w:pPr>
              <w:jc w:val="center"/>
            </w:pPr>
            <w:r>
              <w:rPr>
                <w:b/>
                <w:sz w:val="16"/>
              </w:rPr>
              <w:t>Mean R²</w:t>
            </w:r>
          </w:p>
        </w:tc>
        <w:tc>
          <w:tcPr>
            <w:tcW w:type="dxa" w:w="2376"/>
            <w:shd w:fill="D9EAF7"/>
            <w:vAlign w:val="center"/>
          </w:tcPr>
          <w:p>
            <w:pPr>
              <w:jc w:val="center"/>
            </w:pPr>
            <w:r>
              <w:rPr>
                <w:b/>
                <w:sz w:val="16"/>
              </w:rPr>
              <w:t>SE</w:t>
            </w:r>
          </w:p>
        </w:tc>
        <w:tc>
          <w:tcPr>
            <w:tcW w:type="dxa" w:w="2376"/>
            <w:shd w:fill="D9EAF7"/>
            <w:vAlign w:val="center"/>
          </w:tcPr>
          <w:p>
            <w:pPr>
              <w:jc w:val="center"/>
            </w:pPr>
            <w:r>
              <w:rPr>
                <w:b/>
                <w:sz w:val="16"/>
              </w:rPr>
              <w:t>Median R²</w:t>
            </w:r>
          </w:p>
        </w:tc>
        <w:tc>
          <w:tcPr>
            <w:tcW w:type="dxa" w:w="2376"/>
            <w:shd w:fill="D9EAF7"/>
            <w:vAlign w:val="center"/>
          </w:tcPr>
          <w:p>
            <w:pPr>
              <w:jc w:val="center"/>
            </w:pPr>
            <w:r>
              <w:rPr>
                <w:b/>
                <w:sz w:val="16"/>
              </w:rPr>
              <w:t>Mean adjusted R²</w:t>
            </w:r>
          </w:p>
        </w:tc>
      </w:tr>
      <w:tr>
        <w:tc>
          <w:tcPr>
            <w:tcW w:type="dxa" w:w="2376"/>
            <w:vAlign w:val="center"/>
          </w:tcPr>
          <w:p>
            <w:pPr>
              <w:jc w:val="left"/>
            </w:pPr>
            <w:r>
              <w:rPr>
                <w:b w:val="0"/>
                <w:sz w:val="16"/>
              </w:rPr>
              <w:t>Financial development</w:t>
            </w:r>
          </w:p>
        </w:tc>
        <w:tc>
          <w:tcPr>
            <w:tcW w:type="dxa" w:w="2376"/>
            <w:vAlign w:val="center"/>
          </w:tcPr>
          <w:p>
            <w:pPr>
              <w:jc w:val="center"/>
            </w:pPr>
            <w:r>
              <w:rPr>
                <w:b w:val="0"/>
                <w:sz w:val="16"/>
              </w:rPr>
              <w:t>142</w:t>
            </w:r>
          </w:p>
        </w:tc>
        <w:tc>
          <w:tcPr>
            <w:tcW w:type="dxa" w:w="2376"/>
            <w:vAlign w:val="center"/>
          </w:tcPr>
          <w:p>
            <w:pPr>
              <w:jc w:val="center"/>
            </w:pPr>
            <w:r>
              <w:rPr>
                <w:b w:val="0"/>
                <w:sz w:val="16"/>
              </w:rPr>
              <w:t>0.726</w:t>
            </w:r>
          </w:p>
        </w:tc>
        <w:tc>
          <w:tcPr>
            <w:tcW w:type="dxa" w:w="2376"/>
            <w:vAlign w:val="center"/>
          </w:tcPr>
          <w:p>
            <w:pPr>
              <w:jc w:val="center"/>
            </w:pPr>
            <w:r>
              <w:rPr>
                <w:b w:val="0"/>
                <w:sz w:val="16"/>
              </w:rPr>
              <w:t>0.017</w:t>
            </w:r>
          </w:p>
        </w:tc>
        <w:tc>
          <w:tcPr>
            <w:tcW w:type="dxa" w:w="2376"/>
            <w:vAlign w:val="center"/>
          </w:tcPr>
          <w:p>
            <w:pPr>
              <w:jc w:val="center"/>
            </w:pPr>
            <w:r>
              <w:rPr>
                <w:b w:val="0"/>
                <w:sz w:val="16"/>
              </w:rPr>
              <w:t>0.796</w:t>
            </w:r>
          </w:p>
        </w:tc>
        <w:tc>
          <w:tcPr>
            <w:tcW w:type="dxa" w:w="2376"/>
            <w:vAlign w:val="center"/>
          </w:tcPr>
          <w:p>
            <w:pPr>
              <w:jc w:val="center"/>
            </w:pPr>
            <w:r>
              <w:rPr>
                <w:b w:val="0"/>
                <w:sz w:val="16"/>
              </w:rPr>
              <w:t>0.684</w:t>
            </w:r>
          </w:p>
        </w:tc>
      </w:tr>
      <w:tr>
        <w:tc>
          <w:tcPr>
            <w:tcW w:type="dxa" w:w="2376"/>
            <w:vAlign w:val="center"/>
          </w:tcPr>
          <w:p>
            <w:pPr>
              <w:jc w:val="left"/>
            </w:pPr>
            <w:r>
              <w:rPr>
                <w:b w:val="0"/>
                <w:sz w:val="16"/>
              </w:rPr>
              <w:t>Energy use</w:t>
            </w:r>
          </w:p>
        </w:tc>
        <w:tc>
          <w:tcPr>
            <w:tcW w:type="dxa" w:w="2376"/>
            <w:vAlign w:val="center"/>
          </w:tcPr>
          <w:p>
            <w:pPr>
              <w:jc w:val="center"/>
            </w:pPr>
            <w:r>
              <w:rPr>
                <w:b w:val="0"/>
                <w:sz w:val="16"/>
              </w:rPr>
              <w:t>142</w:t>
            </w:r>
          </w:p>
        </w:tc>
        <w:tc>
          <w:tcPr>
            <w:tcW w:type="dxa" w:w="2376"/>
            <w:vAlign w:val="center"/>
          </w:tcPr>
          <w:p>
            <w:pPr>
              <w:jc w:val="center"/>
            </w:pPr>
            <w:r>
              <w:rPr>
                <w:b w:val="0"/>
                <w:sz w:val="16"/>
              </w:rPr>
              <w:t>0.750</w:t>
            </w:r>
          </w:p>
        </w:tc>
        <w:tc>
          <w:tcPr>
            <w:tcW w:type="dxa" w:w="2376"/>
            <w:vAlign w:val="center"/>
          </w:tcPr>
          <w:p>
            <w:pPr>
              <w:jc w:val="center"/>
            </w:pPr>
            <w:r>
              <w:rPr>
                <w:b w:val="0"/>
                <w:sz w:val="16"/>
              </w:rPr>
              <w:t>0.017</w:t>
            </w:r>
          </w:p>
        </w:tc>
        <w:tc>
          <w:tcPr>
            <w:tcW w:type="dxa" w:w="2376"/>
            <w:vAlign w:val="center"/>
          </w:tcPr>
          <w:p>
            <w:pPr>
              <w:jc w:val="center"/>
            </w:pPr>
            <w:r>
              <w:rPr>
                <w:b w:val="0"/>
                <w:sz w:val="16"/>
              </w:rPr>
              <w:t>0.824</w:t>
            </w:r>
          </w:p>
        </w:tc>
        <w:tc>
          <w:tcPr>
            <w:tcW w:type="dxa" w:w="2376"/>
            <w:vAlign w:val="center"/>
          </w:tcPr>
          <w:p>
            <w:pPr>
              <w:jc w:val="center"/>
            </w:pPr>
            <w:r>
              <w:rPr>
                <w:b w:val="0"/>
                <w:sz w:val="16"/>
              </w:rPr>
              <w:t>0.711</w:t>
            </w:r>
          </w:p>
        </w:tc>
      </w:tr>
    </w:tbl>
    <w:p>
      <w:pPr/>
      <w:r>
        <w:t>Notes. FD minus energy = −0.023; bootstrap SE = 0.021; 90% CI [−0.059, 0.012]; p(diff.) = 0.274; TOST p = 0.106. A conventional difference is not detected, but equivalence within ±0.05 is not established. At the official 1993–2020 endpoint, mean R² is 0.720 for FD and 0.728 for energy.</w:t>
      </w:r>
    </w:p>
    <w:p>
      <w:pPr>
        <w:pStyle w:val="AppendixSubheading"/>
      </w:pPr>
      <w:r>
        <w:t>Table A3c. High-persistence sensitivity of FD level fit</w:t>
      </w:r>
    </w:p>
    <w:tbl>
      <w:tblPr>
        <w:tblStyle w:val="TableGrid"/>
        <w:tblW w:type="auto" w:w="0"/>
        <w:jc w:val="center"/>
        <w:tblLook w:firstColumn="1" w:firstRow="1" w:lastColumn="0" w:lastRow="0" w:noHBand="0" w:noVBand="1" w:val="04A0"/>
      </w:tblPr>
      <w:tblGrid>
        <w:gridCol w:w="1782"/>
        <w:gridCol w:w="1782"/>
        <w:gridCol w:w="1782"/>
        <w:gridCol w:w="1782"/>
        <w:gridCol w:w="1782"/>
        <w:gridCol w:w="1782"/>
        <w:gridCol w:w="1782"/>
        <w:gridCol w:w="1782"/>
      </w:tblGrid>
      <w:tr>
        <w:trPr>
          <w:tblHeader w:val="true"/>
        </w:trPr>
        <w:tc>
          <w:tcPr>
            <w:tcW w:type="dxa" w:w="1782"/>
            <w:shd w:fill="D9EAF7"/>
            <w:vAlign w:val="center"/>
          </w:tcPr>
          <w:p>
            <w:pPr>
              <w:jc w:val="center"/>
            </w:pPr>
            <w:r>
              <w:rPr>
                <w:b/>
                <w:sz w:val="15"/>
              </w:rPr>
              <w:t>ρ</w:t>
            </w:r>
          </w:p>
        </w:tc>
        <w:tc>
          <w:tcPr>
            <w:tcW w:type="dxa" w:w="1782"/>
            <w:shd w:fill="D9EAF7"/>
            <w:vAlign w:val="center"/>
          </w:tcPr>
          <w:p>
            <w:pPr>
              <w:jc w:val="center"/>
            </w:pPr>
            <w:r>
              <w:rPr>
                <w:b/>
                <w:sz w:val="15"/>
              </w:rPr>
              <w:t>Design</w:t>
            </w:r>
          </w:p>
        </w:tc>
        <w:tc>
          <w:tcPr>
            <w:tcW w:type="dxa" w:w="1782"/>
            <w:shd w:fill="D9EAF7"/>
            <w:vAlign w:val="center"/>
          </w:tcPr>
          <w:p>
            <w:pPr>
              <w:jc w:val="center"/>
            </w:pPr>
            <w:r>
              <w:rPr>
                <w:b/>
                <w:sz w:val="15"/>
              </w:rPr>
              <w:t>Empirical R²</w:t>
            </w:r>
          </w:p>
        </w:tc>
        <w:tc>
          <w:tcPr>
            <w:tcW w:type="dxa" w:w="1782"/>
            <w:shd w:fill="D9EAF7"/>
            <w:vAlign w:val="center"/>
          </w:tcPr>
          <w:p>
            <w:pPr>
              <w:jc w:val="center"/>
            </w:pPr>
            <w:r>
              <w:rPr>
                <w:b/>
                <w:sz w:val="15"/>
              </w:rPr>
              <w:t>Null p5</w:t>
            </w:r>
          </w:p>
        </w:tc>
        <w:tc>
          <w:tcPr>
            <w:tcW w:type="dxa" w:w="1782"/>
            <w:shd w:fill="D9EAF7"/>
            <w:vAlign w:val="center"/>
          </w:tcPr>
          <w:p>
            <w:pPr>
              <w:jc w:val="center"/>
            </w:pPr>
            <w:r>
              <w:rPr>
                <w:b/>
                <w:sz w:val="15"/>
              </w:rPr>
              <w:t>Null median</w:t>
            </w:r>
          </w:p>
        </w:tc>
        <w:tc>
          <w:tcPr>
            <w:tcW w:type="dxa" w:w="1782"/>
            <w:shd w:fill="D9EAF7"/>
            <w:vAlign w:val="center"/>
          </w:tcPr>
          <w:p>
            <w:pPr>
              <w:jc w:val="center"/>
            </w:pPr>
            <w:r>
              <w:rPr>
                <w:b/>
                <w:sz w:val="15"/>
              </w:rPr>
              <w:t>Null p95</w:t>
            </w:r>
          </w:p>
        </w:tc>
        <w:tc>
          <w:tcPr>
            <w:tcW w:type="dxa" w:w="1782"/>
            <w:shd w:fill="D9EAF7"/>
            <w:vAlign w:val="center"/>
          </w:tcPr>
          <w:p>
            <w:pPr>
              <w:jc w:val="center"/>
            </w:pPr>
            <w:r>
              <w:rPr>
                <w:b/>
                <w:sz w:val="15"/>
              </w:rPr>
              <w:t>Below empirical</w:t>
            </w:r>
          </w:p>
        </w:tc>
        <w:tc>
          <w:tcPr>
            <w:tcW w:type="dxa" w:w="1782"/>
            <w:shd w:fill="D9EAF7"/>
            <w:vAlign w:val="center"/>
          </w:tcPr>
          <w:p>
            <w:pPr>
              <w:jc w:val="center"/>
            </w:pPr>
            <w:r>
              <w:rPr>
                <w:b/>
                <w:sz w:val="15"/>
              </w:rPr>
              <w:t>Above empirical</w:t>
            </w:r>
          </w:p>
        </w:tc>
      </w:tr>
      <w:tr>
        <w:tc>
          <w:tcPr>
            <w:tcW w:type="dxa" w:w="1782"/>
            <w:vAlign w:val="center"/>
          </w:tcPr>
          <w:p>
            <w:pPr>
              <w:jc w:val="left"/>
            </w:pPr>
            <w:r>
              <w:rPr>
                <w:b w:val="0"/>
                <w:sz w:val="15"/>
              </w:rPr>
              <w:t>0.90</w:t>
            </w:r>
          </w:p>
        </w:tc>
        <w:tc>
          <w:tcPr>
            <w:tcW w:type="dxa" w:w="1782"/>
            <w:vAlign w:val="center"/>
          </w:tcPr>
          <w:p>
            <w:pPr>
              <w:jc w:val="center"/>
            </w:pPr>
            <w:r>
              <w:rPr>
                <w:b w:val="0"/>
                <w:sz w:val="15"/>
              </w:rPr>
              <w:t>Target-excluded</w:t>
            </w:r>
          </w:p>
        </w:tc>
        <w:tc>
          <w:tcPr>
            <w:tcW w:type="dxa" w:w="1782"/>
            <w:vAlign w:val="center"/>
          </w:tcPr>
          <w:p>
            <w:pPr>
              <w:jc w:val="center"/>
            </w:pPr>
            <w:r>
              <w:rPr>
                <w:b w:val="0"/>
                <w:sz w:val="15"/>
              </w:rPr>
              <w:t>0.823</w:t>
            </w:r>
          </w:p>
        </w:tc>
        <w:tc>
          <w:tcPr>
            <w:tcW w:type="dxa" w:w="1782"/>
            <w:vAlign w:val="center"/>
          </w:tcPr>
          <w:p>
            <w:pPr>
              <w:jc w:val="center"/>
            </w:pPr>
            <w:r>
              <w:rPr>
                <w:b w:val="0"/>
                <w:sz w:val="15"/>
              </w:rPr>
              <w:t>0.815</w:t>
            </w:r>
          </w:p>
        </w:tc>
        <w:tc>
          <w:tcPr>
            <w:tcW w:type="dxa" w:w="1782"/>
            <w:vAlign w:val="center"/>
          </w:tcPr>
          <w:p>
            <w:pPr>
              <w:jc w:val="center"/>
            </w:pPr>
            <w:r>
              <w:rPr>
                <w:b w:val="0"/>
                <w:sz w:val="15"/>
              </w:rPr>
              <w:t>0.851</w:t>
            </w:r>
          </w:p>
        </w:tc>
        <w:tc>
          <w:tcPr>
            <w:tcW w:type="dxa" w:w="1782"/>
            <w:vAlign w:val="center"/>
          </w:tcPr>
          <w:p>
            <w:pPr>
              <w:jc w:val="center"/>
            </w:pPr>
            <w:r>
              <w:rPr>
                <w:b w:val="0"/>
                <w:sz w:val="15"/>
              </w:rPr>
              <w:t>0.880</w:t>
            </w:r>
          </w:p>
        </w:tc>
        <w:tc>
          <w:tcPr>
            <w:tcW w:type="dxa" w:w="1782"/>
            <w:vAlign w:val="center"/>
          </w:tcPr>
          <w:p>
            <w:pPr>
              <w:jc w:val="center"/>
            </w:pPr>
            <w:r>
              <w:rPr>
                <w:b w:val="0"/>
                <w:sz w:val="15"/>
              </w:rPr>
              <w:t>49/500</w:t>
            </w:r>
          </w:p>
        </w:tc>
        <w:tc>
          <w:tcPr>
            <w:tcW w:type="dxa" w:w="1782"/>
            <w:vAlign w:val="center"/>
          </w:tcPr>
          <w:p>
            <w:pPr>
              <w:jc w:val="center"/>
            </w:pPr>
            <w:r>
              <w:rPr>
                <w:b w:val="0"/>
                <w:sz w:val="15"/>
              </w:rPr>
              <w:t>451/500</w:t>
            </w:r>
          </w:p>
        </w:tc>
      </w:tr>
      <w:tr>
        <w:tc>
          <w:tcPr>
            <w:tcW w:type="dxa" w:w="1782"/>
            <w:vAlign w:val="center"/>
          </w:tcPr>
          <w:p>
            <w:pPr>
              <w:jc w:val="left"/>
            </w:pPr>
            <w:r>
              <w:rPr>
                <w:b w:val="0"/>
                <w:sz w:val="15"/>
              </w:rPr>
              <w:t>0.90</w:t>
            </w:r>
          </w:p>
        </w:tc>
        <w:tc>
          <w:tcPr>
            <w:tcW w:type="dxa" w:w="1782"/>
            <w:vAlign w:val="center"/>
          </w:tcPr>
          <w:p>
            <w:pPr>
              <w:jc w:val="center"/>
            </w:pPr>
            <w:r>
              <w:rPr>
                <w:b w:val="0"/>
                <w:sz w:val="15"/>
              </w:rPr>
              <w:t>Parent-index-excluded</w:t>
            </w:r>
          </w:p>
        </w:tc>
        <w:tc>
          <w:tcPr>
            <w:tcW w:type="dxa" w:w="1782"/>
            <w:vAlign w:val="center"/>
          </w:tcPr>
          <w:p>
            <w:pPr>
              <w:jc w:val="center"/>
            </w:pPr>
            <w:r>
              <w:rPr>
                <w:b w:val="0"/>
                <w:sz w:val="15"/>
              </w:rPr>
              <w:t>0.749</w:t>
            </w:r>
          </w:p>
        </w:tc>
        <w:tc>
          <w:tcPr>
            <w:tcW w:type="dxa" w:w="1782"/>
            <w:vAlign w:val="center"/>
          </w:tcPr>
          <w:p>
            <w:pPr>
              <w:jc w:val="center"/>
            </w:pPr>
            <w:r>
              <w:rPr>
                <w:b w:val="0"/>
                <w:sz w:val="15"/>
              </w:rPr>
              <w:t>0.769</w:t>
            </w:r>
          </w:p>
        </w:tc>
        <w:tc>
          <w:tcPr>
            <w:tcW w:type="dxa" w:w="1782"/>
            <w:vAlign w:val="center"/>
          </w:tcPr>
          <w:p>
            <w:pPr>
              <w:jc w:val="center"/>
            </w:pPr>
            <w:r>
              <w:rPr>
                <w:b w:val="0"/>
                <w:sz w:val="15"/>
              </w:rPr>
              <w:t>0.812</w:t>
            </w:r>
          </w:p>
        </w:tc>
        <w:tc>
          <w:tcPr>
            <w:tcW w:type="dxa" w:w="1782"/>
            <w:vAlign w:val="center"/>
          </w:tcPr>
          <w:p>
            <w:pPr>
              <w:jc w:val="center"/>
            </w:pPr>
            <w:r>
              <w:rPr>
                <w:b w:val="0"/>
                <w:sz w:val="15"/>
              </w:rPr>
              <w:t>0.849</w:t>
            </w:r>
          </w:p>
        </w:tc>
        <w:tc>
          <w:tcPr>
            <w:tcW w:type="dxa" w:w="1782"/>
            <w:vAlign w:val="center"/>
          </w:tcPr>
          <w:p>
            <w:pPr>
              <w:jc w:val="center"/>
            </w:pPr>
            <w:r>
              <w:rPr>
                <w:b w:val="0"/>
                <w:sz w:val="15"/>
              </w:rPr>
              <w:t>4/500</w:t>
            </w:r>
          </w:p>
        </w:tc>
        <w:tc>
          <w:tcPr>
            <w:tcW w:type="dxa" w:w="1782"/>
            <w:vAlign w:val="center"/>
          </w:tcPr>
          <w:p>
            <w:pPr>
              <w:jc w:val="center"/>
            </w:pPr>
            <w:r>
              <w:rPr>
                <w:b w:val="0"/>
                <w:sz w:val="15"/>
              </w:rPr>
              <w:t>496/500</w:t>
            </w:r>
          </w:p>
        </w:tc>
      </w:tr>
      <w:tr>
        <w:tc>
          <w:tcPr>
            <w:tcW w:type="dxa" w:w="1782"/>
            <w:vAlign w:val="center"/>
          </w:tcPr>
          <w:p>
            <w:pPr>
              <w:jc w:val="left"/>
            </w:pPr>
            <w:r>
              <w:rPr>
                <w:b w:val="0"/>
                <w:sz w:val="15"/>
              </w:rPr>
              <w:t>0.90</w:t>
            </w:r>
          </w:p>
        </w:tc>
        <w:tc>
          <w:tcPr>
            <w:tcW w:type="dxa" w:w="1782"/>
            <w:vAlign w:val="center"/>
          </w:tcPr>
          <w:p>
            <w:pPr>
              <w:jc w:val="center"/>
            </w:pPr>
            <w:r>
              <w:rPr>
                <w:b w:val="0"/>
                <w:sz w:val="15"/>
              </w:rPr>
              <w:t>Symmetric leave-both-out</w:t>
            </w:r>
          </w:p>
        </w:tc>
        <w:tc>
          <w:tcPr>
            <w:tcW w:type="dxa" w:w="1782"/>
            <w:vAlign w:val="center"/>
          </w:tcPr>
          <w:p>
            <w:pPr>
              <w:jc w:val="center"/>
            </w:pPr>
            <w:r>
              <w:rPr>
                <w:b w:val="0"/>
                <w:sz w:val="15"/>
              </w:rPr>
              <w:t>0.726</w:t>
            </w:r>
          </w:p>
        </w:tc>
        <w:tc>
          <w:tcPr>
            <w:tcW w:type="dxa" w:w="1782"/>
            <w:vAlign w:val="center"/>
          </w:tcPr>
          <w:p>
            <w:pPr>
              <w:jc w:val="center"/>
            </w:pPr>
            <w:r>
              <w:rPr>
                <w:b w:val="0"/>
                <w:sz w:val="15"/>
              </w:rPr>
              <w:t>0.744</w:t>
            </w:r>
          </w:p>
        </w:tc>
        <w:tc>
          <w:tcPr>
            <w:tcW w:type="dxa" w:w="1782"/>
            <w:vAlign w:val="center"/>
          </w:tcPr>
          <w:p>
            <w:pPr>
              <w:jc w:val="center"/>
            </w:pPr>
            <w:r>
              <w:rPr>
                <w:b w:val="0"/>
                <w:sz w:val="15"/>
              </w:rPr>
              <w:t>0.789</w:t>
            </w:r>
          </w:p>
        </w:tc>
        <w:tc>
          <w:tcPr>
            <w:tcW w:type="dxa" w:w="1782"/>
            <w:vAlign w:val="center"/>
          </w:tcPr>
          <w:p>
            <w:pPr>
              <w:jc w:val="center"/>
            </w:pPr>
            <w:r>
              <w:rPr>
                <w:b w:val="0"/>
                <w:sz w:val="15"/>
              </w:rPr>
              <w:t>0.828</w:t>
            </w:r>
          </w:p>
        </w:tc>
        <w:tc>
          <w:tcPr>
            <w:tcW w:type="dxa" w:w="1782"/>
            <w:vAlign w:val="center"/>
          </w:tcPr>
          <w:p>
            <w:pPr>
              <w:jc w:val="center"/>
            </w:pPr>
            <w:r>
              <w:rPr>
                <w:b w:val="0"/>
                <w:sz w:val="15"/>
              </w:rPr>
              <w:t>4/500</w:t>
            </w:r>
          </w:p>
        </w:tc>
        <w:tc>
          <w:tcPr>
            <w:tcW w:type="dxa" w:w="1782"/>
            <w:vAlign w:val="center"/>
          </w:tcPr>
          <w:p>
            <w:pPr>
              <w:jc w:val="center"/>
            </w:pPr>
            <w:r>
              <w:rPr>
                <w:b w:val="0"/>
                <w:sz w:val="15"/>
              </w:rPr>
              <w:t>496/500</w:t>
            </w:r>
          </w:p>
        </w:tc>
      </w:tr>
      <w:tr>
        <w:tc>
          <w:tcPr>
            <w:tcW w:type="dxa" w:w="1782"/>
            <w:vAlign w:val="center"/>
          </w:tcPr>
          <w:p>
            <w:pPr>
              <w:jc w:val="left"/>
            </w:pPr>
            <w:r>
              <w:rPr>
                <w:b w:val="0"/>
                <w:sz w:val="15"/>
              </w:rPr>
              <w:t>0.95</w:t>
            </w:r>
          </w:p>
        </w:tc>
        <w:tc>
          <w:tcPr>
            <w:tcW w:type="dxa" w:w="1782"/>
            <w:vAlign w:val="center"/>
          </w:tcPr>
          <w:p>
            <w:pPr>
              <w:jc w:val="center"/>
            </w:pPr>
            <w:r>
              <w:rPr>
                <w:b w:val="0"/>
                <w:sz w:val="15"/>
              </w:rPr>
              <w:t>Target-excluded</w:t>
            </w:r>
          </w:p>
        </w:tc>
        <w:tc>
          <w:tcPr>
            <w:tcW w:type="dxa" w:w="1782"/>
            <w:vAlign w:val="center"/>
          </w:tcPr>
          <w:p>
            <w:pPr>
              <w:jc w:val="center"/>
            </w:pPr>
            <w:r>
              <w:rPr>
                <w:b w:val="0"/>
                <w:sz w:val="15"/>
              </w:rPr>
              <w:t>0.823</w:t>
            </w:r>
          </w:p>
        </w:tc>
        <w:tc>
          <w:tcPr>
            <w:tcW w:type="dxa" w:w="1782"/>
            <w:vAlign w:val="center"/>
          </w:tcPr>
          <w:p>
            <w:pPr>
              <w:jc w:val="center"/>
            </w:pPr>
            <w:r>
              <w:rPr>
                <w:b w:val="0"/>
                <w:sz w:val="15"/>
              </w:rPr>
              <w:t>0.860</w:t>
            </w:r>
          </w:p>
        </w:tc>
        <w:tc>
          <w:tcPr>
            <w:tcW w:type="dxa" w:w="1782"/>
            <w:vAlign w:val="center"/>
          </w:tcPr>
          <w:p>
            <w:pPr>
              <w:jc w:val="center"/>
            </w:pPr>
            <w:r>
              <w:rPr>
                <w:b w:val="0"/>
                <w:sz w:val="15"/>
              </w:rPr>
              <w:t>0.890</w:t>
            </w:r>
          </w:p>
        </w:tc>
        <w:tc>
          <w:tcPr>
            <w:tcW w:type="dxa" w:w="1782"/>
            <w:vAlign w:val="center"/>
          </w:tcPr>
          <w:p>
            <w:pPr>
              <w:jc w:val="center"/>
            </w:pPr>
            <w:r>
              <w:rPr>
                <w:b w:val="0"/>
                <w:sz w:val="15"/>
              </w:rPr>
              <w:t>0.912</w:t>
            </w:r>
          </w:p>
        </w:tc>
        <w:tc>
          <w:tcPr>
            <w:tcW w:type="dxa" w:w="1782"/>
            <w:vAlign w:val="center"/>
          </w:tcPr>
          <w:p>
            <w:pPr>
              <w:jc w:val="center"/>
            </w:pPr>
            <w:r>
              <w:rPr>
                <w:b w:val="0"/>
                <w:sz w:val="15"/>
              </w:rPr>
              <w:t>0/500</w:t>
            </w:r>
          </w:p>
        </w:tc>
        <w:tc>
          <w:tcPr>
            <w:tcW w:type="dxa" w:w="1782"/>
            <w:vAlign w:val="center"/>
          </w:tcPr>
          <w:p>
            <w:pPr>
              <w:jc w:val="center"/>
            </w:pPr>
            <w:r>
              <w:rPr>
                <w:b w:val="0"/>
                <w:sz w:val="15"/>
              </w:rPr>
              <w:t>500/500</w:t>
            </w:r>
          </w:p>
        </w:tc>
      </w:tr>
      <w:tr>
        <w:tc>
          <w:tcPr>
            <w:tcW w:type="dxa" w:w="1782"/>
            <w:vAlign w:val="center"/>
          </w:tcPr>
          <w:p>
            <w:pPr>
              <w:jc w:val="left"/>
            </w:pPr>
            <w:r>
              <w:rPr>
                <w:b w:val="0"/>
                <w:sz w:val="15"/>
              </w:rPr>
              <w:t>0.95</w:t>
            </w:r>
          </w:p>
        </w:tc>
        <w:tc>
          <w:tcPr>
            <w:tcW w:type="dxa" w:w="1782"/>
            <w:vAlign w:val="center"/>
          </w:tcPr>
          <w:p>
            <w:pPr>
              <w:jc w:val="center"/>
            </w:pPr>
            <w:r>
              <w:rPr>
                <w:b w:val="0"/>
                <w:sz w:val="15"/>
              </w:rPr>
              <w:t>Parent-index-excluded</w:t>
            </w:r>
          </w:p>
        </w:tc>
        <w:tc>
          <w:tcPr>
            <w:tcW w:type="dxa" w:w="1782"/>
            <w:vAlign w:val="center"/>
          </w:tcPr>
          <w:p>
            <w:pPr>
              <w:jc w:val="center"/>
            </w:pPr>
            <w:r>
              <w:rPr>
                <w:b w:val="0"/>
                <w:sz w:val="15"/>
              </w:rPr>
              <w:t>0.749</w:t>
            </w:r>
          </w:p>
        </w:tc>
        <w:tc>
          <w:tcPr>
            <w:tcW w:type="dxa" w:w="1782"/>
            <w:vAlign w:val="center"/>
          </w:tcPr>
          <w:p>
            <w:pPr>
              <w:jc w:val="center"/>
            </w:pPr>
            <w:r>
              <w:rPr>
                <w:b w:val="0"/>
                <w:sz w:val="15"/>
              </w:rPr>
              <w:t>0.824</w:t>
            </w:r>
          </w:p>
        </w:tc>
        <w:tc>
          <w:tcPr>
            <w:tcW w:type="dxa" w:w="1782"/>
            <w:vAlign w:val="center"/>
          </w:tcPr>
          <w:p>
            <w:pPr>
              <w:jc w:val="center"/>
            </w:pPr>
            <w:r>
              <w:rPr>
                <w:b w:val="0"/>
                <w:sz w:val="15"/>
              </w:rPr>
              <w:t>0.861</w:t>
            </w:r>
          </w:p>
        </w:tc>
        <w:tc>
          <w:tcPr>
            <w:tcW w:type="dxa" w:w="1782"/>
            <w:vAlign w:val="center"/>
          </w:tcPr>
          <w:p>
            <w:pPr>
              <w:jc w:val="center"/>
            </w:pPr>
            <w:r>
              <w:rPr>
                <w:b w:val="0"/>
                <w:sz w:val="15"/>
              </w:rPr>
              <w:t>0.890</w:t>
            </w:r>
          </w:p>
        </w:tc>
        <w:tc>
          <w:tcPr>
            <w:tcW w:type="dxa" w:w="1782"/>
            <w:vAlign w:val="center"/>
          </w:tcPr>
          <w:p>
            <w:pPr>
              <w:jc w:val="center"/>
            </w:pPr>
            <w:r>
              <w:rPr>
                <w:b w:val="0"/>
                <w:sz w:val="15"/>
              </w:rPr>
              <w:t>0/500</w:t>
            </w:r>
          </w:p>
        </w:tc>
        <w:tc>
          <w:tcPr>
            <w:tcW w:type="dxa" w:w="1782"/>
            <w:vAlign w:val="center"/>
          </w:tcPr>
          <w:p>
            <w:pPr>
              <w:jc w:val="center"/>
            </w:pPr>
            <w:r>
              <w:rPr>
                <w:b w:val="0"/>
                <w:sz w:val="15"/>
              </w:rPr>
              <w:t>500/500</w:t>
            </w:r>
          </w:p>
        </w:tc>
      </w:tr>
      <w:tr>
        <w:tc>
          <w:tcPr>
            <w:tcW w:type="dxa" w:w="1782"/>
            <w:vAlign w:val="center"/>
          </w:tcPr>
          <w:p>
            <w:pPr>
              <w:jc w:val="left"/>
            </w:pPr>
            <w:r>
              <w:rPr>
                <w:b w:val="0"/>
                <w:sz w:val="15"/>
              </w:rPr>
              <w:t>0.95</w:t>
            </w:r>
          </w:p>
        </w:tc>
        <w:tc>
          <w:tcPr>
            <w:tcW w:type="dxa" w:w="1782"/>
            <w:vAlign w:val="center"/>
          </w:tcPr>
          <w:p>
            <w:pPr>
              <w:jc w:val="center"/>
            </w:pPr>
            <w:r>
              <w:rPr>
                <w:b w:val="0"/>
                <w:sz w:val="15"/>
              </w:rPr>
              <w:t>Symmetric leave-both-out</w:t>
            </w:r>
          </w:p>
        </w:tc>
        <w:tc>
          <w:tcPr>
            <w:tcW w:type="dxa" w:w="1782"/>
            <w:vAlign w:val="center"/>
          </w:tcPr>
          <w:p>
            <w:pPr>
              <w:jc w:val="center"/>
            </w:pPr>
            <w:r>
              <w:rPr>
                <w:b w:val="0"/>
                <w:sz w:val="15"/>
              </w:rPr>
              <w:t>0.726</w:t>
            </w:r>
          </w:p>
        </w:tc>
        <w:tc>
          <w:tcPr>
            <w:tcW w:type="dxa" w:w="1782"/>
            <w:vAlign w:val="center"/>
          </w:tcPr>
          <w:p>
            <w:pPr>
              <w:jc w:val="center"/>
            </w:pPr>
            <w:r>
              <w:rPr>
                <w:b w:val="0"/>
                <w:sz w:val="15"/>
              </w:rPr>
              <w:t>0.795</w:t>
            </w:r>
          </w:p>
        </w:tc>
        <w:tc>
          <w:tcPr>
            <w:tcW w:type="dxa" w:w="1782"/>
            <w:vAlign w:val="center"/>
          </w:tcPr>
          <w:p>
            <w:pPr>
              <w:jc w:val="center"/>
            </w:pPr>
            <w:r>
              <w:rPr>
                <w:b w:val="0"/>
                <w:sz w:val="15"/>
              </w:rPr>
              <w:t>0.841</w:t>
            </w:r>
          </w:p>
        </w:tc>
        <w:tc>
          <w:tcPr>
            <w:tcW w:type="dxa" w:w="1782"/>
            <w:vAlign w:val="center"/>
          </w:tcPr>
          <w:p>
            <w:pPr>
              <w:jc w:val="center"/>
            </w:pPr>
            <w:r>
              <w:rPr>
                <w:b w:val="0"/>
                <w:sz w:val="15"/>
              </w:rPr>
              <w:t>0.877</w:t>
            </w:r>
          </w:p>
        </w:tc>
        <w:tc>
          <w:tcPr>
            <w:tcW w:type="dxa" w:w="1782"/>
            <w:vAlign w:val="center"/>
          </w:tcPr>
          <w:p>
            <w:pPr>
              <w:jc w:val="center"/>
            </w:pPr>
            <w:r>
              <w:rPr>
                <w:b w:val="0"/>
                <w:sz w:val="15"/>
              </w:rPr>
              <w:t>0/500</w:t>
            </w:r>
          </w:p>
        </w:tc>
        <w:tc>
          <w:tcPr>
            <w:tcW w:type="dxa" w:w="1782"/>
            <w:vAlign w:val="center"/>
          </w:tcPr>
          <w:p>
            <w:pPr>
              <w:jc w:val="center"/>
            </w:pPr>
            <w:r>
              <w:rPr>
                <w:b w:val="0"/>
                <w:sz w:val="15"/>
              </w:rPr>
              <w:t>500/500</w:t>
            </w:r>
          </w:p>
        </w:tc>
      </w:tr>
      <w:tr>
        <w:tc>
          <w:tcPr>
            <w:tcW w:type="dxa" w:w="1782"/>
            <w:vAlign w:val="center"/>
          </w:tcPr>
          <w:p>
            <w:pPr>
              <w:jc w:val="left"/>
            </w:pPr>
            <w:r>
              <w:rPr>
                <w:b w:val="0"/>
                <w:sz w:val="15"/>
              </w:rPr>
              <w:t>0.97</w:t>
            </w:r>
          </w:p>
        </w:tc>
        <w:tc>
          <w:tcPr>
            <w:tcW w:type="dxa" w:w="1782"/>
            <w:vAlign w:val="center"/>
          </w:tcPr>
          <w:p>
            <w:pPr>
              <w:jc w:val="center"/>
            </w:pPr>
            <w:r>
              <w:rPr>
                <w:b w:val="0"/>
                <w:sz w:val="15"/>
              </w:rPr>
              <w:t>Target-excluded</w:t>
            </w:r>
          </w:p>
        </w:tc>
        <w:tc>
          <w:tcPr>
            <w:tcW w:type="dxa" w:w="1782"/>
            <w:vAlign w:val="center"/>
          </w:tcPr>
          <w:p>
            <w:pPr>
              <w:jc w:val="center"/>
            </w:pPr>
            <w:r>
              <w:rPr>
                <w:b w:val="0"/>
                <w:sz w:val="15"/>
              </w:rPr>
              <w:t>0.823</w:t>
            </w:r>
          </w:p>
        </w:tc>
        <w:tc>
          <w:tcPr>
            <w:tcW w:type="dxa" w:w="1782"/>
            <w:vAlign w:val="center"/>
          </w:tcPr>
          <w:p>
            <w:pPr>
              <w:jc w:val="center"/>
            </w:pPr>
            <w:r>
              <w:rPr>
                <w:b w:val="0"/>
                <w:sz w:val="15"/>
              </w:rPr>
              <w:t>0.885</w:t>
            </w:r>
          </w:p>
        </w:tc>
        <w:tc>
          <w:tcPr>
            <w:tcW w:type="dxa" w:w="1782"/>
            <w:vAlign w:val="center"/>
          </w:tcPr>
          <w:p>
            <w:pPr>
              <w:jc w:val="center"/>
            </w:pPr>
            <w:r>
              <w:rPr>
                <w:b w:val="0"/>
                <w:sz w:val="15"/>
              </w:rPr>
              <w:t>0.911</w:t>
            </w:r>
          </w:p>
        </w:tc>
        <w:tc>
          <w:tcPr>
            <w:tcW w:type="dxa" w:w="1782"/>
            <w:vAlign w:val="center"/>
          </w:tcPr>
          <w:p>
            <w:pPr>
              <w:jc w:val="center"/>
            </w:pPr>
            <w:r>
              <w:rPr>
                <w:b w:val="0"/>
                <w:sz w:val="15"/>
              </w:rPr>
              <w:t>0.932</w:t>
            </w:r>
          </w:p>
        </w:tc>
        <w:tc>
          <w:tcPr>
            <w:tcW w:type="dxa" w:w="1782"/>
            <w:vAlign w:val="center"/>
          </w:tcPr>
          <w:p>
            <w:pPr>
              <w:jc w:val="center"/>
            </w:pPr>
            <w:r>
              <w:rPr>
                <w:b w:val="0"/>
                <w:sz w:val="15"/>
              </w:rPr>
              <w:t>0/500</w:t>
            </w:r>
          </w:p>
        </w:tc>
        <w:tc>
          <w:tcPr>
            <w:tcW w:type="dxa" w:w="1782"/>
            <w:vAlign w:val="center"/>
          </w:tcPr>
          <w:p>
            <w:pPr>
              <w:jc w:val="center"/>
            </w:pPr>
            <w:r>
              <w:rPr>
                <w:b w:val="0"/>
                <w:sz w:val="15"/>
              </w:rPr>
              <w:t>500/500</w:t>
            </w:r>
          </w:p>
        </w:tc>
      </w:tr>
      <w:tr>
        <w:tc>
          <w:tcPr>
            <w:tcW w:type="dxa" w:w="1782"/>
            <w:vAlign w:val="center"/>
          </w:tcPr>
          <w:p>
            <w:pPr>
              <w:jc w:val="left"/>
            </w:pPr>
            <w:r>
              <w:rPr>
                <w:b w:val="0"/>
                <w:sz w:val="15"/>
              </w:rPr>
              <w:t>0.97</w:t>
            </w:r>
          </w:p>
        </w:tc>
        <w:tc>
          <w:tcPr>
            <w:tcW w:type="dxa" w:w="1782"/>
            <w:vAlign w:val="center"/>
          </w:tcPr>
          <w:p>
            <w:pPr>
              <w:jc w:val="center"/>
            </w:pPr>
            <w:r>
              <w:rPr>
                <w:b w:val="0"/>
                <w:sz w:val="15"/>
              </w:rPr>
              <w:t>Parent-index-excluded</w:t>
            </w:r>
          </w:p>
        </w:tc>
        <w:tc>
          <w:tcPr>
            <w:tcW w:type="dxa" w:w="1782"/>
            <w:vAlign w:val="center"/>
          </w:tcPr>
          <w:p>
            <w:pPr>
              <w:jc w:val="center"/>
            </w:pPr>
            <w:r>
              <w:rPr>
                <w:b w:val="0"/>
                <w:sz w:val="15"/>
              </w:rPr>
              <w:t>0.749</w:t>
            </w:r>
          </w:p>
        </w:tc>
        <w:tc>
          <w:tcPr>
            <w:tcW w:type="dxa" w:w="1782"/>
            <w:vAlign w:val="center"/>
          </w:tcPr>
          <w:p>
            <w:pPr>
              <w:jc w:val="center"/>
            </w:pPr>
            <w:r>
              <w:rPr>
                <w:b w:val="0"/>
                <w:sz w:val="15"/>
              </w:rPr>
              <w:t>0.857</w:t>
            </w:r>
          </w:p>
        </w:tc>
        <w:tc>
          <w:tcPr>
            <w:tcW w:type="dxa" w:w="1782"/>
            <w:vAlign w:val="center"/>
          </w:tcPr>
          <w:p>
            <w:pPr>
              <w:jc w:val="center"/>
            </w:pPr>
            <w:r>
              <w:rPr>
                <w:b w:val="0"/>
                <w:sz w:val="15"/>
              </w:rPr>
              <w:t>0.887</w:t>
            </w:r>
          </w:p>
        </w:tc>
        <w:tc>
          <w:tcPr>
            <w:tcW w:type="dxa" w:w="1782"/>
            <w:vAlign w:val="center"/>
          </w:tcPr>
          <w:p>
            <w:pPr>
              <w:jc w:val="center"/>
            </w:pPr>
            <w:r>
              <w:rPr>
                <w:b w:val="0"/>
                <w:sz w:val="15"/>
              </w:rPr>
              <w:t>0.914</w:t>
            </w:r>
          </w:p>
        </w:tc>
        <w:tc>
          <w:tcPr>
            <w:tcW w:type="dxa" w:w="1782"/>
            <w:vAlign w:val="center"/>
          </w:tcPr>
          <w:p>
            <w:pPr>
              <w:jc w:val="center"/>
            </w:pPr>
            <w:r>
              <w:rPr>
                <w:b w:val="0"/>
                <w:sz w:val="15"/>
              </w:rPr>
              <w:t>0/500</w:t>
            </w:r>
          </w:p>
        </w:tc>
        <w:tc>
          <w:tcPr>
            <w:tcW w:type="dxa" w:w="1782"/>
            <w:vAlign w:val="center"/>
          </w:tcPr>
          <w:p>
            <w:pPr>
              <w:jc w:val="center"/>
            </w:pPr>
            <w:r>
              <w:rPr>
                <w:b w:val="0"/>
                <w:sz w:val="15"/>
              </w:rPr>
              <w:t>500/500</w:t>
            </w:r>
          </w:p>
        </w:tc>
      </w:tr>
      <w:tr>
        <w:tc>
          <w:tcPr>
            <w:tcW w:type="dxa" w:w="1782"/>
            <w:vAlign w:val="center"/>
          </w:tcPr>
          <w:p>
            <w:pPr>
              <w:jc w:val="left"/>
            </w:pPr>
            <w:r>
              <w:rPr>
                <w:b w:val="0"/>
                <w:sz w:val="15"/>
              </w:rPr>
              <w:t>0.97</w:t>
            </w:r>
          </w:p>
        </w:tc>
        <w:tc>
          <w:tcPr>
            <w:tcW w:type="dxa" w:w="1782"/>
            <w:vAlign w:val="center"/>
          </w:tcPr>
          <w:p>
            <w:pPr>
              <w:jc w:val="center"/>
            </w:pPr>
            <w:r>
              <w:rPr>
                <w:b w:val="0"/>
                <w:sz w:val="15"/>
              </w:rPr>
              <w:t>Symmetric leave-both-out</w:t>
            </w:r>
          </w:p>
        </w:tc>
        <w:tc>
          <w:tcPr>
            <w:tcW w:type="dxa" w:w="1782"/>
            <w:vAlign w:val="center"/>
          </w:tcPr>
          <w:p>
            <w:pPr>
              <w:jc w:val="center"/>
            </w:pPr>
            <w:r>
              <w:rPr>
                <w:b w:val="0"/>
                <w:sz w:val="15"/>
              </w:rPr>
              <w:t>0.726</w:t>
            </w:r>
          </w:p>
        </w:tc>
        <w:tc>
          <w:tcPr>
            <w:tcW w:type="dxa" w:w="1782"/>
            <w:vAlign w:val="center"/>
          </w:tcPr>
          <w:p>
            <w:pPr>
              <w:jc w:val="center"/>
            </w:pPr>
            <w:r>
              <w:rPr>
                <w:b w:val="0"/>
                <w:sz w:val="15"/>
              </w:rPr>
              <w:t>0.837</w:t>
            </w:r>
          </w:p>
        </w:tc>
        <w:tc>
          <w:tcPr>
            <w:tcW w:type="dxa" w:w="1782"/>
            <w:vAlign w:val="center"/>
          </w:tcPr>
          <w:p>
            <w:pPr>
              <w:jc w:val="center"/>
            </w:pPr>
            <w:r>
              <w:rPr>
                <w:b w:val="0"/>
                <w:sz w:val="15"/>
              </w:rPr>
              <w:t>0.871</w:t>
            </w:r>
          </w:p>
        </w:tc>
        <w:tc>
          <w:tcPr>
            <w:tcW w:type="dxa" w:w="1782"/>
            <w:vAlign w:val="center"/>
          </w:tcPr>
          <w:p>
            <w:pPr>
              <w:jc w:val="center"/>
            </w:pPr>
            <w:r>
              <w:rPr>
                <w:b w:val="0"/>
                <w:sz w:val="15"/>
              </w:rPr>
              <w:t>0.903</w:t>
            </w:r>
          </w:p>
        </w:tc>
        <w:tc>
          <w:tcPr>
            <w:tcW w:type="dxa" w:w="1782"/>
            <w:vAlign w:val="center"/>
          </w:tcPr>
          <w:p>
            <w:pPr>
              <w:jc w:val="center"/>
            </w:pPr>
            <w:r>
              <w:rPr>
                <w:b w:val="0"/>
                <w:sz w:val="15"/>
              </w:rPr>
              <w:t>0/500</w:t>
            </w:r>
          </w:p>
        </w:tc>
        <w:tc>
          <w:tcPr>
            <w:tcW w:type="dxa" w:w="1782"/>
            <w:vAlign w:val="center"/>
          </w:tcPr>
          <w:p>
            <w:pPr>
              <w:jc w:val="center"/>
            </w:pPr>
            <w:r>
              <w:rPr>
                <w:b w:val="0"/>
                <w:sz w:val="15"/>
              </w:rPr>
              <w:t>500/500</w:t>
            </w:r>
          </w:p>
        </w:tc>
      </w:tr>
      <w:tr>
        <w:tc>
          <w:tcPr>
            <w:tcW w:type="dxa" w:w="1782"/>
            <w:vAlign w:val="center"/>
          </w:tcPr>
          <w:p>
            <w:pPr>
              <w:jc w:val="left"/>
            </w:pPr>
            <w:r>
              <w:rPr>
                <w:b w:val="0"/>
                <w:sz w:val="15"/>
              </w:rPr>
              <w:t>0.99</w:t>
            </w:r>
          </w:p>
        </w:tc>
        <w:tc>
          <w:tcPr>
            <w:tcW w:type="dxa" w:w="1782"/>
            <w:vAlign w:val="center"/>
          </w:tcPr>
          <w:p>
            <w:pPr>
              <w:jc w:val="center"/>
            </w:pPr>
            <w:r>
              <w:rPr>
                <w:b w:val="0"/>
                <w:sz w:val="15"/>
              </w:rPr>
              <w:t>Target-excluded</w:t>
            </w:r>
          </w:p>
        </w:tc>
        <w:tc>
          <w:tcPr>
            <w:tcW w:type="dxa" w:w="1782"/>
            <w:vAlign w:val="center"/>
          </w:tcPr>
          <w:p>
            <w:pPr>
              <w:jc w:val="center"/>
            </w:pPr>
            <w:r>
              <w:rPr>
                <w:b w:val="0"/>
                <w:sz w:val="15"/>
              </w:rPr>
              <w:t>0.823</w:t>
            </w:r>
          </w:p>
        </w:tc>
        <w:tc>
          <w:tcPr>
            <w:tcW w:type="dxa" w:w="1782"/>
            <w:vAlign w:val="center"/>
          </w:tcPr>
          <w:p>
            <w:pPr>
              <w:jc w:val="center"/>
            </w:pPr>
            <w:r>
              <w:rPr>
                <w:b w:val="0"/>
                <w:sz w:val="15"/>
              </w:rPr>
              <w:t>0.927</w:t>
            </w:r>
          </w:p>
        </w:tc>
        <w:tc>
          <w:tcPr>
            <w:tcW w:type="dxa" w:w="1782"/>
            <w:vAlign w:val="center"/>
          </w:tcPr>
          <w:p>
            <w:pPr>
              <w:jc w:val="center"/>
            </w:pPr>
            <w:r>
              <w:rPr>
                <w:b w:val="0"/>
                <w:sz w:val="15"/>
              </w:rPr>
              <w:t>0.946</w:t>
            </w:r>
          </w:p>
        </w:tc>
        <w:tc>
          <w:tcPr>
            <w:tcW w:type="dxa" w:w="1782"/>
            <w:vAlign w:val="center"/>
          </w:tcPr>
          <w:p>
            <w:pPr>
              <w:jc w:val="center"/>
            </w:pPr>
            <w:r>
              <w:rPr>
                <w:b w:val="0"/>
                <w:sz w:val="15"/>
              </w:rPr>
              <w:t>0.961</w:t>
            </w:r>
          </w:p>
        </w:tc>
        <w:tc>
          <w:tcPr>
            <w:tcW w:type="dxa" w:w="1782"/>
            <w:vAlign w:val="center"/>
          </w:tcPr>
          <w:p>
            <w:pPr>
              <w:jc w:val="center"/>
            </w:pPr>
            <w:r>
              <w:rPr>
                <w:b w:val="0"/>
                <w:sz w:val="15"/>
              </w:rPr>
              <w:t>0/500</w:t>
            </w:r>
          </w:p>
        </w:tc>
        <w:tc>
          <w:tcPr>
            <w:tcW w:type="dxa" w:w="1782"/>
            <w:vAlign w:val="center"/>
          </w:tcPr>
          <w:p>
            <w:pPr>
              <w:jc w:val="center"/>
            </w:pPr>
            <w:r>
              <w:rPr>
                <w:b w:val="0"/>
                <w:sz w:val="15"/>
              </w:rPr>
              <w:t>500/500</w:t>
            </w:r>
          </w:p>
        </w:tc>
      </w:tr>
      <w:tr>
        <w:tc>
          <w:tcPr>
            <w:tcW w:type="dxa" w:w="1782"/>
            <w:vAlign w:val="center"/>
          </w:tcPr>
          <w:p>
            <w:pPr>
              <w:jc w:val="left"/>
            </w:pPr>
            <w:r>
              <w:rPr>
                <w:b w:val="0"/>
                <w:sz w:val="15"/>
              </w:rPr>
              <w:t>0.99</w:t>
            </w:r>
          </w:p>
        </w:tc>
        <w:tc>
          <w:tcPr>
            <w:tcW w:type="dxa" w:w="1782"/>
            <w:vAlign w:val="center"/>
          </w:tcPr>
          <w:p>
            <w:pPr>
              <w:jc w:val="center"/>
            </w:pPr>
            <w:r>
              <w:rPr>
                <w:b w:val="0"/>
                <w:sz w:val="15"/>
              </w:rPr>
              <w:t>Parent-index-excluded</w:t>
            </w:r>
          </w:p>
        </w:tc>
        <w:tc>
          <w:tcPr>
            <w:tcW w:type="dxa" w:w="1782"/>
            <w:vAlign w:val="center"/>
          </w:tcPr>
          <w:p>
            <w:pPr>
              <w:jc w:val="center"/>
            </w:pPr>
            <w:r>
              <w:rPr>
                <w:b w:val="0"/>
                <w:sz w:val="15"/>
              </w:rPr>
              <w:t>0.749</w:t>
            </w:r>
          </w:p>
        </w:tc>
        <w:tc>
          <w:tcPr>
            <w:tcW w:type="dxa" w:w="1782"/>
            <w:vAlign w:val="center"/>
          </w:tcPr>
          <w:p>
            <w:pPr>
              <w:jc w:val="center"/>
            </w:pPr>
            <w:r>
              <w:rPr>
                <w:b w:val="0"/>
                <w:sz w:val="15"/>
              </w:rPr>
              <w:t>0.907</w:t>
            </w:r>
          </w:p>
        </w:tc>
        <w:tc>
          <w:tcPr>
            <w:tcW w:type="dxa" w:w="1782"/>
            <w:vAlign w:val="center"/>
          </w:tcPr>
          <w:p>
            <w:pPr>
              <w:jc w:val="center"/>
            </w:pPr>
            <w:r>
              <w:rPr>
                <w:b w:val="0"/>
                <w:sz w:val="15"/>
              </w:rPr>
              <w:t>0.932</w:t>
            </w:r>
          </w:p>
        </w:tc>
        <w:tc>
          <w:tcPr>
            <w:tcW w:type="dxa" w:w="1782"/>
            <w:vAlign w:val="center"/>
          </w:tcPr>
          <w:p>
            <w:pPr>
              <w:jc w:val="center"/>
            </w:pPr>
            <w:r>
              <w:rPr>
                <w:b w:val="0"/>
                <w:sz w:val="15"/>
              </w:rPr>
              <w:t>0.950</w:t>
            </w:r>
          </w:p>
        </w:tc>
        <w:tc>
          <w:tcPr>
            <w:tcW w:type="dxa" w:w="1782"/>
            <w:vAlign w:val="center"/>
          </w:tcPr>
          <w:p>
            <w:pPr>
              <w:jc w:val="center"/>
            </w:pPr>
            <w:r>
              <w:rPr>
                <w:b w:val="0"/>
                <w:sz w:val="15"/>
              </w:rPr>
              <w:t>0/500</w:t>
            </w:r>
          </w:p>
        </w:tc>
        <w:tc>
          <w:tcPr>
            <w:tcW w:type="dxa" w:w="1782"/>
            <w:vAlign w:val="center"/>
          </w:tcPr>
          <w:p>
            <w:pPr>
              <w:jc w:val="center"/>
            </w:pPr>
            <w:r>
              <w:rPr>
                <w:b w:val="0"/>
                <w:sz w:val="15"/>
              </w:rPr>
              <w:t>500/500</w:t>
            </w:r>
          </w:p>
        </w:tc>
      </w:tr>
      <w:tr>
        <w:tc>
          <w:tcPr>
            <w:tcW w:type="dxa" w:w="1782"/>
            <w:vAlign w:val="center"/>
          </w:tcPr>
          <w:p>
            <w:pPr>
              <w:jc w:val="left"/>
            </w:pPr>
            <w:r>
              <w:rPr>
                <w:b w:val="0"/>
                <w:sz w:val="15"/>
              </w:rPr>
              <w:t>0.99</w:t>
            </w:r>
          </w:p>
        </w:tc>
        <w:tc>
          <w:tcPr>
            <w:tcW w:type="dxa" w:w="1782"/>
            <w:vAlign w:val="center"/>
          </w:tcPr>
          <w:p>
            <w:pPr>
              <w:jc w:val="center"/>
            </w:pPr>
            <w:r>
              <w:rPr>
                <w:b w:val="0"/>
                <w:sz w:val="15"/>
              </w:rPr>
              <w:t>Symmetric leave-both-out</w:t>
            </w:r>
          </w:p>
        </w:tc>
        <w:tc>
          <w:tcPr>
            <w:tcW w:type="dxa" w:w="1782"/>
            <w:vAlign w:val="center"/>
          </w:tcPr>
          <w:p>
            <w:pPr>
              <w:jc w:val="center"/>
            </w:pPr>
            <w:r>
              <w:rPr>
                <w:b w:val="0"/>
                <w:sz w:val="15"/>
              </w:rPr>
              <w:t>0.726</w:t>
            </w:r>
          </w:p>
        </w:tc>
        <w:tc>
          <w:tcPr>
            <w:tcW w:type="dxa" w:w="1782"/>
            <w:vAlign w:val="center"/>
          </w:tcPr>
          <w:p>
            <w:pPr>
              <w:jc w:val="center"/>
            </w:pPr>
            <w:r>
              <w:rPr>
                <w:b w:val="0"/>
                <w:sz w:val="15"/>
              </w:rPr>
              <w:t>0.893</w:t>
            </w:r>
          </w:p>
        </w:tc>
        <w:tc>
          <w:tcPr>
            <w:tcW w:type="dxa" w:w="1782"/>
            <w:vAlign w:val="center"/>
          </w:tcPr>
          <w:p>
            <w:pPr>
              <w:jc w:val="center"/>
            </w:pPr>
            <w:r>
              <w:rPr>
                <w:b w:val="0"/>
                <w:sz w:val="15"/>
              </w:rPr>
              <w:t>0.921</w:t>
            </w:r>
          </w:p>
        </w:tc>
        <w:tc>
          <w:tcPr>
            <w:tcW w:type="dxa" w:w="1782"/>
            <w:vAlign w:val="center"/>
          </w:tcPr>
          <w:p>
            <w:pPr>
              <w:jc w:val="center"/>
            </w:pPr>
            <w:r>
              <w:rPr>
                <w:b w:val="0"/>
                <w:sz w:val="15"/>
              </w:rPr>
              <w:t>0.943</w:t>
            </w:r>
          </w:p>
        </w:tc>
        <w:tc>
          <w:tcPr>
            <w:tcW w:type="dxa" w:w="1782"/>
            <w:vAlign w:val="center"/>
          </w:tcPr>
          <w:p>
            <w:pPr>
              <w:jc w:val="center"/>
            </w:pPr>
            <w:r>
              <w:rPr>
                <w:b w:val="0"/>
                <w:sz w:val="15"/>
              </w:rPr>
              <w:t>0/500</w:t>
            </w:r>
          </w:p>
        </w:tc>
        <w:tc>
          <w:tcPr>
            <w:tcW w:type="dxa" w:w="1782"/>
            <w:vAlign w:val="center"/>
          </w:tcPr>
          <w:p>
            <w:pPr>
              <w:jc w:val="center"/>
            </w:pPr>
            <w:r>
              <w:rPr>
                <w:b w:val="0"/>
                <w:sz w:val="15"/>
              </w:rPr>
              <w:t>500/500</w:t>
            </w:r>
          </w:p>
        </w:tc>
      </w:tr>
    </w:tbl>
    <w:p>
      <w:pPr/>
      <w:r>
        <w:t>Notes. At ρ = 0.90, the parent-index-excluded and symmetric estimates lie below the null distribution's fifth percentile, while the target-excluded estimate lies below the null median but not below its fifth percentile. For ρ = 0.95, 0.97, and 0.99, all three empirical estimates lie below the corresponding null fifth percentiles. The grid deliberately stresses the estimator under upper-tail and very high persistence.</w:t>
      </w:r>
    </w:p>
    <w:p>
      <w:pPr>
        <w:pStyle w:val="AppendixSubheading"/>
      </w:pPr>
      <w:r>
        <w:t>Table A3d. Fixed proxy-space component common-proxy explanatory shares</w:t>
      </w:r>
    </w:p>
    <w:tbl>
      <w:tblPr>
        <w:tblStyle w:val="TableGrid"/>
        <w:tblW w:type="auto" w:w="0"/>
        <w:jc w:val="center"/>
        <w:tblLayout w:type="fixed"/>
        <w:tblLook w:firstColumn="1" w:firstRow="1" w:lastColumn="0" w:lastRow="0" w:noHBand="0" w:noVBand="1" w:val="04A0"/>
      </w:tblPr>
      <w:tblGrid>
        <w:gridCol w:w="2376"/>
        <w:gridCol w:w="2376"/>
        <w:gridCol w:w="2376"/>
        <w:gridCol w:w="2376"/>
        <w:gridCol w:w="2376"/>
        <w:gridCol w:w="2376"/>
      </w:tblGrid>
      <w:tr>
        <w:trPr>
          <w:cantSplit/>
          <w:tblHeader w:val="true"/>
        </w:trPr>
        <w:tc>
          <w:tcPr>
            <w:tcW w:type="dxa" w:w="1800"/>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7"/>
              </w:rPr>
              <w:t>Period</w:t>
            </w:r>
          </w:p>
        </w:tc>
        <w:tc>
          <w:tcPr>
            <w:tcW w:type="dxa" w:w="158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7"/>
              </w:rPr>
              <w:t>Target</w:t>
            </w:r>
          </w:p>
        </w:tc>
        <w:tc>
          <w:tcPr>
            <w:tcW w:type="dxa" w:w="93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7"/>
              </w:rPr>
              <w:t>N</w:t>
            </w:r>
          </w:p>
        </w:tc>
        <w:tc>
          <w:tcPr>
            <w:tcW w:type="dxa" w:w="158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7"/>
              </w:rPr>
              <w:t>Mean R²</w:t>
            </w:r>
          </w:p>
        </w:tc>
        <w:tc>
          <w:tcPr>
            <w:tcW w:type="dxa" w:w="129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7"/>
              </w:rPr>
              <w:t>SE</w:t>
            </w:r>
          </w:p>
        </w:tc>
        <w:tc>
          <w:tcPr>
            <w:tcW w:type="dxa" w:w="201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7"/>
              </w:rPr>
              <w:t>Mean adjusted R²</w:t>
            </w:r>
          </w:p>
        </w:tc>
      </w:tr>
      <w:tr>
        <w:trPr>
          <w:cantSplit/>
        </w:trPr>
        <w:tc>
          <w:tcPr>
            <w:tcW w:type="dxa" w:w="2016"/>
            <w:gridSpan w:val="6"/>
            <w:vAlign w:val="center"/>
            <w:tcMar>
              <w:top w:w="45" w:type="dxa"/>
              <w:start w:w="55" w:type="dxa"/>
              <w:bottom w:w="45" w:type="dxa"/>
              <w:end w:w="55" w:type="dxa"/>
            </w:tcMar>
            <w:shd w:fill="E7E6E6"/>
          </w:tcPr>
          <w:p>
            <w:pPr>
              <w:spacing w:before="0" w:after="0" w:line="240" w:lineRule="auto"/>
              <w:jc w:val="center"/>
            </w:pPr>
            <w:r>
              <w:rPr>
                <w:rFonts w:ascii="Times New Roman" w:hAnsi="Times New Roman"/>
                <w:b/>
                <w:sz w:val="17"/>
              </w:rPr>
              <w:t>Panel A. Broad 142-economy sample</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1993–2020</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FIA</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142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0.862</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0.011</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0.831</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1993–2020</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FID</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142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0.780</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0.015</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0.730</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1993–2020</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FIE</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142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0.501</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0.017</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0.388</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1993–2020</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FMD</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142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0.728</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0.015</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0.666</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1993–2023</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FIA</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142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0.867</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0.011</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0.840</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1993–2023</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FID</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142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0.790</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0.015</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0.748</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1993–2023</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FIE</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142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0.516</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0.016</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0.419</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1993–2023</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FMD</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142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0.736</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0.015</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0.683</w:t>
            </w:r>
          </w:p>
        </w:tc>
      </w:tr>
      <w:tr>
        <w:trPr>
          <w:cantSplit/>
        </w:trPr>
        <w:tc>
          <w:tcPr>
            <w:tcW w:type="dxa" w:w="2016"/>
            <w:gridSpan w:val="6"/>
            <w:vAlign w:val="center"/>
            <w:tcMar>
              <w:top w:w="45" w:type="dxa"/>
              <w:start w:w="55" w:type="dxa"/>
              <w:bottom w:w="45" w:type="dxa"/>
              <w:end w:w="55" w:type="dxa"/>
            </w:tcMar>
            <w:shd w:fill="E7E6E6"/>
          </w:tcPr>
          <w:p>
            <w:pPr>
              <w:spacing w:before="0" w:after="0" w:line="240" w:lineRule="auto"/>
              <w:jc w:val="center"/>
            </w:pPr>
            <w:r>
              <w:rPr>
                <w:rFonts w:ascii="Times New Roman" w:hAnsi="Times New Roman"/>
                <w:b/>
                <w:sz w:val="17"/>
              </w:rPr>
              <w:t>Panel B. Common market sample</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1993–2020</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FMA</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82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0.635</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0.025</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0.553</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1993–2020</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FME</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82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0.591</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0.024</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0.498</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1993–2023</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FMA</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82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0.648</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0.025</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0.578</w:t>
            </w:r>
          </w:p>
        </w:tc>
      </w:tr>
      <w:tr>
        <w:trPr>
          <w:cantSplit/>
        </w:trPr>
        <w:tc>
          <w:tcPr>
            <w:tcW w:type="dxa" w:w="1800"/>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1993–2023</w:t>
            </w:r>
          </w:p>
        </w:tc>
        <w:tc>
          <w:tcPr>
            <w:tcW w:type="dxa" w:w="1584"/>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FME</w:t>
            </w:r>
          </w:p>
        </w:tc>
        <w:tc>
          <w:tcPr>
            <w:tcW w:type="dxa" w:w="936"/>
            <w:vAlign w:val="center"/>
            <w:tcMar>
              <w:top w:w="45" w:type="dxa"/>
              <w:start w:w="55" w:type="dxa"/>
              <w:bottom w:w="45" w:type="dxa"/>
              <w:end w:w="55" w:type="dxa"/>
            </w:tcMar>
          </w:tcPr>
          <w:p>
            <w:pPr>
              <w:spacing w:before="0" w:after="0" w:line="240" w:lineRule="auto"/>
              <w:jc w:val="left"/>
            </w:pPr>
            <w:r>
              <w:rPr>
                <w:rFonts w:ascii="Times New Roman" w:hAnsi="Times New Roman"/>
                <w:b w:val="0"/>
                <w:sz w:val="17"/>
              </w:rPr>
              <w:t>82</w:t>
            </w:r>
          </w:p>
        </w:tc>
        <w:tc>
          <w:tcPr>
            <w:tcW w:type="dxa" w:w="1584"/>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0.594</w:t>
            </w:r>
          </w:p>
        </w:tc>
        <w:tc>
          <w:tcPr>
            <w:tcW w:type="dxa" w:w="129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0.024</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7"/>
              </w:rPr>
              <w:t>0.513</w:t>
            </w:r>
          </w:p>
        </w:tc>
      </w:tr>
    </w:tbl>
    <w:p>
      <w:pPr>
        <w:spacing w:before="40" w:after="100" w:line="240" w:lineRule="auto"/>
      </w:pPr>
      <w:r>
        <w:t>Notes. All averages are leave-one-country-out. Institutional access and depth exceed institutional efficiency, while market depth exceeds both market access and market efficiency. Market access and efficiency are not statistically ordered relative to each other. The fixed-space results are a conditioning-space sensitivity check, not a separate structural decomposition.</w:t>
      </w:r>
    </w:p>
    <w:p>
      <w:r>
        <w:br w:type="page"/>
      </w:r>
    </w:p>
    <w:p>
      <w:pPr>
        <w:pStyle w:val="AppendixHeading"/>
        <w:keepNext/>
      </w:pPr>
      <w:r>
        <w:rPr>
          <w:rFonts w:ascii="Times New Roman" w:hAnsi="Times New Roman"/>
          <w:b/>
          <w:color w:val="2F5597"/>
          <w:sz w:val="26"/>
        </w:rPr>
        <w:t>Appendix A4. Component-income sensitivity estimates</w:t>
      </w:r>
    </w:p>
    <w:p>
      <w:pPr>
        <w:pStyle w:val="AppendixBody"/>
      </w:pPr>
      <w:r>
        <w:t>The table separates three sensitivity exercises: the preferred factor augmentation at the official 2020 endpoint, the sparse augmentation at the aligned 2023 endpoint, and the preferred estimates on the restricted common market sample. The main-text preferred 1993–2023 estimates for FD, FID, FIA, FIE, and FMD are not duplicated here.</w:t>
      </w:r>
    </w:p>
    <w:tbl>
      <w:tblPr>
        <w:tblStyle w:val="TableGrid"/>
        <w:tblW w:type="auto" w:w="0"/>
        <w:jc w:val="center"/>
        <w:tblLayout w:type="fixed"/>
        <w:tblLook w:firstColumn="1" w:firstRow="1" w:lastColumn="0" w:lastRow="0" w:noHBand="0" w:noVBand="1" w:val="04A0"/>
      </w:tblPr>
      <w:tblGrid>
        <w:gridCol w:w="1584"/>
        <w:gridCol w:w="1584"/>
        <w:gridCol w:w="1584"/>
        <w:gridCol w:w="1584"/>
        <w:gridCol w:w="1584"/>
        <w:gridCol w:w="1584"/>
        <w:gridCol w:w="1584"/>
        <w:gridCol w:w="1584"/>
        <w:gridCol w:w="1584"/>
      </w:tblGrid>
      <w:tr>
        <w:trPr>
          <w:cantSplit/>
          <w:tblHeader w:val="true"/>
        </w:trPr>
        <w:tc>
          <w:tcPr>
            <w:tcW w:type="dxa" w:w="1512"/>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Period</w:t>
            </w:r>
          </w:p>
        </w:tc>
        <w:tc>
          <w:tcPr>
            <w:tcW w:type="dxa" w:w="1080"/>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Variable</w:t>
            </w:r>
          </w:p>
        </w:tc>
        <w:tc>
          <w:tcPr>
            <w:tcW w:type="dxa" w:w="64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N</w:t>
            </w:r>
          </w:p>
        </w:tc>
        <w:tc>
          <w:tcPr>
            <w:tcW w:type="dxa" w:w="122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Observations</w:t>
            </w:r>
          </w:p>
        </w:tc>
        <w:tc>
          <w:tcPr>
            <w:tcW w:type="dxa" w:w="122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Coefficient</w:t>
            </w:r>
          </w:p>
        </w:tc>
        <w:tc>
          <w:tcPr>
            <w:tcW w:type="dxa" w:w="100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SE</w:t>
            </w:r>
          </w:p>
        </w:tc>
        <w:tc>
          <w:tcPr>
            <w:tcW w:type="dxa" w:w="93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p</w:t>
            </w:r>
          </w:p>
        </w:tc>
        <w:tc>
          <w:tcPr>
            <w:tcW w:type="dxa" w:w="194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95% CI</w:t>
            </w:r>
          </w:p>
        </w:tc>
        <w:tc>
          <w:tcPr>
            <w:tcW w:type="dxa" w:w="1440"/>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Adjustment term</w:t>
            </w:r>
          </w:p>
        </w:tc>
      </w:tr>
      <w:tr>
        <w:trPr>
          <w:cantSplit/>
        </w:trPr>
        <w:tc>
          <w:tcPr>
            <w:tcW w:type="dxa" w:w="1440"/>
            <w:gridSpan w:val="9"/>
            <w:vAlign w:val="center"/>
            <w:tcMar>
              <w:top w:w="45" w:type="dxa"/>
              <w:start w:w="55" w:type="dxa"/>
              <w:bottom w:w="45" w:type="dxa"/>
              <w:end w:w="55" w:type="dxa"/>
            </w:tcMar>
            <w:shd w:fill="E7E6E6"/>
          </w:tcPr>
          <w:p>
            <w:pPr>
              <w:spacing w:before="0" w:after="0" w:line="240" w:lineRule="auto"/>
              <w:jc w:val="center"/>
            </w:pPr>
            <w:r>
              <w:rPr>
                <w:rFonts w:ascii="Times New Roman" w:hAnsi="Times New Roman"/>
                <w:b/>
                <w:sz w:val="15"/>
              </w:rPr>
              <w:t>Panel A. Preferred CCE, official endpoint</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1993–2020</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FD</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142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3,834</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0.090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0.078</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0.248</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[−0.062, 0.242]</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−0.454</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1993–2020</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FID</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142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3,834</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−0.163</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0.143</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0.255</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[−0.444, 0.118]</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−0.447</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1993–2020</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FIA</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142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3,834</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0.117</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0.189</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0.537</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[−0.254, 0.488]</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−0.530</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1993–2020</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FIE</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142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3,834</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−0.126</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0.188</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0.503</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[−0.495, 0.243]</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−0.398</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1993–2020</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FMD</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142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3,834</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−0.026</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0.187</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0.889</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[−0.393, 0.341]</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−0.466</w:t>
            </w:r>
          </w:p>
        </w:tc>
      </w:tr>
      <w:tr>
        <w:trPr>
          <w:cantSplit/>
        </w:trPr>
        <w:tc>
          <w:tcPr>
            <w:tcW w:type="dxa" w:w="1440"/>
            <w:gridSpan w:val="9"/>
            <w:vAlign w:val="center"/>
            <w:tcMar>
              <w:top w:w="45" w:type="dxa"/>
              <w:start w:w="55" w:type="dxa"/>
              <w:bottom w:w="45" w:type="dxa"/>
              <w:end w:w="55" w:type="dxa"/>
            </w:tcMar>
            <w:shd w:fill="E7E6E6"/>
          </w:tcPr>
          <w:p>
            <w:pPr>
              <w:spacing w:before="0" w:after="0" w:line="240" w:lineRule="auto"/>
              <w:jc w:val="center"/>
            </w:pPr>
            <w:r>
              <w:rPr>
                <w:rFonts w:ascii="Times New Roman" w:hAnsi="Times New Roman"/>
                <w:b/>
                <w:sz w:val="15"/>
              </w:rPr>
              <w:t>Panel B. Sparse CCE, aligned endpoint</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1993–2023</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FD</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142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4,260</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0.094</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0.038</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0.013</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[0.020, 0.168]</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−0.522</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1993–2023</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FID</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142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4,260</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−0.163</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0.178</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0.361</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[−0.512, 0.186]</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−0.506</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1993–2023</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FIA</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142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4,260</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0.022</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0.036</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0.540</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[−0.048, 0.092]</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−0.575</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1993–2023</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FIE</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142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4,260</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0.080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0.029</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0.007</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[0.022, 0.138]</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−0.494</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1993–2023</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FMD</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142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4,260</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0.144</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0.086</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0.094</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[−0.025, 0.313]</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−0.538</w:t>
            </w:r>
          </w:p>
        </w:tc>
      </w:tr>
      <w:tr>
        <w:trPr>
          <w:cantSplit/>
        </w:trPr>
        <w:tc>
          <w:tcPr>
            <w:tcW w:type="dxa" w:w="1440"/>
            <w:gridSpan w:val="9"/>
            <w:vAlign w:val="center"/>
            <w:tcMar>
              <w:top w:w="45" w:type="dxa"/>
              <w:start w:w="55" w:type="dxa"/>
              <w:bottom w:w="45" w:type="dxa"/>
              <w:end w:w="55" w:type="dxa"/>
            </w:tcMar>
            <w:shd w:fill="E7E6E6"/>
          </w:tcPr>
          <w:p>
            <w:pPr>
              <w:spacing w:before="0" w:after="0" w:line="240" w:lineRule="auto"/>
              <w:jc w:val="center"/>
            </w:pPr>
            <w:r>
              <w:rPr>
                <w:rFonts w:ascii="Times New Roman" w:hAnsi="Times New Roman"/>
                <w:b/>
                <w:sz w:val="15"/>
              </w:rPr>
              <w:t>Panel C. Preferred CCE, common market sample</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1993–2020</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FMA</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83</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2,241</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0.194</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0.100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0.052</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[−0.002, 0.391]</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−0.452</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1993–2020</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FMD</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83</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2,241</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0.049</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0.054</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0.359</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[−0.056, 0.154]</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−0.413</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1993–2020</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FME</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83</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2,241</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0.021</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0.030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0.485</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[−0.038, 0.080]</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−0.388</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1993–2023</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FMA</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83</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2,490</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−0.739</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0.907</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0.415</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[−2.518, 1.039]</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−0.444</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1993–2023</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FMD</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83</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2,490</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−0.019</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0.028</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0.495</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[−0.075, 0.036]</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−0.430</w:t>
            </w:r>
          </w:p>
        </w:tc>
      </w:tr>
      <w:tr>
        <w:trPr>
          <w:cantSplit/>
        </w:trPr>
        <w:tc>
          <w:tcPr>
            <w:tcW w:type="dxa" w:w="1512"/>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1993–2023</w:t>
            </w:r>
          </w:p>
        </w:tc>
        <w:tc>
          <w:tcPr>
            <w:tcW w:type="dxa" w:w="108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FME</w:t>
            </w:r>
          </w:p>
        </w:tc>
        <w:tc>
          <w:tcPr>
            <w:tcW w:type="dxa" w:w="648"/>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83</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2,490</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0.015</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0.015</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0.327</w:t>
            </w:r>
          </w:p>
        </w:tc>
        <w:tc>
          <w:tcPr>
            <w:tcW w:type="dxa" w:w="194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[−0.015, 0.045]</w:t>
            </w:r>
          </w:p>
        </w:tc>
        <w:tc>
          <w:tcPr>
            <w:tcW w:type="dxa" w:w="1440"/>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−0.413</w:t>
            </w:r>
          </w:p>
        </w:tc>
      </w:tr>
    </w:tbl>
    <w:p>
      <w:pPr>
        <w:spacing w:before="40" w:after="100" w:line="240" w:lineRule="auto"/>
      </w:pPr>
      <w:r>
        <w:rPr>
          <w:rFonts w:ascii="Times New Roman" w:hAnsi="Times New Roman"/>
          <w:b/>
          <w:sz w:val="17"/>
        </w:rPr>
        <w:t xml:space="preserve">Notes. </w:t>
      </w:r>
      <w:r>
        <w:rPr>
          <w:rFonts w:ascii="Times New Roman" w:hAnsi="Times New Roman"/>
          <w:sz w:val="17"/>
        </w:rPr>
        <w:t>The adjustment term equals the estimated coefficient on lagged income minus one; negative values are consistent with error correction. Preferred augmentation uses cr_lags(1 1 1 1 1), while the sparse comparison uses cr_lags(0 1 1 0 1). FMA and FME estimates are auxiliary because they rely on a smaller, more selective sample and some specifications generate collinearity warnings. Fixed-sample nested FD specifications and their residual diagnostics are reported in Online Resource I.</w:t>
      </w:r>
    </w:p>
    <w:p>
      <w:r>
        <w:br w:type="page"/>
      </w:r>
    </w:p>
    <w:p>
      <w:pPr>
        <w:pStyle w:val="AppendixHeading"/>
        <w:keepNext/>
      </w:pPr>
      <w:r>
        <w:rPr>
          <w:rFonts w:ascii="Times New Roman" w:hAnsi="Times New Roman"/>
          <w:b/>
          <w:color w:val="2F5597"/>
          <w:sz w:val="26"/>
        </w:rPr>
        <w:t>Appendix A5. Additional residual-dependence diagnostics</w:t>
      </w:r>
    </w:p>
    <w:p>
      <w:pPr>
        <w:pStyle w:val="AppendixBody"/>
      </w:pPr>
      <w:r>
        <w:t>Specification adequacy is evaluated with the conventional CD statistic, the weighted CD statistic, the bias-corrected CD* statistic, and the residual dependence exponent. The preferred specification is retained when the diagnostics no longer indicate pervasive residual dependence; the coefficient sign or significance does not determine model selection.</w:t>
      </w:r>
    </w:p>
    <w:tbl>
      <w:tblPr>
        <w:tblStyle w:val="TableGrid"/>
        <w:tblW w:type="auto" w:w="0"/>
        <w:jc w:val="center"/>
        <w:tblLayout w:type="fixed"/>
        <w:tblLook w:firstColumn="1" w:firstRow="1" w:lastColumn="0" w:lastRow="0" w:noHBand="0" w:noVBand="1" w:val="04A0"/>
      </w:tblPr>
      <w:tblGrid>
        <w:gridCol w:w="1296"/>
        <w:gridCol w:w="1296"/>
        <w:gridCol w:w="1296"/>
        <w:gridCol w:w="1296"/>
        <w:gridCol w:w="1296"/>
        <w:gridCol w:w="1296"/>
        <w:gridCol w:w="1296"/>
        <w:gridCol w:w="1296"/>
        <w:gridCol w:w="1296"/>
        <w:gridCol w:w="1296"/>
        <w:gridCol w:w="1296"/>
      </w:tblGrid>
      <w:tr>
        <w:trPr>
          <w:cantSplit/>
          <w:tblHeader w:val="true"/>
        </w:trPr>
        <w:tc>
          <w:tcPr>
            <w:tcW w:type="dxa" w:w="1440"/>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Sample</w:t>
            </w:r>
          </w:p>
        </w:tc>
        <w:tc>
          <w:tcPr>
            <w:tcW w:type="dxa" w:w="122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Specification</w:t>
            </w:r>
          </w:p>
        </w:tc>
        <w:tc>
          <w:tcPr>
            <w:tcW w:type="dxa" w:w="86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Target</w:t>
            </w:r>
          </w:p>
        </w:tc>
        <w:tc>
          <w:tcPr>
            <w:tcW w:type="dxa" w:w="93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CD</w:t>
            </w:r>
          </w:p>
        </w:tc>
        <w:tc>
          <w:tcPr>
            <w:tcW w:type="dxa" w:w="93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p(CD)</w:t>
            </w:r>
          </w:p>
        </w:tc>
        <w:tc>
          <w:tcPr>
            <w:tcW w:type="dxa" w:w="93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CDw</w:t>
            </w:r>
          </w:p>
        </w:tc>
        <w:tc>
          <w:tcPr>
            <w:tcW w:type="dxa" w:w="100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p(CDw)</w:t>
            </w:r>
          </w:p>
        </w:tc>
        <w:tc>
          <w:tcPr>
            <w:tcW w:type="dxa" w:w="93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CD*</w:t>
            </w:r>
          </w:p>
        </w:tc>
        <w:tc>
          <w:tcPr>
            <w:tcW w:type="dxa" w:w="100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p(CD*)</w:t>
            </w:r>
          </w:p>
        </w:tc>
        <w:tc>
          <w:tcPr>
            <w:tcW w:type="dxa" w:w="136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Residual α</w:t>
            </w:r>
          </w:p>
        </w:tc>
        <w:tc>
          <w:tcPr>
            <w:tcW w:type="dxa" w:w="122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5"/>
              </w:rPr>
              <w:t>Adjustment</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Broad-142</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Preferred</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FD</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0.810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0.416</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−1.470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0.141</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−0.360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0.720</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0.232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−0.463</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Broad-142</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Preferred</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FID</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−0.030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0.974</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−0.150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0.879</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−1.490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0.136</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0.254</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−0.448</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Broad-142</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Preferred</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FIA</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1.890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0.058</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−0.560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0.573</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1.070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0.283</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Not estimable</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−0.506</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Broad-142</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Preferred</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FIE</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−0.840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0.399</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1.190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0.235</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−1.410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0.159</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0.300</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−0.423</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Broad-142</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Preferred</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FMD</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0.540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0.592</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−0.440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0.661</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−1.450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0.148</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0.347</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−0.483</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Markets-83</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Preferred</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FMA</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−0.250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0.803</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−0.110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0.910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−0.760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0.450</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Not estimable</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−0.444</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Markets-83</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Preferred</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FME</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−0.700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0.485</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1.020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0.308</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−1.180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0.238</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Not estimable</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−0.413</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Broad-142</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Sparse</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FD</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15.740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&lt;0.001</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−1.830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0.067</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3.470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0.001</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0.595</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−0.522</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Broad-142</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Sparse</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FID</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19.730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&lt;0.001</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−0.710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0.476</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8.220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&lt;0.001</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0.608</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−0.506</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Broad-142</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Sparse</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FIA</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16.990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&lt;0.001</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1.490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0.137</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6.160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&lt;0.001</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0.570</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−0.575</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Broad-142</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Sparse</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FIE</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29.430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&lt;0.001</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−0.190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0.846</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5.080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&lt;0.001</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0.695</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−0.494</w:t>
            </w:r>
          </w:p>
        </w:tc>
      </w:tr>
      <w:tr>
        <w:trPr>
          <w:cantSplit/>
        </w:trPr>
        <w:tc>
          <w:tcPr>
            <w:tcW w:type="dxa" w:w="1440"/>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Broad-142</w:t>
            </w:r>
          </w:p>
        </w:tc>
        <w:tc>
          <w:tcPr>
            <w:tcW w:type="dxa" w:w="122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Sparse</w:t>
            </w:r>
          </w:p>
        </w:tc>
        <w:tc>
          <w:tcPr>
            <w:tcW w:type="dxa" w:w="864"/>
            <w:vAlign w:val="center"/>
            <w:tcMar>
              <w:top w:w="45" w:type="dxa"/>
              <w:start w:w="55" w:type="dxa"/>
              <w:bottom w:w="45" w:type="dxa"/>
              <w:end w:w="55" w:type="dxa"/>
            </w:tcMar>
          </w:tcPr>
          <w:p>
            <w:pPr>
              <w:spacing w:before="0" w:after="0" w:line="240" w:lineRule="auto"/>
              <w:jc w:val="left"/>
            </w:pPr>
            <w:r>
              <w:rPr>
                <w:rFonts w:ascii="Times New Roman" w:hAnsi="Times New Roman"/>
                <w:b w:val="0"/>
                <w:sz w:val="15"/>
              </w:rPr>
              <w:t>FMD</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18.520</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&lt;0.001</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−0.860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0.388</w:t>
            </w:r>
          </w:p>
        </w:tc>
        <w:tc>
          <w:tcPr>
            <w:tcW w:type="dxa" w:w="936"/>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5.270</w:t>
            </w:r>
          </w:p>
        </w:tc>
        <w:tc>
          <w:tcPr>
            <w:tcW w:type="dxa" w:w="100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&lt;0.001</w:t>
            </w:r>
          </w:p>
        </w:tc>
        <w:tc>
          <w:tcPr>
            <w:tcW w:type="dxa" w:w="1368"/>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0.622</w:t>
            </w:r>
          </w:p>
        </w:tc>
        <w:tc>
          <w:tcPr>
            <w:tcW w:type="dxa" w:w="1224"/>
            <w:vAlign w:val="center"/>
            <w:tcMar>
              <w:top w:w="45" w:type="dxa"/>
              <w:start w:w="55" w:type="dxa"/>
              <w:bottom w:w="45" w:type="dxa"/>
              <w:end w:w="55" w:type="dxa"/>
            </w:tcMar>
          </w:tcPr>
          <w:p>
            <w:pPr>
              <w:spacing w:before="0" w:after="0" w:line="240" w:lineRule="auto"/>
              <w:jc w:val="center"/>
            </w:pPr>
            <w:r>
              <w:rPr>
                <w:rFonts w:ascii="Times New Roman" w:hAnsi="Times New Roman"/>
                <w:b w:val="0"/>
                <w:sz w:val="15"/>
              </w:rPr>
              <w:t>−0.538</w:t>
            </w:r>
          </w:p>
        </w:tc>
      </w:tr>
    </w:tbl>
    <w:p>
      <w:pPr>
        <w:spacing w:before="40" w:after="100" w:line="240" w:lineRule="auto"/>
      </w:pPr>
      <w:r>
        <w:rPr>
          <w:rFonts w:ascii="Times New Roman" w:hAnsi="Times New Roman"/>
          <w:b/>
          <w:sz w:val="17"/>
        </w:rPr>
        <w:t xml:space="preserve">Notes. </w:t>
      </w:r>
      <w:r>
        <w:rPr>
          <w:rFonts w:ascii="Times New Roman" w:hAnsi="Times New Roman"/>
          <w:sz w:val="17"/>
        </w:rPr>
        <w:t>CDw follows Juodis and Reese; CD* is the bias-corrected test of Pesaran and Xie. Under the preferred broad-panel design, the conventional and factor-robust tests agree clearly for FD, FID, FIE, and FMD. FIA is borderline under conventional CD, while ordinary CDw and CD* do not reject; the power-enhanced CDw+ statistic rejects. Its residual panel contains 142 economies with 30 observations each, but the dependence exponent is not returned. No computational reason is inferred beyond the software output. The sparse specifications retain strong residual dependence.</w:t>
      </w:r>
    </w:p>
    <w:p>
      <w:pPr>
        <w:pStyle w:val="AppendixHeading"/>
        <w:keepNext/>
      </w:pPr>
      <w:r>
        <w:rPr>
          <w:rFonts w:ascii="Times New Roman" w:hAnsi="Times New Roman"/>
          <w:b/>
          <w:color w:val="2F5597"/>
          <w:sz w:val="26"/>
        </w:rPr>
        <w:t>Appendix A6. Country exclusions and actual sample counts</w:t>
      </w:r>
    </w:p>
    <w:p>
      <w:pPr>
        <w:pStyle w:val="AppendixBody"/>
      </w:pPr>
      <w:r>
        <w:t>The table distinguishes the balanced core sample from the component-specific conservative samples and the country regressions that are successfully estimable. Potential observations refer to the balanced country-year count before any regression-specific loss.</w:t>
      </w:r>
    </w:p>
    <w:tbl>
      <w:tblPr>
        <w:tblStyle w:val="TableGrid"/>
        <w:tblW w:type="auto" w:w="0"/>
        <w:jc w:val="center"/>
        <w:tblLayout w:type="fixed"/>
        <w:tblLook w:firstColumn="1" w:firstRow="1" w:lastColumn="0" w:lastRow="0" w:noHBand="0" w:noVBand="1" w:val="04A0"/>
      </w:tblPr>
      <w:tblGrid>
        <w:gridCol w:w="2851"/>
        <w:gridCol w:w="2851"/>
        <w:gridCol w:w="2851"/>
        <w:gridCol w:w="2851"/>
        <w:gridCol w:w="2851"/>
      </w:tblGrid>
      <w:tr>
        <w:trPr>
          <w:cantSplit/>
          <w:tblHeader w:val="true"/>
        </w:trPr>
        <w:tc>
          <w:tcPr>
            <w:tcW w:type="dxa" w:w="3168"/>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Exercise</w:t>
            </w:r>
          </w:p>
        </w:tc>
        <w:tc>
          <w:tcPr>
            <w:tcW w:type="dxa" w:w="1152"/>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Economies</w:t>
            </w:r>
          </w:p>
        </w:tc>
        <w:tc>
          <w:tcPr>
            <w:tcW w:type="dxa" w:w="165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Period</w:t>
            </w:r>
          </w:p>
        </w:tc>
        <w:tc>
          <w:tcPr>
            <w:tcW w:type="dxa" w:w="2016"/>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Potential observations</w:t>
            </w:r>
          </w:p>
        </w:tc>
        <w:tc>
          <w:tcPr>
            <w:tcW w:type="dxa" w:w="662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Reason or qualification</w:t>
            </w:r>
          </w:p>
        </w:tc>
      </w:tr>
      <w:tr>
        <w:trPr>
          <w:cantSplit/>
        </w:trPr>
        <w:tc>
          <w:tcPr>
            <w:tcW w:type="dxa" w:w="316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Balanced core panel</w:t>
            </w:r>
          </w:p>
        </w:tc>
        <w:tc>
          <w:tcPr>
            <w:tcW w:type="dxa" w:w="11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1993–2023</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4,402</w:t>
            </w:r>
          </w:p>
        </w:tc>
        <w:tc>
          <w:tcPr>
            <w:tcW w:type="dxa" w:w="66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Complete observations for the five core variables</w:t>
            </w:r>
          </w:p>
        </w:tc>
      </w:tr>
      <w:tr>
        <w:trPr>
          <w:cantSplit/>
        </w:trPr>
        <w:tc>
          <w:tcPr>
            <w:tcW w:type="dxa" w:w="316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Preferred dynamic models</w:t>
            </w:r>
          </w:p>
        </w:tc>
        <w:tc>
          <w:tcPr>
            <w:tcW w:type="dxa" w:w="11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1994–2023</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4,260</w:t>
            </w:r>
          </w:p>
        </w:tc>
        <w:tc>
          <w:tcPr>
            <w:tcW w:type="dxa" w:w="66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One lag per economy</w:t>
            </w:r>
          </w:p>
        </w:tc>
      </w:tr>
      <w:tr>
        <w:trPr>
          <w:cantSplit/>
        </w:trPr>
        <w:tc>
          <w:tcPr>
            <w:tcW w:type="dxa" w:w="316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Official detailed components</w:t>
            </w:r>
          </w:p>
        </w:tc>
        <w:tc>
          <w:tcPr>
            <w:tcW w:type="dxa" w:w="11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142</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1993–2020</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3,976 per component</w:t>
            </w:r>
          </w:p>
        </w:tc>
        <w:tc>
          <w:tcPr>
            <w:tcW w:type="dxa" w:w="66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Before the terminal level extension</w:t>
            </w:r>
          </w:p>
        </w:tc>
      </w:tr>
      <w:tr>
        <w:trPr>
          <w:cantSplit/>
        </w:trPr>
        <w:tc>
          <w:tcPr>
            <w:tcW w:type="dxa" w:w="316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FMA conservative coverage</w:t>
            </w:r>
          </w:p>
        </w:tc>
        <w:tc>
          <w:tcPr>
            <w:tcW w:type="dxa" w:w="11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107</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1993–2023</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3,317 potential</w:t>
            </w:r>
          </w:p>
        </w:tc>
        <w:tc>
          <w:tcPr>
            <w:tcW w:type="dxa" w:w="66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35 entirely zero histories excluded</w:t>
            </w:r>
          </w:p>
        </w:tc>
      </w:tr>
      <w:tr>
        <w:trPr>
          <w:cantSplit/>
        </w:trPr>
        <w:tc>
          <w:tcPr>
            <w:tcW w:type="dxa" w:w="316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FME conservative coverage</w:t>
            </w:r>
          </w:p>
        </w:tc>
        <w:tc>
          <w:tcPr>
            <w:tcW w:type="dxa" w:w="11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85</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1993–2023</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2,635 potential</w:t>
            </w:r>
          </w:p>
        </w:tc>
        <w:tc>
          <w:tcPr>
            <w:tcW w:type="dxa" w:w="66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57 entirely zero histories excluded</w:t>
            </w:r>
          </w:p>
        </w:tc>
      </w:tr>
      <w:tr>
        <w:trPr>
          <w:cantSplit/>
        </w:trPr>
        <w:tc>
          <w:tcPr>
            <w:tcW w:type="dxa" w:w="316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Common market comparison</w:t>
            </w:r>
          </w:p>
        </w:tc>
        <w:tc>
          <w:tcPr>
            <w:tcW w:type="dxa" w:w="11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83</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1993–2023</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2,573 potential</w:t>
            </w:r>
          </w:p>
        </w:tc>
        <w:tc>
          <w:tcPr>
            <w:tcW w:type="dxa" w:w="66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Intersection of usable FMA and FME histories</w:t>
            </w:r>
          </w:p>
        </w:tc>
      </w:tr>
      <w:tr>
        <w:trPr>
          <w:cantSplit/>
        </w:trPr>
        <w:tc>
          <w:tcPr>
            <w:tcW w:type="dxa" w:w="316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Common-share FMA regressions</w:t>
            </w:r>
          </w:p>
        </w:tc>
        <w:tc>
          <w:tcPr>
            <w:tcW w:type="dxa" w:w="11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82</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1993–2023</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2,542 potential</w:t>
            </w:r>
          </w:p>
        </w:tc>
        <w:tc>
          <w:tcPr>
            <w:tcW w:type="dxa" w:w="66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Zambia regression not estimable</w:t>
            </w:r>
          </w:p>
        </w:tc>
      </w:tr>
      <w:tr>
        <w:trPr>
          <w:cantSplit/>
        </w:trPr>
        <w:tc>
          <w:tcPr>
            <w:tcW w:type="dxa" w:w="316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Common-share FME regressions</w:t>
            </w:r>
          </w:p>
        </w:tc>
        <w:tc>
          <w:tcPr>
            <w:tcW w:type="dxa" w:w="11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82</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1993–2023</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2,542 potential</w:t>
            </w:r>
          </w:p>
        </w:tc>
        <w:tc>
          <w:tcPr>
            <w:tcW w:type="dxa" w:w="66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Korea, Rep. regression not estimable</w:t>
            </w:r>
          </w:p>
        </w:tc>
      </w:tr>
      <w:tr>
        <w:trPr>
          <w:cantSplit/>
        </w:trPr>
        <w:tc>
          <w:tcPr>
            <w:tcW w:type="dxa" w:w="3168"/>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Governance gradient</w:t>
            </w:r>
          </w:p>
        </w:tc>
        <w:tc>
          <w:tcPr>
            <w:tcW w:type="dxa" w:w="11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126</w:t>
            </w:r>
          </w:p>
        </w:tc>
        <w:tc>
          <w:tcPr>
            <w:tcW w:type="dxa" w:w="1656"/>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Cross-section</w:t>
            </w:r>
          </w:p>
        </w:tc>
        <w:tc>
          <w:tcPr>
            <w:tcW w:type="dxa" w:w="201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126</w:t>
            </w:r>
          </w:p>
        </w:tc>
        <w:tc>
          <w:tcPr>
            <w:tcW w:type="dxa" w:w="66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Complete predetermined WGI capacity information</w:t>
            </w:r>
          </w:p>
        </w:tc>
      </w:tr>
    </w:tbl>
    <w:p>
      <w:pPr>
        <w:spacing w:before="40" w:after="100" w:line="240" w:lineRule="auto"/>
      </w:pPr>
      <w:r>
        <w:rPr>
          <w:rFonts w:ascii="Times New Roman" w:hAnsi="Times New Roman"/>
          <w:b/>
          <w:sz w:val="17"/>
        </w:rPr>
        <w:t xml:space="preserve">Notes. </w:t>
      </w:r>
      <w:r>
        <w:rPr>
          <w:rFonts w:ascii="Times New Roman" w:hAnsi="Times New Roman"/>
          <w:sz w:val="17"/>
        </w:rPr>
        <w:t>Papua New Guinea and Eswatini have usable FME histories but entirely zero FMA histories, so the joint conservative sample contains 83 rather than 85 economies. Regression-specific failures arise when the country-level target-excluded equation cannot be estimated with the available within-country variation.</w:t>
      </w:r>
    </w:p>
    <w:p>
      <w:r>
        <w:br w:type="page"/>
      </w:r>
    </w:p>
    <w:p>
      <w:pPr>
        <w:spacing w:before="100" w:after="40"/>
        <w:jc w:val="left"/>
      </w:pPr>
      <w:r>
        <w:rPr>
          <w:rFonts w:ascii="Times New Roman" w:hAnsi="Times New Roman"/>
          <w:b/>
          <w:color w:val="2F5597"/>
          <w:sz w:val="22"/>
        </w:rPr>
        <w:t>Figure A1. Sample construction for the detailed market components</w:t>
      </w:r>
    </w:p>
    <w:p>
      <w:pPr>
        <w:jc w:val="center"/>
      </w:pPr>
      <w:r>
        <w:drawing>
          <wp:inline xmlns:a="http://schemas.openxmlformats.org/drawingml/2006/main" xmlns:pic="http://schemas.openxmlformats.org/drawingml/2006/picture">
            <wp:extent cx="9326880" cy="3524755"/>
            <wp:docPr id="1" name="Picture 1"/>
            <wp:cNvGraphicFramePr>
              <a:graphicFrameLocks noChangeAspect="1"/>
            </wp:cNvGraphicFramePr>
            <a:graphic>
              <a:graphicData uri="http://schemas.openxmlformats.org/drawingml/2006/picture">
                <pic:pic>
                  <pic:nvPicPr>
                    <pic:cNvPr id="0" name="appendix_sample_flow.png"/>
                    <pic:cNvPicPr/>
                  </pic:nvPicPr>
                  <pic:blipFill>
                    <a:blip r:embed="rId9"/>
                    <a:stretch>
                      <a:fillRect/>
                    </a:stretch>
                  </pic:blipFill>
                  <pic:spPr>
                    <a:xfrm>
                      <a:off x="0" y="0"/>
                      <a:ext cx="9326880" cy="3524755"/>
                    </a:xfrm>
                    <a:prstGeom prst="rect"/>
                  </pic:spPr>
                </pic:pic>
              </a:graphicData>
            </a:graphic>
          </wp:inline>
        </w:drawing>
      </w:r>
    </w:p>
    <w:p>
      <w:pPr>
        <w:spacing w:before="40" w:after="100" w:line="240" w:lineRule="auto"/>
      </w:pPr>
      <w:r>
        <w:rPr>
          <w:rFonts w:ascii="Times New Roman" w:hAnsi="Times New Roman"/>
          <w:b/>
          <w:sz w:val="17"/>
        </w:rPr>
        <w:t xml:space="preserve">Notes. </w:t>
      </w:r>
      <w:r>
        <w:rPr>
          <w:rFonts w:ascii="Times New Roman" w:hAnsi="Times New Roman"/>
          <w:sz w:val="17"/>
        </w:rPr>
        <w:t>The figure summarises the conservative treatment of entirely zero FMA and FME histories and the final country-level regression counts. It documents sample construction only and does not introduce an additional empirical result.</w:t>
      </w:r>
    </w:p>
    <w:p>
      <w:pPr>
        <w:pStyle w:val="AppendixSubheading"/>
        <w:keepNext/>
      </w:pPr>
      <w:r>
        <w:rPr>
          <w:rFonts w:ascii="Times New Roman" w:hAnsi="Times New Roman"/>
          <w:b/>
          <w:sz w:val="20"/>
        </w:rPr>
        <w:t>Countries excluded from the conservative FMA sample (35)</w:t>
      </w:r>
    </w:p>
    <w:p>
      <w:pPr>
        <w:pStyle w:val="AppendixBody"/>
        <w:spacing w:after="80"/>
      </w:pPr>
      <w:r>
        <w:t>Albania (ALB); Belize (BLZ); Benin (BEN); Bhutan (BTN); Bosnia and Herzegovina (BIH); Burkina Faso (BFA); Cabo Verde (CPV); Cambodia (KHM); Cameroon (CMR); Chad (TCD); Congo, Democratic Republic of the (COD); Congo, Republic of (COG); Eswatini, Kingdom of (SWZ); Fiji, Republic of (FJI); Gabon (GAB); Grenada (GRD); Guinea (GIN); Guyana (GUY); Lesotho, Kingdom of (LSO); Madagascar, Republic of (MDG); Malawi (MWI); Mali (MLI); Mauritania, Islamic Republic of (MRT); Moldova, Republic of (MDA); Nepal (NPL); Nicaragua (NIC); Niger (NER); North Macedonia, Republic of (MKD); Papua New Guinea (PNG); Rwanda (RWA); Senegal (SEN); Sierra Leone (SLE); Suriname (SUR); Uganda (UGA); Yemen, Republic of (YEM).</w:t>
      </w:r>
    </w:p>
    <w:p>
      <w:pPr>
        <w:pStyle w:val="AppendixSubheading"/>
        <w:keepNext/>
      </w:pPr>
      <w:r>
        <w:rPr>
          <w:rFonts w:ascii="Times New Roman" w:hAnsi="Times New Roman"/>
          <w:b/>
          <w:sz w:val="20"/>
        </w:rPr>
        <w:t>Countries excluded from the conservative FME sample (57)</w:t>
      </w:r>
    </w:p>
    <w:p>
      <w:pPr>
        <w:pStyle w:val="AppendixBody"/>
        <w:spacing w:after="80"/>
      </w:pPr>
      <w:r>
        <w:t>Albania (ALB); Algeria (DZA); Angola (AGO); Armenia, Republic of (ARM); Azerbaijan, Republic of (AZE); Bahamas, The (BHS); Belize (BLZ); Benin (BEN); Bhutan (BTN); Bolivia (BOL); Bosnia and Herzegovina (BIH); Brunei Darussalam (BRN); Burkina Faso (BFA); Burundi (BDI); Cabo Verde (CPV); Cambodia (KHM); Cameroon (CMR); Chad (TCD); Congo, Democratic Republic of the (COD); Congo, Republic of (COG); Dominican Republic (DOM); El Salvador (SLV); Estonia, Republic of (EST); Ethiopia, The Federal Democratic Republic of (ETH); Fiji, Republic of (FJI); Gabon (GAB); Georgia (GEO); Grenada (GRD); Guatemala (GTM); Guinea (GIN); Guyana (GUY); Honduras (HND); Kyrgyz Republic (KGZ); Lao People's Democratic Republic (LAO); Latvia, Republic of (LVA); Lesotho, Kingdom of (LSO); Lithuania, Republic of (LTU); Madagascar, Republic of (MDG); Malawi (MWI); Mali (MLI); Mauritania, Islamic Republic of (MRT); Moldova, Republic of (MDA); Mongolia (MNG); Mozambique, Republic of (MOZ); Nepal (NPL); Nicaragua (NIC); Niger (NER); North Macedonia, Republic of (MKD); Rwanda (RWA); Senegal (SEN); Sierra Leone (SLE); St. Lucia (LCA); Suriname (SUR); Togo (TGO); Uganda (UGA); Uzbekistan, Republic of (UZB); Yemen, Republic of (YEM).</w:t>
      </w:r>
    </w:p>
    <w:p>
      <w:pPr>
        <w:pStyle w:val="AppendixSubheading"/>
        <w:keepNext/>
      </w:pPr>
      <w:r>
        <w:rPr>
          <w:rFonts w:ascii="Times New Roman" w:hAnsi="Times New Roman"/>
          <w:b/>
          <w:sz w:val="20"/>
        </w:rPr>
        <w:t>Balanced core sample (142 economies)</w:t>
      </w:r>
    </w:p>
    <w:p>
      <w:pPr>
        <w:pStyle w:val="AppendixBody"/>
        <w:spacing w:after="80"/>
      </w:pPr>
      <w:r>
        <w:t>Albania (ALB); Algeria (DZA); Angola (AGO); Argentina (ARG); Armenia (ARM); Australia (AUS); Austria (AUT); Azerbaijan (AZE); Bahamas, The (BHS); Bangladesh (BGD); Barbados (BRB); Belarus (BLR); Belgium (BEL); Belize (BLZ); Benin (BEN); Bhutan (BTN); Bolivia (BOL); Bosnia and Herzegovina (BIH); Botswana (BWA); Brazil (BRA); Brunei Darussalam (BRN); Bulgaria (BGR); Burkina Faso (BFA); Burundi (BDI); Cabo Verde (CPV); Cambodia (KHM); Cameroon (CMR); Canada (CAN); Chad (TCD); Chile (CHL); China (CHN); Colombia (COL); Congo, Dem. Rep. (COD); Congo, Rep. (COG); Costa Rica (CRI); Cote d'Ivoire (CIV); Croatia (HRV); Cyprus (CYP); Czechia (CZE); Denmark (DNK); Dominican Republic (DOM); Ecuador (ECU); Egypt, Arab Rep. (EGY); El Salvador (SLV); Estonia (EST); Eswatini (SWZ); Ethiopia (ETH); Fiji (FJI); Finland (FIN); France (FRA); Gabon (GAB); Georgia (GEO); Germany (DEU); Ghana (GHA); Greece (GRC); Grenada (GRD); Guatemala (GTM); Guinea (GIN); Guyana (GUY); Honduras (HND); Hungary (HUN); India (IND); Indonesia (IDN); Iran, Islamic Rep. (IRN); Ireland (IRL); Israel (ISR); Italy (ITA); Jamaica (JAM); Japan (JPN); Jordan (JOR); Kazakhstan (KAZ); Kenya (KEN); Korea, Rep. (KOR); Kuwait (KWT); Kyrgyz Republic (KGZ); Lao PDR (LAO); Latvia (LVA); Lebanon (LBN); Lesotho (LSO); Lithuania (LTU); Luxembourg (LUX); Madagascar (MDG); Malawi (MWI); Malaysia (MYS); Mali (MLI); Malta (MLT); Mauritania (MRT); Mauritius (MUS); Mexico (MEX); Moldova (MDA); Mongolia (MNG); Morocco (MAR); Mozambique (MOZ); Namibia (NAM); Nepal (NPL); Netherlands (NLD); New Zealand (NZL); Nicaragua (NIC); Niger (NER); Nigeria (NGA); North Macedonia (MKD); Norway (NOR); Oman (OMN); Pakistan (PAK); Panama (PAN); Papua New Guinea (PNG); Paraguay (PRY); Peru (PER); Philippines (PHL); Poland (POL); Portugal (PRT); Romania (ROU); Russian Federation (RUS); Rwanda (RWA); Saudi Arabia (SAU); Senegal (SEN); Sierra Leone (SLE); Singapore (SGP); Slovak Republic (SVK); Slovenia (SVN); South Africa (ZAF); Spain (ESP); Sri Lanka (LKA); St. Lucia (LCA); Suriname (SUR); Sweden (SWE); Switzerland (CHE); Tanzania (TZA); Thailand (THA); Togo (TGO); Tunisia (TUN); Turkiye (TUR); Uganda (UGA); Ukraine (UKR); United Arab Emirates (ARE); United Kingdom (GBR); United States (USA); Uruguay (URY); Uzbekistan (UZB); Viet Nam (VNM); Yemen, Rep. (YEM); Zambia (ZMB).</w:t>
      </w:r>
    </w:p>
    <w:p>
      <w:r>
        <w:br w:type="page"/>
      </w:r>
    </w:p>
    <w:p>
      <w:pPr>
        <w:pStyle w:val="AppendixHeading"/>
        <w:keepNext/>
      </w:pPr>
      <w:r>
        <w:rPr>
          <w:rFonts w:ascii="Times New Roman" w:hAnsi="Times New Roman"/>
          <w:b/>
          <w:color w:val="2F5597"/>
          <w:sz w:val="26"/>
        </w:rPr>
        <w:t>Appendix A7. Exact common-share proxy sets and transformation rules</w:t>
      </w:r>
    </w:p>
    <w:p>
      <w:pPr>
        <w:pStyle w:val="AppendixBody"/>
      </w:pPr>
      <w:r>
        <w:t>This section documents the proxy spaces, transformations, empirical persistence context, and high-persistence null benchmark used to generate the main and supplementary common-proxy estimates. It does not add a new estimator.</w:t>
      </w:r>
    </w:p>
    <w:p>
      <w:pPr>
        <w:pStyle w:val="AppendixSubheading"/>
        <w:keepNext/>
      </w:pPr>
      <w:r>
        <w:rPr>
          <w:rFonts w:ascii="Times New Roman" w:hAnsi="Times New Roman"/>
          <w:b/>
          <w:sz w:val="20"/>
        </w:rPr>
        <w:t>Panel A. Proxy-space documentation</w:t>
      </w:r>
    </w:p>
    <w:tbl>
      <w:tblPr>
        <w:tblStyle w:val="TableGrid"/>
        <w:tblW w:type="auto" w:w="0"/>
        <w:jc w:val="center"/>
        <w:tblLayout w:type="fixed"/>
        <w:tblLook w:firstColumn="1" w:firstRow="1" w:lastColumn="0" w:lastRow="0" w:noHBand="0" w:noVBand="1" w:val="04A0"/>
      </w:tblPr>
      <w:tblGrid>
        <w:gridCol w:w="3564"/>
        <w:gridCol w:w="3564"/>
        <w:gridCol w:w="3564"/>
        <w:gridCol w:w="3564"/>
      </w:tblGrid>
      <w:tr>
        <w:trPr>
          <w:cantSplit/>
          <w:tblHeader w:val="true"/>
          <w:tblHeader w:val="true"/>
          <w:tblHeader w:val="true"/>
        </w:trPr>
        <w:tc>
          <w:tcPr>
            <w:tcW w:type="dxa" w:w="2232"/>
            <w:vAlign w:val="center"/>
            <w:tcMar>
              <w:top w:w="45" w:type="dxa"/>
              <w:start w:w="55" w:type="dxa"/>
              <w:bottom w:w="45" w:type="dxa"/>
              <w:end w:w="55" w:type="dxa"/>
            </w:tcMar>
            <w:shd w:fill="D9EAF7"/>
          </w:tcPr>
          <w:p>
            <w:pPr>
              <w:spacing w:before="0" w:after="0" w:line="240" w:lineRule="auto"/>
              <w:jc w:val="center"/>
            </w:pPr>
            <w:r>
              <w:rPr>
                <w:rFonts w:ascii="Times New Roman" w:hAnsi="Times New Roman"/>
                <w:b/>
                <w:sz w:val="16"/>
              </w:rPr>
              <w:t>Design block</w:t>
            </w:r>
          </w:p>
        </w:tc>
        <w:tc>
          <w:tcPr>
            <w:tcW w:type="dxa" w:w="3672"/>
            <w:vAlign w:val="center"/>
            <w:tcMar>
              <w:top w:w="45" w:type="dxa"/>
              <w:start w:w="55" w:type="dxa"/>
              <w:bottom w:w="45" w:type="dxa"/>
              <w:end w:w="55" w:type="dxa"/>
            </w:tcMar>
            <w:shd w:fill="D9EAF7"/>
          </w:tcPr>
          <w:p>
            <w:pPr>
              <w:spacing w:before="0" w:after="0" w:line="240" w:lineRule="auto"/>
              <w:jc w:val="center"/>
            </w:pPr>
            <w:r>
              <w:rPr>
                <w:rFonts w:ascii="Times New Roman" w:hAnsi="Times New Roman"/>
                <w:b/>
                <w:sz w:val="16"/>
              </w:rPr>
              <w:t>Targets</w:t>
            </w:r>
          </w:p>
        </w:tc>
        <w:tc>
          <w:tcPr>
            <w:tcW w:type="dxa" w:w="6696"/>
            <w:vAlign w:val="center"/>
            <w:tcMar>
              <w:top w:w="45" w:type="dxa"/>
              <w:start w:w="55" w:type="dxa"/>
              <w:bottom w:w="45" w:type="dxa"/>
              <w:end w:w="55" w:type="dxa"/>
            </w:tcMar>
            <w:shd w:fill="D9EAF7"/>
          </w:tcPr>
          <w:p>
            <w:pPr>
              <w:spacing w:before="0" w:after="0" w:line="240" w:lineRule="auto"/>
              <w:jc w:val="center"/>
            </w:pPr>
            <w:r>
              <w:rPr>
                <w:rFonts w:ascii="Times New Roman" w:hAnsi="Times New Roman"/>
                <w:b/>
                <w:sz w:val="16"/>
              </w:rPr>
              <w:t>Candidate leave-one-out proxy pool</w:t>
            </w:r>
          </w:p>
        </w:tc>
        <w:tc>
          <w:tcPr>
            <w:tcW w:type="dxa" w:w="3024"/>
            <w:vAlign w:val="center"/>
            <w:tcMar>
              <w:top w:w="45" w:type="dxa"/>
              <w:start w:w="55" w:type="dxa"/>
              <w:bottom w:w="45" w:type="dxa"/>
              <w:end w:w="55" w:type="dxa"/>
            </w:tcMar>
            <w:shd w:fill="D9EAF7"/>
          </w:tcPr>
          <w:p>
            <w:pPr>
              <w:spacing w:before="0" w:after="0" w:line="240" w:lineRule="auto"/>
              <w:jc w:val="center"/>
            </w:pPr>
            <w:r>
              <w:rPr>
                <w:rFonts w:ascii="Times New Roman" w:hAnsi="Times New Roman"/>
                <w:b/>
                <w:sz w:val="16"/>
              </w:rPr>
              <w:t>Design sample</w:t>
            </w:r>
          </w:p>
        </w:tc>
      </w:tr>
      <w:tr>
        <w:trPr>
          <w:cantSplit/>
        </w:trPr>
        <w:tc>
          <w:tcPr>
            <w:tcW w:type="dxa" w:w="223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Parent-index block</w:t>
            </w:r>
          </w:p>
        </w:tc>
        <w:tc>
          <w:tcPr>
            <w:tcW w:type="dxa" w:w="367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FD, FI, FM, ECPC, EFCPC, CO₂P</w:t>
            </w:r>
          </w:p>
        </w:tc>
        <w:tc>
          <w:tcPr>
            <w:tcW w:type="dxa" w:w="66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yp, FD, FI, FM, KOFFIGI-DJ, ECPC, EFCPC, CO₂P</w:t>
            </w:r>
          </w:p>
        </w:tc>
        <w:tc>
          <w:tcPr>
            <w:tcW w:type="dxa" w:w="30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 economies</w:t>
            </w:r>
          </w:p>
        </w:tc>
      </w:tr>
      <w:tr>
        <w:trPr>
          <w:cantSplit/>
        </w:trPr>
        <w:tc>
          <w:tcPr>
            <w:tcW w:type="dxa" w:w="223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Institutional block</w:t>
            </w:r>
          </w:p>
        </w:tc>
        <w:tc>
          <w:tcPr>
            <w:tcW w:type="dxa" w:w="367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FID, FIA, FIE, ECPC, EFCPC, CO₂P</w:t>
            </w:r>
          </w:p>
        </w:tc>
        <w:tc>
          <w:tcPr>
            <w:tcW w:type="dxa" w:w="66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yp, FID, FIA, FIE, KOFFIGI-DJ, ECPC, EFCPC, CO₂P</w:t>
            </w:r>
          </w:p>
        </w:tc>
        <w:tc>
          <w:tcPr>
            <w:tcW w:type="dxa" w:w="30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 economies</w:t>
            </w:r>
          </w:p>
        </w:tc>
      </w:tr>
      <w:tr>
        <w:trPr>
          <w:cantSplit/>
        </w:trPr>
        <w:tc>
          <w:tcPr>
            <w:tcW w:type="dxa" w:w="223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Market block</w:t>
            </w:r>
          </w:p>
        </w:tc>
        <w:tc>
          <w:tcPr>
            <w:tcW w:type="dxa" w:w="367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FMD, FMA, FME, ECPC, EFCPC, CO₂P</w:t>
            </w:r>
          </w:p>
        </w:tc>
        <w:tc>
          <w:tcPr>
            <w:tcW w:type="dxa" w:w="66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yp, FMD, FMA, FME, KOFFIGI-DJ, ECPC, EFCPC, CO₂P</w:t>
            </w:r>
          </w:p>
        </w:tc>
        <w:tc>
          <w:tcPr>
            <w:tcW w:type="dxa" w:w="30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Common conservative sample: 83 economies</w:t>
            </w:r>
          </w:p>
        </w:tc>
      </w:tr>
      <w:tr>
        <w:trPr>
          <w:cantSplit/>
        </w:trPr>
        <w:tc>
          <w:tcPr>
            <w:tcW w:type="dxa" w:w="223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Fixed proxy space</w:t>
            </w:r>
          </w:p>
        </w:tc>
        <w:tc>
          <w:tcPr>
            <w:tcW w:type="dxa" w:w="3672"/>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FID, FIA, FIE, FMD; FMA and FME in the restricted sample</w:t>
            </w:r>
          </w:p>
        </w:tc>
        <w:tc>
          <w:tcPr>
            <w:tcW w:type="dxa" w:w="6696"/>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yp, FD, KOFFIGI-DJ, ECPC, EFCPC</w:t>
            </w:r>
          </w:p>
        </w:tc>
        <w:tc>
          <w:tcPr>
            <w:tcW w:type="dxa" w:w="302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142 economies for FID/FIA/FIE/FMD; 83 for FMA/FME</w:t>
            </w:r>
          </w:p>
        </w:tc>
      </w:tr>
      <w:tr>
        <w:tc>
          <w:tcPr>
            <w:tcW w:type="dxa" w:w="3564"/>
            <w:vAlign w:val="center"/>
          </w:tcPr>
          <w:p>
            <w:pPr>
              <w:spacing w:before="0" w:after="0" w:line="240" w:lineRule="auto"/>
              <w:jc w:val="left"/>
            </w:pPr>
            <w:r>
              <w:rPr>
                <w:rFonts w:ascii="Times New Roman" w:hAnsi="Times New Roman"/>
                <w:b w:val="0"/>
                <w:sz w:val="16"/>
              </w:rPr>
              <w:t>Parent-index-excluded check</w:t>
            </w:r>
          </w:p>
        </w:tc>
        <w:tc>
          <w:tcPr>
            <w:tcW w:type="dxa" w:w="3564"/>
            <w:vAlign w:val="center"/>
          </w:tcPr>
          <w:p>
            <w:pPr>
              <w:jc w:val="center"/>
            </w:pPr>
            <w:r>
              <w:rPr>
                <w:sz w:val="16"/>
              </w:rPr>
              <w:t>FD</w:t>
            </w:r>
          </w:p>
        </w:tc>
        <w:tc>
          <w:tcPr>
            <w:tcW w:type="dxa" w:w="3564"/>
            <w:vAlign w:val="center"/>
          </w:tcPr>
          <w:p>
            <w:pPr>
              <w:jc w:val="center"/>
            </w:pPr>
            <w:r>
              <w:rPr>
                <w:sz w:val="16"/>
              </w:rPr>
              <w:t>yp, KOFFIGI-DJ, ECPC, EFCPC, CO₂P; FD target average excluded and FI/FM omitted</w:t>
            </w:r>
          </w:p>
        </w:tc>
        <w:tc>
          <w:tcPr>
            <w:tcW w:type="dxa" w:w="3564"/>
            <w:vAlign w:val="center"/>
          </w:tcPr>
          <w:p>
            <w:pPr>
              <w:jc w:val="center"/>
            </w:pPr>
            <w:r>
              <w:rPr>
                <w:sz w:val="16"/>
              </w:rPr>
              <w:t>142 economies</w:t>
            </w:r>
          </w:p>
        </w:tc>
      </w:tr>
      <w:tr>
        <w:tc>
          <w:tcPr>
            <w:tcW w:type="dxa" w:w="3564"/>
            <w:vAlign w:val="center"/>
          </w:tcPr>
          <w:p>
            <w:pPr>
              <w:jc w:val="left"/>
            </w:pPr>
            <w:r>
              <w:rPr>
                <w:sz w:val="16"/>
              </w:rPr>
              <w:t>Symmetric leave-both-out</w:t>
            </w:r>
          </w:p>
        </w:tc>
        <w:tc>
          <w:tcPr>
            <w:tcW w:type="dxa" w:w="3564"/>
            <w:vAlign w:val="center"/>
          </w:tcPr>
          <w:p>
            <w:pPr>
              <w:jc w:val="center"/>
            </w:pPr>
            <w:r>
              <w:rPr>
                <w:sz w:val="16"/>
              </w:rPr>
              <w:t>FD and ECPC</w:t>
            </w:r>
          </w:p>
        </w:tc>
        <w:tc>
          <w:tcPr>
            <w:tcW w:type="dxa" w:w="3564"/>
            <w:vAlign w:val="center"/>
          </w:tcPr>
          <w:p>
            <w:pPr>
              <w:jc w:val="center"/>
            </w:pPr>
            <w:r>
              <w:rPr>
                <w:sz w:val="16"/>
              </w:rPr>
              <w:t>yp, KOFFIGI-DJ, EFCPC, CO₂P; FD, ECPC, FI, and FM excluded from both information sets</w:t>
            </w:r>
          </w:p>
        </w:tc>
        <w:tc>
          <w:tcPr>
            <w:tcW w:type="dxa" w:w="3564"/>
            <w:vAlign w:val="center"/>
          </w:tcPr>
          <w:p>
            <w:pPr>
              <w:jc w:val="center"/>
            </w:pPr>
            <w:r>
              <w:rPr>
                <w:sz w:val="16"/>
              </w:rPr>
              <w:t>142 economies</w:t>
            </w:r>
          </w:p>
        </w:tc>
      </w:tr>
      <w:tr>
        <w:tc>
          <w:tcPr>
            <w:tcW w:type="dxa" w:w="3564"/>
            <w:vAlign w:val="center"/>
          </w:tcPr>
          <w:p>
            <w:pPr>
              <w:jc w:val="left"/>
            </w:pPr>
            <w:r>
              <w:rPr>
                <w:b w:val="0"/>
                <w:sz w:val="16"/>
              </w:rPr>
              <w:t>High-persistence null benchmark</w:t>
            </w:r>
          </w:p>
        </w:tc>
        <w:tc>
          <w:tcPr>
            <w:tcW w:type="dxa" w:w="3564"/>
            <w:vAlign w:val="center"/>
          </w:tcPr>
          <w:p>
            <w:pPr>
              <w:jc w:val="center"/>
            </w:pPr>
            <w:r>
              <w:rPr>
                <w:b w:val="0"/>
                <w:sz w:val="16"/>
              </w:rPr>
              <w:t>FD under three level designs</w:t>
            </w:r>
          </w:p>
        </w:tc>
        <w:tc>
          <w:tcPr>
            <w:tcW w:type="dxa" w:w="3564"/>
            <w:vAlign w:val="center"/>
          </w:tcPr>
          <w:p>
            <w:pPr>
              <w:jc w:val="center"/>
            </w:pPr>
            <w:r>
              <w:rPr>
                <w:b w:val="0"/>
                <w:sz w:val="16"/>
              </w:rPr>
              <w:t>Independent variables with calibrated drift and residual scale; stationary AR(1) deviations at ρ = 0.90, 0.95, 0.97, and 0.99; complete leave-one-out estimator repeated</w:t>
            </w:r>
          </w:p>
        </w:tc>
        <w:tc>
          <w:tcPr>
            <w:tcW w:type="dxa" w:w="3564"/>
            <w:vAlign w:val="center"/>
          </w:tcPr>
          <w:p>
            <w:pPr>
              <w:jc w:val="center"/>
            </w:pPr>
            <w:r>
              <w:rPr>
                <w:b w:val="0"/>
                <w:sz w:val="16"/>
              </w:rPr>
              <w:t>142 economies × 31 years; 500 replications per ρ</w:t>
            </w:r>
          </w:p>
        </w:tc>
      </w:tr>
    </w:tbl>
    <w:p>
      <w:pPr>
        <w:spacing w:before="40" w:after="100" w:line="240" w:lineRule="auto"/>
      </w:pPr>
      <w:r>
        <w:t>Notes. In the target-excluded design, the cross-sectional average corresponding to the target variable is removed before each country regression. The parent-index-excluded design additionally removes FI and FM when FD is the target. The symmetric design gives FD and energy the same external proxy set. Country-specific linear trends are removed before empirical AR(1) coefficients are estimated; for FD, the median is 0.675 and the 95th percentile is 0.879. The null grid therefore represents upper-tail and deliberately high persistence rather than the typical empirical country process.</w:t>
      </w:r>
    </w:p>
    <w:p>
      <w:pPr>
        <w:pStyle w:val="AppendixSubheading"/>
        <w:keepNext/>
      </w:pPr>
      <w:r>
        <w:rPr>
          <w:rFonts w:ascii="Times New Roman" w:hAnsi="Times New Roman"/>
          <w:b/>
          <w:sz w:val="20"/>
        </w:rPr>
        <w:t>Panel B. Transformation and endpoint documentation</w:t>
      </w:r>
    </w:p>
    <w:tbl>
      <w:tblPr>
        <w:tblStyle w:val="TableGrid"/>
        <w:tblW w:type="auto" w:w="0"/>
        <w:jc w:val="center"/>
        <w:tblLayout w:type="fixed"/>
        <w:tblLook w:firstColumn="1" w:firstRow="1" w:lastColumn="0" w:lastRow="0" w:noHBand="0" w:noVBand="1" w:val="04A0"/>
      </w:tblPr>
      <w:tblGrid>
        <w:gridCol w:w="3564"/>
        <w:gridCol w:w="3564"/>
        <w:gridCol w:w="3564"/>
        <w:gridCol w:w="3564"/>
      </w:tblGrid>
      <w:tr>
        <w:trPr>
          <w:cantSplit/>
          <w:tblHeader w:val="true"/>
        </w:trPr>
        <w:tc>
          <w:tcPr>
            <w:tcW w:type="dxa" w:w="2880"/>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Transformation</w:t>
            </w:r>
          </w:p>
        </w:tc>
        <w:tc>
          <w:tcPr>
            <w:tcW w:type="dxa" w:w="2160"/>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Period</w:t>
            </w:r>
          </w:p>
        </w:tc>
        <w:tc>
          <w:tcPr>
            <w:tcW w:type="dxa" w:w="8352"/>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Construction</w:t>
            </w:r>
          </w:p>
        </w:tc>
        <w:tc>
          <w:tcPr>
            <w:tcW w:type="dxa" w:w="2304"/>
            <w:vAlign w:val="center"/>
            <w:tcMar>
              <w:top w:w="45" w:type="dxa"/>
              <w:start w:w="55" w:type="dxa"/>
              <w:bottom w:w="45" w:type="dxa"/>
              <w:end w:w="55" w:type="dxa"/>
            </w:tcMar>
            <w:shd w:fill="D9E2F3"/>
          </w:tcPr>
          <w:p>
            <w:pPr>
              <w:spacing w:before="0" w:after="0" w:line="240" w:lineRule="auto"/>
              <w:jc w:val="center"/>
            </w:pPr>
            <w:r>
              <w:rPr>
                <w:rFonts w:ascii="Times New Roman" w:hAnsi="Times New Roman"/>
                <w:b/>
                <w:sz w:val="16"/>
              </w:rPr>
              <w:t>Location</w:t>
            </w:r>
          </w:p>
        </w:tc>
      </w:tr>
      <w:tr>
        <w:trPr>
          <w:cantSplit/>
        </w:trPr>
        <w:tc>
          <w:tcPr>
            <w:tcW w:type="dxa" w:w="2880"/>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Levels</w:t>
            </w:r>
          </w:p>
        </w:tc>
        <w:tc>
          <w:tcPr>
            <w:tcW w:type="dxa" w:w="2160"/>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1993–2023</w:t>
            </w:r>
          </w:p>
        </w:tc>
        <w:tc>
          <w:tcPr>
            <w:tcW w:type="dxa" w:w="83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Logged levels; the 2020 component values are carried forward through 2023 solely for endpoint alignment</w:t>
            </w:r>
          </w:p>
        </w:tc>
        <w:tc>
          <w:tcPr>
            <w:tcW w:type="dxa" w:w="230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Main text</w:t>
            </w:r>
          </w:p>
        </w:tc>
      </w:tr>
      <w:tr>
        <w:trPr>
          <w:cantSplit/>
        </w:trPr>
        <w:tc>
          <w:tcPr>
            <w:tcW w:type="dxa" w:w="2880"/>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Country-detrended levels</w:t>
            </w:r>
          </w:p>
        </w:tc>
        <w:tc>
          <w:tcPr>
            <w:tcW w:type="dxa" w:w="2160"/>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1993–2023</w:t>
            </w:r>
          </w:p>
        </w:tc>
        <w:tc>
          <w:tcPr>
            <w:tcW w:type="dxa" w:w="83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Residual from a separate country-specific linear time trend</w:t>
            </w:r>
          </w:p>
        </w:tc>
        <w:tc>
          <w:tcPr>
            <w:tcW w:type="dxa" w:w="230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Main text</w:t>
            </w:r>
          </w:p>
        </w:tc>
      </w:tr>
      <w:tr>
        <w:trPr>
          <w:cantSplit/>
        </w:trPr>
        <w:tc>
          <w:tcPr>
            <w:tcW w:type="dxa" w:w="2880"/>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Annual changes</w:t>
            </w:r>
          </w:p>
        </w:tc>
        <w:tc>
          <w:tcPr>
            <w:tcW w:type="dxa" w:w="2160"/>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1994–2020</w:t>
            </w:r>
          </w:p>
        </w:tc>
        <w:tc>
          <w:tcPr>
            <w:tcW w:type="dxa" w:w="83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First difference of the logged component using only the official component period</w:t>
            </w:r>
          </w:p>
        </w:tc>
        <w:tc>
          <w:tcPr>
            <w:tcW w:type="dxa" w:w="230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Main text</w:t>
            </w:r>
          </w:p>
        </w:tc>
      </w:tr>
      <w:tr>
        <w:trPr>
          <w:cantSplit/>
        </w:trPr>
        <w:tc>
          <w:tcPr>
            <w:tcW w:type="dxa" w:w="2880"/>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Three-year changes</w:t>
            </w:r>
          </w:p>
        </w:tc>
        <w:tc>
          <w:tcPr>
            <w:tcW w:type="dxa" w:w="2160"/>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1996–2020</w:t>
            </w:r>
          </w:p>
        </w:tc>
        <w:tc>
          <w:tcPr>
            <w:tcW w:type="dxa" w:w="83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Three-year difference over the official component period</w:t>
            </w:r>
          </w:p>
        </w:tc>
        <w:tc>
          <w:tcPr>
            <w:tcW w:type="dxa" w:w="230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Online Resource C</w:t>
            </w:r>
          </w:p>
        </w:tc>
      </w:tr>
      <w:tr>
        <w:trPr>
          <w:cantSplit/>
        </w:trPr>
        <w:tc>
          <w:tcPr>
            <w:tcW w:type="dxa" w:w="2880"/>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Extended annual and three-year changes</w:t>
            </w:r>
          </w:p>
        </w:tc>
        <w:tc>
          <w:tcPr>
            <w:tcW w:type="dxa" w:w="2160"/>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1994–2023 / 1996–2023</w:t>
            </w:r>
          </w:p>
        </w:tc>
        <w:tc>
          <w:tcPr>
            <w:tcW w:type="dxa" w:w="8352"/>
            <w:vAlign w:val="center"/>
            <w:tcMar>
              <w:top w:w="45" w:type="dxa"/>
              <w:start w:w="55" w:type="dxa"/>
              <w:bottom w:w="45" w:type="dxa"/>
              <w:end w:w="55" w:type="dxa"/>
            </w:tcMar>
          </w:tcPr>
          <w:p>
            <w:pPr>
              <w:spacing w:before="0" w:after="0" w:line="240" w:lineRule="auto"/>
              <w:jc w:val="left"/>
            </w:pPr>
            <w:r>
              <w:rPr>
                <w:rFonts w:ascii="Times New Roman" w:hAnsi="Times New Roman"/>
                <w:b w:val="0"/>
                <w:sz w:val="16"/>
              </w:rPr>
              <w:t>Sensitivity only; includes mechanically unchanged terminal observations</w:t>
            </w:r>
          </w:p>
        </w:tc>
        <w:tc>
          <w:tcPr>
            <w:tcW w:type="dxa" w:w="2304"/>
            <w:vAlign w:val="center"/>
            <w:tcMar>
              <w:top w:w="45" w:type="dxa"/>
              <w:start w:w="55" w:type="dxa"/>
              <w:bottom w:w="45" w:type="dxa"/>
              <w:end w:w="55" w:type="dxa"/>
            </w:tcMar>
          </w:tcPr>
          <w:p>
            <w:pPr>
              <w:spacing w:before="0" w:after="0" w:line="240" w:lineRule="auto"/>
              <w:jc w:val="center"/>
            </w:pPr>
            <w:r>
              <w:rPr>
                <w:rFonts w:ascii="Times New Roman" w:hAnsi="Times New Roman"/>
                <w:b w:val="0"/>
                <w:sz w:val="16"/>
              </w:rPr>
              <w:t>Online Resource C</w:t>
            </w:r>
          </w:p>
        </w:tc>
      </w:tr>
    </w:tbl>
    <w:p>
      <w:pPr>
        <w:spacing w:before="40" w:after="100" w:line="240" w:lineRule="auto"/>
      </w:pPr>
      <w:r>
        <w:t>Notes. The transformations compare persistent and shorter-run fit but are not interpreted as a literal structural-frequency decomposition. The direct high-persistence benchmark applies to the level estimator; the transformed estimates do not have separate transformation-specific null distributions.</w:t>
      </w:r>
    </w:p>
    <w:p>
      <w:pPr>
        <w:pStyle w:val="AppendixSubheading"/>
        <w:keepNext/>
      </w:pPr>
      <w:r>
        <w:rPr>
          <w:rFonts w:ascii="Times New Roman" w:hAnsi="Times New Roman"/>
          <w:b/>
          <w:sz w:val="20"/>
        </w:rPr>
        <w:t>Location of the remaining supplementary evidence</w:t>
      </w:r>
    </w:p>
    <w:p>
      <w:pPr>
        <w:pStyle w:val="AppendixBody"/>
      </w:pPr>
      <w:r>
        <w:t>The Online Resource sections A–M contain the complete PCA, factor validation, empirical AR(1) distributions, full ρ-grid results for mean and adjusted R², transformation results, country-level files, market-data sensitivities, income models, paired tests, diagnostics, openness sensitivities, MMQR evidence, and the replication manifest.</w:t>
      </w:r>
    </w:p>
    <w:sectPr w:rsidR="00FC693F" w:rsidRPr="0006063C" w:rsidSect="00034616">
      <w:headerReference w:type="default" r:id="rId10"/>
      <w:footerReference w:type="default" r:id="rId11"/>
      <w:headerReference w:type="first" r:id="rId12"/>
      <w:headerReference w:type="even" r:id="rId13"/>
      <w:footerReference w:type="first" r:id="rId14"/>
      <w:footerReference w:type="even" r:id="rId15"/>
      <w:pgSz w:w="15840" w:h="12240" w:orient="landscape"/>
      <w:pgMar w:top="792" w:right="792" w:bottom="792" w:left="792"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6"/>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i/>
        <w:color w:val="646464"/>
        <w:sz w:val="16"/>
      </w:rPr>
      <w:t>Manuscript Appendix</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ppendixBody">
    <w:name w:val="Appendix Body"/>
    <w:pPr>
      <w:spacing w:after="100" w:line="252" w:lineRule="auto"/>
    </w:pPr>
    <w:rPr>
      <w:rFonts w:ascii="Times New Roman" w:hAnsi="Times New Roman"/>
      <w:sz w:val="19"/>
    </w:rPr>
  </w:style>
  <w:style w:type="paragraph" w:customStyle="1" w:styleId="AppendixHeading">
    <w:name w:val="Appendix Heading"/>
    <w:pPr>
      <w:spacing w:before="140" w:after="80"/>
    </w:pPr>
  </w:style>
  <w:style w:type="paragraph" w:customStyle="1" w:styleId="AppendixSubheading">
    <w:name w:val="Appendix Subheading"/>
    <w:pPr>
      <w:spacing w:before="80" w:after="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Appendix: Where Is Measured Financial Development Common? Components, Persistence, and Long-Run Income in 142 Economies</dc:title>
  <dc:subject>Supporting tables, diagnostics, sample accounting, and design documentation</dc:subject>
  <dc:creator>python-docx</dc:creator>
  <cp:keywords>financial development; common factors; appendix; robustness; sample coverage</cp:keywords>
  <dc:description>generated by python-docx</dc:description>
  <cp:lastModifiedBy/>
  <cp:revision>1</cp:revision>
  <dcterms:created xsi:type="dcterms:W3CDTF">2013-12-23T23:15:00Z</dcterms:created>
  <dcterms:modified xsi:type="dcterms:W3CDTF">2013-12-23T23:15:00Z</dcterms:modified>
  <cp:category/>
</cp:coreProperties>
</file>