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DB20E">
      <w:pPr>
        <w:keepLines/>
        <w:widowControl/>
        <w:spacing w:before="0" w:after="80" w:line="240" w:lineRule="auto"/>
        <w:ind w:firstLine="0"/>
        <w:jc w:val="both"/>
        <w:rPr>
          <w:rFonts w:ascii="Times New Roman" w:hAnsi="Times New Roman"/>
          <w:b/>
          <w:i w:val="0"/>
          <w:sz w:val="21"/>
        </w:rPr>
      </w:pPr>
    </w:p>
    <w:p w14:paraId="1B4C00BA">
      <w:pPr>
        <w:keepLines/>
        <w:widowControl/>
        <w:spacing w:before="0" w:after="80" w:line="240" w:lineRule="auto"/>
        <w:ind w:firstLine="0"/>
        <w:jc w:val="both"/>
        <w:rPr>
          <w:rFonts w:hint="default" w:eastAsia="宋体"/>
          <w:b/>
          <w:i w:val="0"/>
          <w:sz w:val="28"/>
          <w:szCs w:val="32"/>
          <w:lang w:val="en-US" w:eastAsia="zh-CN"/>
        </w:rPr>
      </w:pPr>
      <w:bookmarkStart w:id="0" w:name="_GoBack"/>
      <w:r>
        <w:rPr>
          <w:rFonts w:hint="eastAsia" w:eastAsia="宋体"/>
          <w:b/>
          <w:i w:val="0"/>
          <w:sz w:val="28"/>
          <w:szCs w:val="32"/>
          <w:lang w:val="en-US" w:eastAsia="zh-CN"/>
        </w:rPr>
        <w:t>S2: Risk of bias assessment</w:t>
      </w:r>
    </w:p>
    <w:bookmarkEnd w:id="0"/>
    <w:p w14:paraId="58CE0A77">
      <w:pPr>
        <w:keepLines/>
        <w:widowControl/>
        <w:spacing w:before="0" w:after="80" w:line="240" w:lineRule="auto"/>
        <w:ind w:firstLine="0"/>
        <w:jc w:val="both"/>
      </w:pPr>
      <w:r>
        <w:rPr>
          <w:rFonts w:ascii="Times New Roman" w:hAnsi="Times New Roman"/>
          <w:b/>
          <w:i w:val="0"/>
          <w:sz w:val="21"/>
        </w:rPr>
        <w:t>Domain 1 — Participant selection</w:t>
      </w:r>
      <w:r>
        <w:rPr>
          <w:rFonts w:ascii="Times New Roman" w:hAnsi="Times New Roman"/>
          <w:b w:val="0"/>
          <w:i w:val="0"/>
          <w:sz w:val="21"/>
        </w:rPr>
        <w:t xml:space="preserve"> assessed whether the evaluation cohort was representative of the intended clinical population or whether case selection introduced spectrum bias, for example by restricting the evaluation to well-characterized diseases or enriching for diseases well represented in LLM training data. No substantive agentic AI-specific modification was made to this domain.</w:t>
      </w:r>
    </w:p>
    <w:p w14:paraId="757CEDD0">
      <w:pPr>
        <w:keepLines/>
        <w:widowControl/>
        <w:spacing w:before="0" w:after="80" w:line="240" w:lineRule="auto"/>
        <w:ind w:firstLine="0"/>
        <w:jc w:val="both"/>
      </w:pPr>
      <w:r>
        <w:rPr>
          <w:rFonts w:ascii="Times New Roman" w:hAnsi="Times New Roman"/>
          <w:b/>
          <w:i w:val="0"/>
          <w:sz w:val="21"/>
        </w:rPr>
        <w:t>Domain 2 — Index test conduct</w:t>
      </w:r>
      <w:r>
        <w:rPr>
          <w:rFonts w:ascii="Times New Roman" w:hAnsi="Times New Roman"/>
          <w:b w:val="0"/>
          <w:i w:val="0"/>
          <w:sz w:val="21"/>
        </w:rPr>
        <w:t xml:space="preserve"> evaluated whether the agentic LLM system was applied as intended, including whether the prompt, model version, and system configuration were implemented across all evaluation cases according to the same prespecified protocol and whether the system had access to the reference standard diagnosis during evaluation. For agentic AI studies, “system configuration” included the prespecified agent orchestration or workflow and the settings governing enabled tools or retrieval, memory, and stopping or retry behavior. Consistency across cases referred to applying the same prespecified rules rather than requiring identical execution trajectories for every case.</w:t>
      </w:r>
    </w:p>
    <w:p w14:paraId="3CCF6228">
      <w:pPr>
        <w:keepLines/>
        <w:widowControl/>
        <w:spacing w:before="0" w:after="80" w:line="240" w:lineRule="auto"/>
        <w:ind w:firstLine="0"/>
        <w:jc w:val="both"/>
      </w:pPr>
      <w:r>
        <w:rPr>
          <w:rFonts w:ascii="Times New Roman" w:hAnsi="Times New Roman"/>
          <w:b/>
          <w:i w:val="0"/>
          <w:sz w:val="21"/>
        </w:rPr>
        <w:t>Domain 3 — Target condition definition</w:t>
      </w:r>
      <w:r>
        <w:rPr>
          <w:rFonts w:ascii="Times New Roman" w:hAnsi="Times New Roman"/>
          <w:b w:val="0"/>
          <w:i w:val="0"/>
          <w:sz w:val="21"/>
        </w:rPr>
        <w:t xml:space="preserve"> assessed whether the ground-truth diagnosis was established using an appropriate reference standard, such as molecular genetic confirmation, and whether the reference standard was applied independently of the agentic LLM output. No substantive agentic AI-specific modification was made to this domain.</w:t>
      </w:r>
    </w:p>
    <w:p w14:paraId="20D8C74E">
      <w:pPr>
        <w:keepLines/>
        <w:widowControl/>
        <w:spacing w:before="0" w:after="80" w:line="240" w:lineRule="auto"/>
        <w:ind w:firstLine="0"/>
        <w:jc w:val="both"/>
      </w:pPr>
      <w:r>
        <w:rPr>
          <w:rFonts w:ascii="Times New Roman" w:hAnsi="Times New Roman"/>
          <w:b/>
          <w:i w:val="0"/>
          <w:sz w:val="21"/>
        </w:rPr>
        <w:t>Domain 4 — Flow and timing</w:t>
      </w:r>
      <w:r>
        <w:rPr>
          <w:rFonts w:ascii="Times New Roman" w:hAnsi="Times New Roman"/>
          <w:b w:val="0"/>
          <w:i w:val="0"/>
          <w:sz w:val="21"/>
        </w:rPr>
        <w:t xml:space="preserve"> evaluated whether all enrolled cases were included in the analysis and whether inconclusive or failed agentic LLM outputs were handled appropriately. For agentic AI studies, inconclusive or failed outputs also included tool or API failures, timeouts, and agent runs that did not terminate normally.</w:t>
      </w:r>
    </w:p>
    <w:p w14:paraId="0FB72DCE">
      <w:pPr>
        <w:keepLines/>
        <w:widowControl/>
        <w:spacing w:before="0" w:after="80" w:line="240" w:lineRule="auto"/>
        <w:ind w:firstLine="0"/>
        <w:jc w:val="both"/>
      </w:pPr>
      <w:r>
        <w:rPr>
          <w:rFonts w:ascii="Times New Roman" w:hAnsi="Times New Roman"/>
          <w:b/>
          <w:i w:val="0"/>
          <w:sz w:val="21"/>
        </w:rPr>
        <w:t>Domain 5 — Data leakage</w:t>
      </w:r>
      <w:r>
        <w:rPr>
          <w:rFonts w:ascii="Times New Roman" w:hAnsi="Times New Roman"/>
          <w:b w:val="0"/>
          <w:i w:val="0"/>
          <w:sz w:val="21"/>
        </w:rPr>
        <w:t xml:space="preserve"> (</w:t>
      </w:r>
      <w:r>
        <w:rPr>
          <w:rFonts w:hint="eastAsia" w:eastAsia="宋体"/>
          <w:b w:val="0"/>
          <w:i w:val="0"/>
          <w:sz w:val="21"/>
          <w:lang w:val="en-US" w:eastAsia="zh-CN"/>
        </w:rPr>
        <w:t xml:space="preserve">agentic </w:t>
      </w:r>
      <w:r>
        <w:rPr>
          <w:rFonts w:ascii="Times New Roman" w:hAnsi="Times New Roman"/>
          <w:b w:val="0"/>
          <w:i w:val="0"/>
          <w:sz w:val="21"/>
        </w:rPr>
        <w:t>AI-specific) assessed the risk that evaluation cases or their diagnostic labels were present in the LLM’s pretraining data, retrieval knowledge base, or fine-tuning dataset. For agentic AI studies, retrieval knowledge bases included external knowledge sources accessible through agent tools and, where applicable, cross-case persistent memory that could expose prior benchmark cases or diagnostic labels. This domain was rated high risk when evaluation benchmarks predated the LLM’s training cutoff without temporal holdout validation, or when the system’s accessible knowledge sources contained the benchmark’s source data.</w:t>
      </w:r>
    </w:p>
    <w:p w14:paraId="02B646E0">
      <w:pPr>
        <w:keepLines/>
        <w:widowControl/>
        <w:spacing w:before="0" w:after="80" w:line="240" w:lineRule="auto"/>
        <w:ind w:firstLine="0"/>
        <w:jc w:val="both"/>
      </w:pPr>
      <w:r>
        <w:rPr>
          <w:rFonts w:ascii="Times New Roman" w:hAnsi="Times New Roman"/>
          <w:b/>
          <w:i w:val="0"/>
          <w:sz w:val="21"/>
        </w:rPr>
        <w:t>Domain 6 — Reproducibility</w:t>
      </w:r>
      <w:r>
        <w:rPr>
          <w:rFonts w:ascii="Times New Roman" w:hAnsi="Times New Roman"/>
          <w:b w:val="0"/>
          <w:i w:val="0"/>
          <w:sz w:val="21"/>
        </w:rPr>
        <w:t xml:space="preserve"> (</w:t>
      </w:r>
      <w:r>
        <w:rPr>
          <w:rFonts w:hint="eastAsia" w:eastAsia="宋体"/>
          <w:b w:val="0"/>
          <w:i w:val="0"/>
          <w:sz w:val="21"/>
          <w:lang w:val="en-US" w:eastAsia="zh-CN"/>
        </w:rPr>
        <w:t xml:space="preserve">agentic </w:t>
      </w:r>
      <w:r>
        <w:rPr>
          <w:rFonts w:ascii="Times New Roman" w:hAnsi="Times New Roman"/>
          <w:b w:val="0"/>
          <w:i w:val="0"/>
          <w:sz w:val="21"/>
        </w:rPr>
        <w:t>AI-specific) assessed whether sufficient methodological detail was reported to reproduce the evaluation, including the exact model version, temperature and sampling parameters, prompt text, agent workflow, tools or APIs and their versions, retrieval sources, memory settings, stopping or retry rules, and code and data availability.</w:t>
      </w:r>
    </w:p>
    <w:p w14:paraId="7365FBB8">
      <w:pPr>
        <w:keepLines/>
        <w:widowControl/>
        <w:spacing w:before="0" w:after="80" w:line="240" w:lineRule="auto"/>
        <w:ind w:firstLine="0"/>
        <w:jc w:val="both"/>
      </w:pPr>
      <w:r>
        <w:rPr>
          <w:rFonts w:ascii="Times New Roman" w:hAnsi="Times New Roman"/>
          <w:b/>
          <w:i w:val="0"/>
          <w:sz w:val="21"/>
        </w:rPr>
        <w:t>Domain 7 — Evaluation fairness</w:t>
      </w:r>
      <w:r>
        <w:rPr>
          <w:rFonts w:ascii="Times New Roman" w:hAnsi="Times New Roman"/>
          <w:b w:val="0"/>
          <w:i w:val="0"/>
          <w:sz w:val="21"/>
        </w:rPr>
        <w:t xml:space="preserve"> (</w:t>
      </w:r>
      <w:r>
        <w:rPr>
          <w:rFonts w:hint="eastAsia" w:eastAsia="宋体"/>
          <w:b w:val="0"/>
          <w:i w:val="0"/>
          <w:sz w:val="21"/>
          <w:lang w:val="en-US" w:eastAsia="zh-CN"/>
        </w:rPr>
        <w:t xml:space="preserve">agentic </w:t>
      </w:r>
      <w:r>
        <w:rPr>
          <w:rFonts w:ascii="Times New Roman" w:hAnsi="Times New Roman"/>
          <w:b w:val="0"/>
          <w:i w:val="0"/>
          <w:sz w:val="21"/>
        </w:rPr>
        <w:t>AI-specific) assessed whether all compared systems received equivalent prompting effort and whether the evaluation metric was applied identically across systems, including consistency in disease-name matching. For agentic AI studies, equivalent prompting effort also required comparable access and resource conditions, such as available tools, retrieval sources, and run budgets. Agentic systems, baseline LLMs, and physician comparator groups were expected to be evaluated under standardized conditions using equivalent datasets, inputs, evaluation metrics, and computational settings.</w:t>
      </w:r>
    </w:p>
    <w:p w14:paraId="271206C8">
      <w:pPr>
        <w:keepLines/>
        <w:widowControl/>
        <w:spacing w:before="0" w:after="0" w:line="240" w:lineRule="auto"/>
        <w:ind w:firstLine="0"/>
        <w:jc w:val="both"/>
      </w:pPr>
      <w:r>
        <w:rPr>
          <w:rFonts w:ascii="Times New Roman" w:hAnsi="Times New Roman"/>
          <w:b w:val="0"/>
          <w:i w:val="0"/>
          <w:sz w:val="21"/>
        </w:rPr>
        <w:t>Each domain was rated as low risk, high risk, or unclear risk. Consistent with the overall judgment rule reported by Nguyen et al., a study was classified as having an overall high risk of bias when any domain was rated high. Two reviewers independently assessed each study, and disagreements were resolved through discussion. Detailed domain definitions, agentic AI terminology clarifications, and study-level judgment rationales are provided in the supplementary methods and supplementary tables.</w:t>
      </w:r>
    </w:p>
    <w:sectPr>
      <w:pgSz w:w="12240" w:h="15840"/>
      <w:pgMar w:top="979" w:right="1037" w:bottom="979" w:left="103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972035B"/>
    <w:rsid w:val="574D52B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542</Words>
  <Characters>3369</Characters>
  <Lines>0</Lines>
  <Paragraphs>0</Paragraphs>
  <TotalTime>3</TotalTime>
  <ScaleCrop>false</ScaleCrop>
  <LinksUpToDate>false</LinksUpToDate>
  <CharactersWithSpaces>3897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娘口三三</dc:creator>
  <dc:description>generated by python-docx</dc:description>
  <cp:keywords>QUADAS-3; risk of bias; agentic AI; large language model</cp:keywords>
  <cp:lastModifiedBy>WPS_139375716</cp:lastModifiedBy>
  <dcterms:modified xsi:type="dcterms:W3CDTF">2026-07-27T12:34:05Z</dcterms:modified>
  <dc:subject>LLM-specific modified QUADAS-3 with limited agentic AI terminology clarifications</dc:subject>
  <dc:title>Risk of bias assessment</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eyJoZGlkIjoiYTYxNzZmNTc0YjJlNmIzNTk0Y2U5MmQ3ZGNmMzgwNTgiLCJ1c2VySWQiOiIxMzkzNzU3MTYifQ==</vt:lpwstr>
  </property>
  <property fmtid="{D5CDD505-2E9C-101B-9397-08002B2CF9AE}" pid="3" name="KSOProductBuildVer">
    <vt:lpwstr>2052-12.1.0.28043</vt:lpwstr>
  </property>
  <property fmtid="{D5CDD505-2E9C-101B-9397-08002B2CF9AE}" pid="4" name="ICV">
    <vt:lpwstr>83DB4F43F56A44F2B61C0986FC448F6C_12</vt:lpwstr>
  </property>
</Properties>
</file>