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9EE50">
      <w:pPr>
        <w:spacing w:after="160"/>
        <w:rPr>
          <w:rFonts w:hint="default" w:ascii="Times New Roman" w:hAnsi="Times New Roman" w:cs="Times New Roman"/>
          <w:color w:val="auto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color w:val="auto"/>
          <w:sz w:val="30"/>
          <w:lang w:val="en-US" w:eastAsia="zh-CN"/>
        </w:rPr>
        <w:t>S4:</w:t>
      </w:r>
      <w:r>
        <w:rPr>
          <w:rFonts w:hint="default" w:ascii="Times New Roman" w:hAnsi="Times New Roman" w:cs="Times New Roman"/>
          <w:b/>
          <w:color w:val="auto"/>
          <w:sz w:val="30"/>
        </w:rPr>
        <w:t xml:space="preserve"> Unified Agentic Capability Taxonomy</w:t>
      </w:r>
    </w:p>
    <w:bookmarkEnd w:id="0"/>
    <w:tbl>
      <w:tblPr>
        <w:tblStyle w:val="33"/>
        <w:tblW w:w="1155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100"/>
        <w:gridCol w:w="2450"/>
        <w:gridCol w:w="3300"/>
        <w:gridCol w:w="3700"/>
      </w:tblGrid>
      <w:tr w14:paraId="2CA2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tblHeader/>
        </w:trPr>
        <w:tc>
          <w:tcPr>
            <w:tcW w:w="2100" w:type="dxa"/>
            <w:shd w:val="clear" w:color="auto" w:fill="auto"/>
            <w:vAlign w:val="center"/>
          </w:tcPr>
          <w:p w14:paraId="4A1782D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6"/>
              </w:rPr>
              <w:t>Major capability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0729F563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6"/>
              </w:rPr>
              <w:t>Subcategory</w:t>
            </w:r>
          </w:p>
        </w:tc>
        <w:tc>
          <w:tcPr>
            <w:tcW w:w="3300" w:type="dxa"/>
            <w:shd w:val="clear" w:color="auto" w:fill="auto"/>
            <w:vAlign w:val="center"/>
          </w:tcPr>
          <w:p w14:paraId="7CC4E25A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6"/>
              </w:rPr>
              <w:t>Operational meaning</w:t>
            </w:r>
          </w:p>
        </w:tc>
        <w:tc>
          <w:tcPr>
            <w:tcW w:w="3700" w:type="dxa"/>
            <w:shd w:val="clear" w:color="auto" w:fill="auto"/>
            <w:vAlign w:val="center"/>
          </w:tcPr>
          <w:p w14:paraId="66506DC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6"/>
              </w:rPr>
              <w:t>Representative components/tools</w:t>
            </w:r>
          </w:p>
        </w:tc>
      </w:tr>
      <w:tr w14:paraId="44C7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3EBED3E6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Planning and Task Decomposition</w:t>
            </w:r>
          </w:p>
        </w:tc>
        <w:tc>
          <w:tcPr>
            <w:tcW w:w="2450" w:type="dxa"/>
            <w:vAlign w:val="center"/>
          </w:tcPr>
          <w:p w14:paraId="7A40919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Diagnostic planning</w:t>
            </w:r>
          </w:p>
        </w:tc>
        <w:tc>
          <w:tcPr>
            <w:tcW w:w="3300" w:type="dxa"/>
            <w:vAlign w:val="center"/>
          </w:tcPr>
          <w:p w14:paraId="4E8E39B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Formulates diagnostic strategies and determines the next diagnostic steps.</w:t>
            </w:r>
          </w:p>
        </w:tc>
        <w:tc>
          <w:tcPr>
            <w:tcW w:w="3700" w:type="dxa"/>
            <w:vAlign w:val="center"/>
          </w:tcPr>
          <w:p w14:paraId="303399D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planning; diagnostic strategy; workflow controller</w:t>
            </w:r>
          </w:p>
        </w:tc>
      </w:tr>
      <w:tr w14:paraId="20F9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1DE3BB5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Planning and Task Decomposition</w:t>
            </w:r>
          </w:p>
        </w:tc>
        <w:tc>
          <w:tcPr>
            <w:tcW w:w="2450" w:type="dxa"/>
            <w:vAlign w:val="center"/>
          </w:tcPr>
          <w:p w14:paraId="0173699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Task decomposition</w:t>
            </w:r>
          </w:p>
        </w:tc>
        <w:tc>
          <w:tcPr>
            <w:tcW w:w="3300" w:type="dxa"/>
            <w:vAlign w:val="center"/>
          </w:tcPr>
          <w:p w14:paraId="010247B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Breaks complex diagnostic tasks into smaller subtasks.</w:t>
            </w:r>
          </w:p>
        </w:tc>
        <w:tc>
          <w:tcPr>
            <w:tcW w:w="3700" w:type="dxa"/>
            <w:vAlign w:val="center"/>
          </w:tcPr>
          <w:p w14:paraId="7931C52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task decomposition; stepwise diagnosis</w:t>
            </w:r>
          </w:p>
        </w:tc>
      </w:tr>
      <w:tr w14:paraId="6676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704C8C3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Planning and Task Decomposition</w:t>
            </w:r>
          </w:p>
        </w:tc>
        <w:tc>
          <w:tcPr>
            <w:tcW w:w="2450" w:type="dxa"/>
            <w:vAlign w:val="center"/>
          </w:tcPr>
          <w:p w14:paraId="266609F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Workflow orchestration</w:t>
            </w:r>
          </w:p>
        </w:tc>
        <w:tc>
          <w:tcPr>
            <w:tcW w:w="3300" w:type="dxa"/>
            <w:vAlign w:val="center"/>
          </w:tcPr>
          <w:p w14:paraId="6B0F1596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Coordinates the execution order of modules, tools, or agents.</w:t>
            </w:r>
          </w:p>
        </w:tc>
        <w:tc>
          <w:tcPr>
            <w:tcW w:w="3700" w:type="dxa"/>
            <w:vAlign w:val="center"/>
          </w:tcPr>
          <w:p w14:paraId="3ED33FC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orchestration; central host; supervisor; tool routing</w:t>
            </w:r>
          </w:p>
        </w:tc>
      </w:tr>
      <w:tr w14:paraId="1BFB2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6653A34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Planning and Task Decomposition</w:t>
            </w:r>
          </w:p>
        </w:tc>
        <w:tc>
          <w:tcPr>
            <w:tcW w:w="2450" w:type="dxa"/>
            <w:vAlign w:val="center"/>
          </w:tcPr>
          <w:p w14:paraId="1088F7E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Role/specialist assignment</w:t>
            </w:r>
          </w:p>
        </w:tc>
        <w:tc>
          <w:tcPr>
            <w:tcW w:w="3300" w:type="dxa"/>
            <w:vAlign w:val="center"/>
          </w:tcPr>
          <w:p w14:paraId="2F89F9DB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Assigns specialists or sub-agents according to case characteristics.</w:t>
            </w:r>
          </w:p>
        </w:tc>
        <w:tc>
          <w:tcPr>
            <w:tcW w:w="3700" w:type="dxa"/>
            <w:vAlign w:val="center"/>
          </w:tcPr>
          <w:p w14:paraId="37DDBE7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specialist assignment; MDT formation</w:t>
            </w:r>
          </w:p>
        </w:tc>
      </w:tr>
      <w:tr w14:paraId="2D1C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1369C85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and Hypothesis Refinement</w:t>
            </w:r>
          </w:p>
        </w:tc>
        <w:tc>
          <w:tcPr>
            <w:tcW w:w="2450" w:type="dxa"/>
            <w:vAlign w:val="center"/>
          </w:tcPr>
          <w:p w14:paraId="3DAB3F1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Hypothesis generation</w:t>
            </w:r>
          </w:p>
        </w:tc>
        <w:tc>
          <w:tcPr>
            <w:tcW w:w="3300" w:type="dxa"/>
            <w:vAlign w:val="center"/>
          </w:tcPr>
          <w:p w14:paraId="677F008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Generates candidate diagnoses or differential diagnoses.</w:t>
            </w:r>
          </w:p>
        </w:tc>
        <w:tc>
          <w:tcPr>
            <w:tcW w:w="3700" w:type="dxa"/>
            <w:vAlign w:val="center"/>
          </w:tcPr>
          <w:p w14:paraId="52F98EB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hypothesis generation; candidate diagnosis generation</w:t>
            </w:r>
          </w:p>
        </w:tc>
      </w:tr>
      <w:tr w14:paraId="3114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0D848E6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and Hypothesis Refinement</w:t>
            </w:r>
          </w:p>
        </w:tc>
        <w:tc>
          <w:tcPr>
            <w:tcW w:w="2450" w:type="dxa"/>
            <w:vAlign w:val="center"/>
          </w:tcPr>
          <w:p w14:paraId="0E6A247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Diagnosis ranking</w:t>
            </w:r>
          </w:p>
        </w:tc>
        <w:tc>
          <w:tcPr>
            <w:tcW w:w="3300" w:type="dxa"/>
            <w:vAlign w:val="center"/>
          </w:tcPr>
          <w:p w14:paraId="576507C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Ranks candidate diseases and outputs the top diagnosis.</w:t>
            </w:r>
          </w:p>
        </w:tc>
        <w:tc>
          <w:tcPr>
            <w:tcW w:w="3700" w:type="dxa"/>
            <w:vAlign w:val="center"/>
          </w:tcPr>
          <w:p w14:paraId="6C7B82E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ranked diagnosis; DDx ranking; top-k output</w:t>
            </w:r>
          </w:p>
        </w:tc>
      </w:tr>
      <w:tr w14:paraId="2AF3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4C59584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and Hypothesis Refinement</w:t>
            </w:r>
          </w:p>
        </w:tc>
        <w:tc>
          <w:tcPr>
            <w:tcW w:w="2450" w:type="dxa"/>
            <w:vAlign w:val="center"/>
          </w:tcPr>
          <w:p w14:paraId="452A2AB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Iterative refinement</w:t>
            </w:r>
          </w:p>
        </w:tc>
        <w:tc>
          <w:tcPr>
            <w:tcW w:w="3300" w:type="dxa"/>
            <w:vAlign w:val="center"/>
          </w:tcPr>
          <w:p w14:paraId="185E034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Revises diagnostic hypotheses based on newly accumulated evidence.</w:t>
            </w:r>
          </w:p>
        </w:tc>
        <w:tc>
          <w:tcPr>
            <w:tcW w:w="3700" w:type="dxa"/>
            <w:vAlign w:val="center"/>
          </w:tcPr>
          <w:p w14:paraId="22136A6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multi-step reasoning; iterative diagnosis; ReAct</w:t>
            </w:r>
          </w:p>
        </w:tc>
      </w:tr>
      <w:tr w14:paraId="06C6C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45D88FF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and Hypothesis Refinement</w:t>
            </w:r>
          </w:p>
        </w:tc>
        <w:tc>
          <w:tcPr>
            <w:tcW w:w="2450" w:type="dxa"/>
            <w:vAlign w:val="center"/>
          </w:tcPr>
          <w:p w14:paraId="03E7B4A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Verification / self-reflection</w:t>
            </w:r>
          </w:p>
        </w:tc>
        <w:tc>
          <w:tcPr>
            <w:tcW w:w="3300" w:type="dxa"/>
            <w:vAlign w:val="center"/>
          </w:tcPr>
          <w:p w14:paraId="62AE850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Checks, verifies, and corrects diagnostic conclusions.</w:t>
            </w:r>
          </w:p>
        </w:tc>
        <w:tc>
          <w:tcPr>
            <w:tcW w:w="3700" w:type="dxa"/>
            <w:vAlign w:val="center"/>
          </w:tcPr>
          <w:p w14:paraId="4CF83C3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reflection; self-correction; verification</w:t>
            </w:r>
          </w:p>
        </w:tc>
      </w:tr>
      <w:tr w14:paraId="29D54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3A42DC76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and Hypothesis Refinement</w:t>
            </w:r>
          </w:p>
        </w:tc>
        <w:tc>
          <w:tcPr>
            <w:tcW w:w="2450" w:type="dxa"/>
            <w:vAlign w:val="center"/>
          </w:tcPr>
          <w:p w14:paraId="346C329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Consensus synthesis</w:t>
            </w:r>
          </w:p>
        </w:tc>
        <w:tc>
          <w:tcPr>
            <w:tcW w:w="3300" w:type="dxa"/>
            <w:vAlign w:val="center"/>
          </w:tcPr>
          <w:p w14:paraId="637B022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Integrates multiple reasoning outputs or expert opinions.</w:t>
            </w:r>
          </w:p>
        </w:tc>
        <w:tc>
          <w:tcPr>
            <w:tcW w:w="3700" w:type="dxa"/>
            <w:vAlign w:val="center"/>
          </w:tcPr>
          <w:p w14:paraId="203AAF9B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consensus building; evidence synthesis</w:t>
            </w:r>
          </w:p>
        </w:tc>
      </w:tr>
      <w:tr w14:paraId="37A34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2331F86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Memory</w:t>
            </w:r>
          </w:p>
        </w:tc>
        <w:tc>
          <w:tcPr>
            <w:tcW w:w="2450" w:type="dxa"/>
            <w:vAlign w:val="center"/>
          </w:tcPr>
          <w:p w14:paraId="5A38F70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Working memory</w:t>
            </w:r>
          </w:p>
        </w:tc>
        <w:tc>
          <w:tcPr>
            <w:tcW w:w="3300" w:type="dxa"/>
            <w:vAlign w:val="center"/>
          </w:tcPr>
          <w:p w14:paraId="6F15C08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Maintains intermediate states during the diagnostic process.</w:t>
            </w:r>
          </w:p>
        </w:tc>
        <w:tc>
          <w:tcPr>
            <w:tcW w:w="3700" w:type="dxa"/>
            <w:vAlign w:val="center"/>
          </w:tcPr>
          <w:p w14:paraId="4E6964C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working memory; scratchpad; intermediate state</w:t>
            </w:r>
          </w:p>
        </w:tc>
      </w:tr>
      <w:tr w14:paraId="4EC7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45EE275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Memory</w:t>
            </w:r>
          </w:p>
        </w:tc>
        <w:tc>
          <w:tcPr>
            <w:tcW w:w="2450" w:type="dxa"/>
            <w:vAlign w:val="center"/>
          </w:tcPr>
          <w:p w14:paraId="677793B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Patient memory</w:t>
            </w:r>
          </w:p>
        </w:tc>
        <w:tc>
          <w:tcPr>
            <w:tcW w:w="3300" w:type="dxa"/>
            <w:vAlign w:val="center"/>
          </w:tcPr>
          <w:p w14:paraId="1AABF376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Maintains patient history, follow-up information, or longitudinal context.</w:t>
            </w:r>
          </w:p>
        </w:tc>
        <w:tc>
          <w:tcPr>
            <w:tcW w:w="3700" w:type="dxa"/>
            <w:vAlign w:val="center"/>
          </w:tcPr>
          <w:p w14:paraId="2AF944D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patient memory; previous-visit retrieval</w:t>
            </w:r>
          </w:p>
        </w:tc>
      </w:tr>
      <w:tr w14:paraId="47A4E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5C6CB65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Memory</w:t>
            </w:r>
          </w:p>
        </w:tc>
        <w:tc>
          <w:tcPr>
            <w:tcW w:w="2450" w:type="dxa"/>
            <w:vAlign w:val="center"/>
          </w:tcPr>
          <w:p w14:paraId="2FEEA33A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Long-term / experience memory</w:t>
            </w:r>
          </w:p>
        </w:tc>
        <w:tc>
          <w:tcPr>
            <w:tcW w:w="3300" w:type="dxa"/>
            <w:vAlign w:val="center"/>
          </w:tcPr>
          <w:p w14:paraId="084944B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Stores prior cases, accumulated experience, or persistent knowledge.</w:t>
            </w:r>
          </w:p>
        </w:tc>
        <w:tc>
          <w:tcPr>
            <w:tcW w:w="3700" w:type="dxa"/>
            <w:vAlign w:val="center"/>
          </w:tcPr>
          <w:p w14:paraId="1DFB318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long-term memory; experience memory; memory bank</w:t>
            </w:r>
          </w:p>
        </w:tc>
      </w:tr>
      <w:tr w14:paraId="0423B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21B7823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Tool Use and External Knowledge Integration</w:t>
            </w:r>
          </w:p>
        </w:tc>
        <w:tc>
          <w:tcPr>
            <w:tcW w:w="2450" w:type="dxa"/>
            <w:vAlign w:val="center"/>
          </w:tcPr>
          <w:p w14:paraId="6558F31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Phenotype extraction and normalization</w:t>
            </w:r>
          </w:p>
        </w:tc>
        <w:tc>
          <w:tcPr>
            <w:tcW w:w="3300" w:type="dxa"/>
            <w:vAlign w:val="center"/>
          </w:tcPr>
          <w:p w14:paraId="5C5A01C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Extracts symptoms/signs and standardizes them into HPO terms or structured phenotypes.</w:t>
            </w:r>
          </w:p>
        </w:tc>
        <w:tc>
          <w:tcPr>
            <w:tcW w:w="3700" w:type="dxa"/>
            <w:vAlign w:val="center"/>
          </w:tcPr>
          <w:p w14:paraId="04408FA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phenotype extractor; HPO mapping; HPO synonym expansion</w:t>
            </w:r>
          </w:p>
        </w:tc>
      </w:tr>
      <w:tr w14:paraId="7F59A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292A2815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Tool Use and External Knowledge Integration</w:t>
            </w:r>
          </w:p>
        </w:tc>
        <w:tc>
          <w:tcPr>
            <w:tcW w:w="2450" w:type="dxa"/>
            <w:vAlign w:val="center"/>
          </w:tcPr>
          <w:p w14:paraId="66796A15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Disease normalization</w:t>
            </w:r>
          </w:p>
        </w:tc>
        <w:tc>
          <w:tcPr>
            <w:tcW w:w="3300" w:type="dxa"/>
            <w:vAlign w:val="center"/>
          </w:tcPr>
          <w:p w14:paraId="1E6AEA0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Standardizes disease names, aliases, and identifiers.</w:t>
            </w:r>
          </w:p>
        </w:tc>
        <w:tc>
          <w:tcPr>
            <w:tcW w:w="3700" w:type="dxa"/>
            <w:vAlign w:val="center"/>
          </w:tcPr>
          <w:p w14:paraId="361F117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disease normalizer; disease name mapping</w:t>
            </w:r>
          </w:p>
        </w:tc>
      </w:tr>
      <w:tr w14:paraId="312CB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46A29BF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Tool Use and External Knowledge Integration</w:t>
            </w:r>
          </w:p>
        </w:tc>
        <w:tc>
          <w:tcPr>
            <w:tcW w:w="2450" w:type="dxa"/>
            <w:vAlign w:val="center"/>
          </w:tcPr>
          <w:p w14:paraId="02DB805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Biomedical knowledge retrieval</w:t>
            </w:r>
          </w:p>
        </w:tc>
        <w:tc>
          <w:tcPr>
            <w:tcW w:w="3300" w:type="dxa"/>
            <w:vAlign w:val="center"/>
          </w:tcPr>
          <w:p w14:paraId="544729BA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Retrieves biomedical literature, guidelines, and disease knowledge.</w:t>
            </w:r>
          </w:p>
        </w:tc>
        <w:tc>
          <w:tcPr>
            <w:tcW w:w="3700" w:type="dxa"/>
            <w:vAlign w:val="center"/>
          </w:tcPr>
          <w:p w14:paraId="4847B9A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PubMed; OMIM; Orphanet; GeneReviews; guidelines; Wikipedia</w:t>
            </w:r>
          </w:p>
        </w:tc>
      </w:tr>
      <w:tr w14:paraId="003E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3539F20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Tool Use and External Knowledge Integration</w:t>
            </w:r>
          </w:p>
        </w:tc>
        <w:tc>
          <w:tcPr>
            <w:tcW w:w="2450" w:type="dxa"/>
            <w:vAlign w:val="center"/>
          </w:tcPr>
          <w:p w14:paraId="10D9181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Similar-case retrieval</w:t>
            </w:r>
          </w:p>
        </w:tc>
        <w:tc>
          <w:tcPr>
            <w:tcW w:w="3300" w:type="dxa"/>
            <w:vAlign w:val="center"/>
          </w:tcPr>
          <w:p w14:paraId="389EFE1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Retrieves similar patients or comparable rare disease cases.</w:t>
            </w:r>
          </w:p>
        </w:tc>
        <w:tc>
          <w:tcPr>
            <w:tcW w:w="3700" w:type="dxa"/>
            <w:vAlign w:val="center"/>
          </w:tcPr>
          <w:p w14:paraId="21EE285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patient matcher; case searcher; history retriever</w:t>
            </w:r>
          </w:p>
        </w:tc>
      </w:tr>
      <w:tr w14:paraId="057B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4BDE442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Tool Use and External Knowledge Integration</w:t>
            </w:r>
          </w:p>
        </w:tc>
        <w:tc>
          <w:tcPr>
            <w:tcW w:w="2450" w:type="dxa"/>
            <w:vAlign w:val="center"/>
          </w:tcPr>
          <w:p w14:paraId="7BB506F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Genomic / variant interpretation</w:t>
            </w:r>
          </w:p>
        </w:tc>
        <w:tc>
          <w:tcPr>
            <w:tcW w:w="3300" w:type="dxa"/>
            <w:vAlign w:val="center"/>
          </w:tcPr>
          <w:p w14:paraId="5EDC158A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Analyzes WES, VCF, genetic variants, or genotype-phenotype relationships.</w:t>
            </w:r>
          </w:p>
        </w:tc>
        <w:tc>
          <w:tcPr>
            <w:tcW w:w="3700" w:type="dxa"/>
            <w:vAlign w:val="center"/>
          </w:tcPr>
          <w:p w14:paraId="2569857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genotype analyser; VCF/WES analysis; variant interpretation</w:t>
            </w:r>
          </w:p>
        </w:tc>
      </w:tr>
      <w:tr w14:paraId="6777C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12C3B49B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Tool Use and External Knowledge Integration</w:t>
            </w:r>
          </w:p>
        </w:tc>
        <w:tc>
          <w:tcPr>
            <w:tcW w:w="2450" w:type="dxa"/>
            <w:vAlign w:val="center"/>
          </w:tcPr>
          <w:p w14:paraId="3FCF446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RAG / agentic RAG</w:t>
            </w:r>
          </w:p>
        </w:tc>
        <w:tc>
          <w:tcPr>
            <w:tcW w:w="3300" w:type="dxa"/>
            <w:vAlign w:val="center"/>
          </w:tcPr>
          <w:p w14:paraId="16906BA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Integrates retrieved evidence into diagnostic reasoning.</w:t>
            </w:r>
          </w:p>
        </w:tc>
        <w:tc>
          <w:tcPr>
            <w:tcW w:w="3700" w:type="dxa"/>
            <w:vAlign w:val="center"/>
          </w:tcPr>
          <w:p w14:paraId="02DC7B8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RAG; agentic RAG; knowledge graph; document retrieval</w:t>
            </w:r>
          </w:p>
        </w:tc>
      </w:tr>
      <w:tr w14:paraId="37C0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6CE1F41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Multi-agent Collaboration</w:t>
            </w:r>
          </w:p>
        </w:tc>
        <w:tc>
          <w:tcPr>
            <w:tcW w:w="2450" w:type="dxa"/>
            <w:vAlign w:val="center"/>
          </w:tcPr>
          <w:p w14:paraId="1CEE307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Role-specialized agents</w:t>
            </w:r>
          </w:p>
        </w:tc>
        <w:tc>
          <w:tcPr>
            <w:tcW w:w="3300" w:type="dxa"/>
            <w:vAlign w:val="center"/>
          </w:tcPr>
          <w:p w14:paraId="5A88BDF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Coordinates multiple agents with different roles or specialties.</w:t>
            </w:r>
          </w:p>
        </w:tc>
        <w:tc>
          <w:tcPr>
            <w:tcW w:w="3700" w:type="dxa"/>
            <w:vAlign w:val="center"/>
          </w:tcPr>
          <w:p w14:paraId="1B0BED9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specialist agents; doctor agents; virtual experts</w:t>
            </w:r>
          </w:p>
        </w:tc>
      </w:tr>
      <w:tr w14:paraId="5C6C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0199004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Multi-agent Collaboration</w:t>
            </w:r>
          </w:p>
        </w:tc>
        <w:tc>
          <w:tcPr>
            <w:tcW w:w="2450" w:type="dxa"/>
            <w:vAlign w:val="center"/>
          </w:tcPr>
          <w:p w14:paraId="2ABFA90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Supervisor / coordinator</w:t>
            </w:r>
          </w:p>
        </w:tc>
        <w:tc>
          <w:tcPr>
            <w:tcW w:w="3300" w:type="dxa"/>
            <w:vAlign w:val="center"/>
          </w:tcPr>
          <w:p w14:paraId="318F830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Uses one agent to organize, supervise, or summarize the process.</w:t>
            </w:r>
          </w:p>
        </w:tc>
        <w:tc>
          <w:tcPr>
            <w:tcW w:w="3700" w:type="dxa"/>
            <w:vAlign w:val="center"/>
          </w:tcPr>
          <w:p w14:paraId="253123B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supervisor; coordinator; central host</w:t>
            </w:r>
          </w:p>
        </w:tc>
      </w:tr>
      <w:tr w14:paraId="27FD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685B94F6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Multi-agent Collaboration</w:t>
            </w:r>
          </w:p>
        </w:tc>
        <w:tc>
          <w:tcPr>
            <w:tcW w:w="2450" w:type="dxa"/>
            <w:vAlign w:val="center"/>
          </w:tcPr>
          <w:p w14:paraId="21645A3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MDT-style discussion</w:t>
            </w:r>
          </w:p>
        </w:tc>
        <w:tc>
          <w:tcPr>
            <w:tcW w:w="3300" w:type="dxa"/>
            <w:vAlign w:val="center"/>
          </w:tcPr>
          <w:p w14:paraId="69BC0FC6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Simulates multidisciplinary diagnostic consultation.</w:t>
            </w:r>
          </w:p>
        </w:tc>
        <w:tc>
          <w:tcPr>
            <w:tcW w:w="3700" w:type="dxa"/>
            <w:vAlign w:val="center"/>
          </w:tcPr>
          <w:p w14:paraId="04FF24C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MDT discussion; multi-agent consultation</w:t>
            </w:r>
          </w:p>
        </w:tc>
      </w:tr>
      <w:tr w14:paraId="18A28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634D07E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Multi-agent Collaboration</w:t>
            </w:r>
          </w:p>
        </w:tc>
        <w:tc>
          <w:tcPr>
            <w:tcW w:w="2450" w:type="dxa"/>
            <w:vAlign w:val="center"/>
          </w:tcPr>
          <w:p w14:paraId="3491F03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Inter-agent consensus</w:t>
            </w:r>
          </w:p>
        </w:tc>
        <w:tc>
          <w:tcPr>
            <w:tcW w:w="3300" w:type="dxa"/>
            <w:vAlign w:val="center"/>
          </w:tcPr>
          <w:p w14:paraId="411693EB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Reaches diagnostic consensus across multiple agents.</w:t>
            </w:r>
          </w:p>
        </w:tc>
        <w:tc>
          <w:tcPr>
            <w:tcW w:w="3700" w:type="dxa"/>
            <w:vAlign w:val="center"/>
          </w:tcPr>
          <w:p w14:paraId="39FC3C0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consensus; expert voting; discussion rounds</w:t>
            </w:r>
          </w:p>
        </w:tc>
      </w:tr>
      <w:tr w14:paraId="558E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5057801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Interactive Decision-making</w:t>
            </w:r>
          </w:p>
        </w:tc>
        <w:tc>
          <w:tcPr>
            <w:tcW w:w="2450" w:type="dxa"/>
            <w:vAlign w:val="center"/>
          </w:tcPr>
          <w:p w14:paraId="74710E7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History taking</w:t>
            </w:r>
          </w:p>
        </w:tc>
        <w:tc>
          <w:tcPr>
            <w:tcW w:w="3300" w:type="dxa"/>
            <w:vAlign w:val="center"/>
          </w:tcPr>
          <w:p w14:paraId="0FA7C10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Actively asks for additional history or symptoms.</w:t>
            </w:r>
          </w:p>
        </w:tc>
        <w:tc>
          <w:tcPr>
            <w:tcW w:w="3700" w:type="dxa"/>
            <w:vAlign w:val="center"/>
          </w:tcPr>
          <w:p w14:paraId="36B85C8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history-taking agent; adaptive questioning</w:t>
            </w:r>
          </w:p>
        </w:tc>
      </w:tr>
      <w:tr w14:paraId="23048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1D1D41D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Interactive Decision-making</w:t>
            </w:r>
          </w:p>
        </w:tc>
        <w:tc>
          <w:tcPr>
            <w:tcW w:w="2450" w:type="dxa"/>
            <w:vAlign w:val="center"/>
          </w:tcPr>
          <w:p w14:paraId="4306A6B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Clinical operation request</w:t>
            </w:r>
          </w:p>
        </w:tc>
        <w:tc>
          <w:tcPr>
            <w:tcW w:w="3300" w:type="dxa"/>
            <w:vAlign w:val="center"/>
          </w:tcPr>
          <w:p w14:paraId="6FDF0A5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Requests physical examination, laboratory tests, imaging, or other clinical operations.</w:t>
            </w:r>
          </w:p>
        </w:tc>
        <w:tc>
          <w:tcPr>
            <w:tcW w:w="3700" w:type="dxa"/>
            <w:vAlign w:val="center"/>
          </w:tcPr>
          <w:p w14:paraId="20365E0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clinical operation request; lab/imaging request</w:t>
            </w:r>
          </w:p>
        </w:tc>
      </w:tr>
      <w:tr w14:paraId="1904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538BC71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Interactive Decision-making</w:t>
            </w:r>
          </w:p>
        </w:tc>
        <w:tc>
          <w:tcPr>
            <w:tcW w:w="2450" w:type="dxa"/>
            <w:vAlign w:val="center"/>
          </w:tcPr>
          <w:p w14:paraId="64F304AB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Patient / physician simulation</w:t>
            </w:r>
          </w:p>
        </w:tc>
        <w:tc>
          <w:tcPr>
            <w:tcW w:w="3300" w:type="dxa"/>
            <w:vAlign w:val="center"/>
          </w:tcPr>
          <w:p w14:paraId="45E614A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Interacts with simulated patients or physicians to obtain information.</w:t>
            </w:r>
          </w:p>
        </w:tc>
        <w:tc>
          <w:tcPr>
            <w:tcW w:w="3700" w:type="dxa"/>
            <w:vAlign w:val="center"/>
          </w:tcPr>
          <w:p w14:paraId="63CED26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patient simulator; physician simulator</w:t>
            </w:r>
          </w:p>
        </w:tc>
      </w:tr>
      <w:tr w14:paraId="402B2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3ABB7AC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Interactive Decision-making</w:t>
            </w:r>
          </w:p>
        </w:tc>
        <w:tc>
          <w:tcPr>
            <w:tcW w:w="2450" w:type="dxa"/>
            <w:vAlign w:val="center"/>
          </w:tcPr>
          <w:p w14:paraId="4220493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Iterative information acquisition</w:t>
            </w:r>
          </w:p>
        </w:tc>
        <w:tc>
          <w:tcPr>
            <w:tcW w:w="3300" w:type="dxa"/>
            <w:vAlign w:val="center"/>
          </w:tcPr>
          <w:p w14:paraId="08ACCEF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Dynamically determines the next information-gathering step based on available evidence.</w:t>
            </w:r>
          </w:p>
        </w:tc>
        <w:tc>
          <w:tcPr>
            <w:tcW w:w="3700" w:type="dxa"/>
            <w:vAlign w:val="center"/>
          </w:tcPr>
          <w:p w14:paraId="7DC744F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interactive diagnosis; progressive information acquisition</w:t>
            </w:r>
          </w:p>
        </w:tc>
      </w:tr>
      <w:tr w14:paraId="6E6A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2816881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Traceability and Explainability</w:t>
            </w:r>
          </w:p>
        </w:tc>
        <w:tc>
          <w:tcPr>
            <w:tcW w:w="2450" w:type="dxa"/>
            <w:vAlign w:val="center"/>
          </w:tcPr>
          <w:p w14:paraId="058719C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trace</w:t>
            </w:r>
          </w:p>
        </w:tc>
        <w:tc>
          <w:tcPr>
            <w:tcW w:w="3300" w:type="dxa"/>
            <w:vAlign w:val="center"/>
          </w:tcPr>
          <w:p w14:paraId="78A2D87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Records the reasoning process.</w:t>
            </w:r>
          </w:p>
        </w:tc>
        <w:tc>
          <w:tcPr>
            <w:tcW w:w="3700" w:type="dxa"/>
            <w:vAlign w:val="center"/>
          </w:tcPr>
          <w:p w14:paraId="00AA233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reasoning logs; thought trace</w:t>
            </w:r>
          </w:p>
        </w:tc>
      </w:tr>
      <w:tr w14:paraId="4DD2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007B8BC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Traceability and Explainability</w:t>
            </w:r>
          </w:p>
        </w:tc>
        <w:tc>
          <w:tcPr>
            <w:tcW w:w="2450" w:type="dxa"/>
            <w:vAlign w:val="center"/>
          </w:tcPr>
          <w:p w14:paraId="2C2991D2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Action/tool trace</w:t>
            </w:r>
          </w:p>
        </w:tc>
        <w:tc>
          <w:tcPr>
            <w:tcW w:w="3300" w:type="dxa"/>
            <w:vAlign w:val="center"/>
          </w:tcPr>
          <w:p w14:paraId="0A3CCEC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Records tool calls and action paths.</w:t>
            </w:r>
          </w:p>
        </w:tc>
        <w:tc>
          <w:tcPr>
            <w:tcW w:w="3700" w:type="dxa"/>
            <w:vAlign w:val="center"/>
          </w:tcPr>
          <w:p w14:paraId="59399A45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action trace; tool-use log</w:t>
            </w:r>
          </w:p>
        </w:tc>
      </w:tr>
      <w:tr w14:paraId="6BA7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367CD60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Traceability and Explainability</w:t>
            </w:r>
          </w:p>
        </w:tc>
        <w:tc>
          <w:tcPr>
            <w:tcW w:w="2450" w:type="dxa"/>
            <w:vAlign w:val="center"/>
          </w:tcPr>
          <w:p w14:paraId="05B626F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Evidence citation</w:t>
            </w:r>
          </w:p>
        </w:tc>
        <w:tc>
          <w:tcPr>
            <w:tcW w:w="3300" w:type="dxa"/>
            <w:vAlign w:val="center"/>
          </w:tcPr>
          <w:p w14:paraId="431E4BC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Provides evidence sources supporting diagnostic decisions.</w:t>
            </w:r>
          </w:p>
        </w:tc>
        <w:tc>
          <w:tcPr>
            <w:tcW w:w="3700" w:type="dxa"/>
            <w:vAlign w:val="center"/>
          </w:tcPr>
          <w:p w14:paraId="6DF3E49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cited evidence; supporting literature</w:t>
            </w:r>
          </w:p>
        </w:tc>
      </w:tr>
      <w:tr w14:paraId="7540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13811D3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Traceability and Explainability</w:t>
            </w:r>
          </w:p>
        </w:tc>
        <w:tc>
          <w:tcPr>
            <w:tcW w:w="2450" w:type="dxa"/>
            <w:vAlign w:val="center"/>
          </w:tcPr>
          <w:p w14:paraId="28C09E9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Evidence chain</w:t>
            </w:r>
          </w:p>
        </w:tc>
        <w:tc>
          <w:tcPr>
            <w:tcW w:w="3300" w:type="dxa"/>
            <w:vAlign w:val="center"/>
          </w:tcPr>
          <w:p w14:paraId="53B95A9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Links symptoms, evidence, and diagnostic conclusions.</w:t>
            </w:r>
          </w:p>
        </w:tc>
        <w:tc>
          <w:tcPr>
            <w:tcW w:w="3700" w:type="dxa"/>
            <w:vAlign w:val="center"/>
          </w:tcPr>
          <w:p w14:paraId="39FB7953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evidence chain; evidence-based diagnosis</w:t>
            </w:r>
          </w:p>
        </w:tc>
      </w:tr>
      <w:tr w14:paraId="2738E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100" w:type="dxa"/>
            <w:vAlign w:val="center"/>
          </w:tcPr>
          <w:p w14:paraId="109FBE1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Traceability and Explainability</w:t>
            </w:r>
          </w:p>
        </w:tc>
        <w:tc>
          <w:tcPr>
            <w:tcW w:w="2450" w:type="dxa"/>
            <w:vAlign w:val="center"/>
          </w:tcPr>
          <w:p w14:paraId="7CD319A0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Structured explainable output</w:t>
            </w:r>
          </w:p>
        </w:tc>
        <w:tc>
          <w:tcPr>
            <w:tcW w:w="3300" w:type="dxa"/>
            <w:vAlign w:val="center"/>
          </w:tcPr>
          <w:p w14:paraId="053F564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Provides structured explanations or diagnostic reports.</w:t>
            </w:r>
          </w:p>
        </w:tc>
        <w:tc>
          <w:tcPr>
            <w:tcW w:w="3700" w:type="dxa"/>
            <w:vAlign w:val="center"/>
          </w:tcPr>
          <w:p w14:paraId="4D11821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5"/>
              </w:rPr>
              <w:t>structured report; final diagnosis summary; explainable output</w:t>
            </w:r>
          </w:p>
        </w:tc>
      </w:tr>
    </w:tbl>
    <w:p w14:paraId="257BF21C">
      <w:pPr>
        <w:rPr>
          <w:rFonts w:hint="default" w:ascii="Times New Roman" w:hAnsi="Times New Roman" w:cs="Times New Roman"/>
        </w:rPr>
      </w:pPr>
    </w:p>
    <w:sectPr>
      <w:pgSz w:w="15840" w:h="12240" w:orient="landscape"/>
      <w:pgMar w:top="792" w:right="648" w:bottom="792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106BBD"/>
    <w:rsid w:val="24AF13F7"/>
    <w:rsid w:val="388131DD"/>
    <w:rsid w:val="3C290C28"/>
    <w:rsid w:val="64EF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4" w:lineRule="auto"/>
    </w:pPr>
    <w:rPr>
      <w:rFonts w:ascii="Calibri" w:hAnsi="Calibri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4591</Characters>
  <Lines>0</Lines>
  <Paragraphs>0</Paragraphs>
  <TotalTime>1</TotalTime>
  <ScaleCrop>false</ScaleCrop>
  <LinksUpToDate>false</LinksUpToDate>
  <CharactersWithSpaces>5041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WPS_139375716</cp:lastModifiedBy>
  <dcterms:modified xsi:type="dcterms:W3CDTF">2026-07-28T12:16:56Z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eyJoZGlkIjoiYTYxNzZmNTc0YjJlNmIzNTk0Y2U5MmQ3ZGNmMzgwNTgiLCJ1c2VySWQiOiIxMzkzNzU3MTYifQ==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49AE3715ACFC4EAB9CA50061053AFC8F_12</vt:lpwstr>
  </property>
</Properties>
</file>