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Arial" w:hAnsi="Arial" w:eastAsia="Arial"/>
          <w:b/>
          <w:i w:val="0"/>
          <w:color w:val="000000"/>
          <w:sz w:val="36"/>
        </w:rPr>
        <w:t>Additional file 1</w:t>
      </w:r>
    </w:p>
    <w:p>
      <w:pPr>
        <w:jc w:val="center"/>
      </w:pPr>
      <w:r>
        <w:rPr>
          <w:rFonts w:ascii="Arial" w:hAnsi="Arial" w:eastAsia="Arial"/>
          <w:b/>
          <w:i w:val="0"/>
          <w:color w:val="000000"/>
          <w:sz w:val="24"/>
        </w:rPr>
        <w:t>Islet autoantibody strength and multiplicity reveal a high-HDL, low-triglyceride phenotype across routine adult diabetes labels</w:t>
      </w:r>
    </w:p>
    <w:p>
      <w:pPr>
        <w:jc w:val="center"/>
      </w:pPr>
      <w:r>
        <w:rPr>
          <w:rFonts w:ascii="Arial" w:hAnsi="Arial" w:eastAsia="Arial"/>
          <w:b w:val="0"/>
          <w:i w:val="0"/>
          <w:color w:val="000000"/>
          <w:sz w:val="22"/>
        </w:rPr>
        <w:t>Supplementary methods, Tables S1–S6, and Figures S1–S8</w:t>
      </w:r>
    </w:p>
    <w:p>
      <w:pPr>
        <w:pStyle w:val="Heading1"/>
      </w:pPr>
      <w:r>
        <w:t>Supplementary methods</w:t>
      </w:r>
    </w:p>
    <w:p>
      <w:pPr>
        <w:pStyle w:val="Heading2"/>
      </w:pPr>
      <w:r>
        <w:t>Source reconciliation and privacy</w:t>
      </w:r>
    </w:p>
    <w:p>
      <w:r>
        <w:rPr>
          <w:rFonts w:ascii="Arial" w:hAnsi="Arial" w:eastAsia="Arial"/>
          <w:b w:val="0"/>
          <w:i w:val="0"/>
          <w:color w:val="000000"/>
          <w:sz w:val="21"/>
        </w:rPr>
        <w:t>Forty-two frozen workbooks were read in two identity passes. Repeated deliveries were reconciled by patient, specimen, audit time, and analyte. Direct identifiers were transformed into irreversible in-memory tokens. No patient-level record, match set, propensity, or row weight was exported.</w:t>
      </w:r>
    </w:p>
    <w:p>
      <w:pPr>
        <w:pStyle w:val="Heading2"/>
      </w:pPr>
      <w:r>
        <w:t>Time windows and standardization</w:t>
      </w:r>
    </w:p>
    <w:p>
      <w:r>
        <w:rPr>
          <w:rFonts w:ascii="Arial" w:hAnsi="Arial" w:eastAsia="Arial"/>
          <w:b w:val="0"/>
          <w:i w:val="0"/>
          <w:color w:val="000000"/>
          <w:sz w:val="21"/>
        </w:rPr>
        <w:t>The index specimen was preferred. Otherwise, the nearest result within ±7 days was selected, with earlier results preferred for ties. Values were rank-normalized against E0 within year×method×setting, with prespecified fallback for sparse reference strata. Domain scores required every component and were rescaled to the E0 standard deviation.</w:t>
      </w:r>
    </w:p>
    <w:p>
      <w:pPr>
        <w:pStyle w:val="Heading2"/>
      </w:pPr>
      <w:r>
        <w:t>Matching and alternative estimators</w:t>
      </w:r>
    </w:p>
    <w:p>
      <w:r>
        <w:rPr>
          <w:rFonts w:ascii="Arial" w:hAnsi="Arial" w:eastAsia="Arial"/>
          <w:b w:val="0"/>
          <w:i w:val="0"/>
          <w:color w:val="000000"/>
          <w:sz w:val="21"/>
        </w:rPr>
        <w:t>Matching was exact on year, care setting, and clinician-assigned diagnosis. Distance variables were age, sex, department, prior laboratory burden, observable days, and linkage quality. Controls were not reused. Robust regression and coarsened-exact estimation reconstructed the cohort independently.</w:t>
      </w:r>
    </w:p>
    <w:p>
      <w:pPr>
        <w:pStyle w:val="Heading2"/>
      </w:pPr>
      <w:r>
        <w:t>Observation-process analysis</w:t>
      </w:r>
    </w:p>
    <w:p>
      <w:r>
        <w:rPr>
          <w:rFonts w:ascii="Arial" w:hAnsi="Arial" w:eastAsia="Arial"/>
          <w:b w:val="0"/>
          <w:i w:val="0"/>
          <w:color w:val="000000"/>
          <w:sz w:val="21"/>
        </w:rPr>
        <w:t>Outcome observation was modeled in the full E0/H set using demographic, clinical-setting, and observation-history variables. Stabilized inverse probabilities were truncated at 0.05–0.95 and 0.02–0.98. This sensitivity analysis assumes conditional missing at random.</w:t>
      </w:r>
    </w:p>
    <w:p>
      <w:pPr>
        <w:pStyle w:val="Heading2"/>
      </w:pPr>
      <w:r>
        <w:t>Local covariate preflight</w:t>
      </w:r>
    </w:p>
    <w:p>
      <w:r>
        <w:rPr>
          <w:rFonts w:ascii="Arial" w:hAnsi="Arial" w:eastAsia="Arial"/>
          <w:b w:val="0"/>
          <w:i w:val="0"/>
          <w:color w:val="000000"/>
          <w:sz w:val="21"/>
        </w:rPr>
        <w:t>An existing VCTE–LIS resource used a shared patient_hash, but the antibody workbooks lacked a compatible hash and the historical key was unavailable. A governed fingerprint bridge yielded no H links. Prespecified BMI, HbA1c, and interpretable C-peptide gates therefore failed.</w:t>
      </w:r>
    </w:p>
    <w:p>
      <w:pPr>
        <w:pStyle w:val="Heading2"/>
      </w:pPr>
      <w:r>
        <w:t>Public-data boundary</w:t>
      </w:r>
    </w:p>
    <w:p>
      <w:r>
        <w:rPr>
          <w:rFonts w:ascii="Arial" w:hAnsi="Arial" w:eastAsia="Arial"/>
          <w:b w:val="0"/>
          <w:i w:val="0"/>
          <w:color w:val="000000"/>
          <w:sz w:val="21"/>
        </w:rPr>
        <w:t>TN09 whole-blood RNA sequencing tested a continuous four-antibody burden against prespecified neutrophil/lactotransferrin and cytotoxic modules. HPAP donor-level flow cytometry compared antibody-positive and antibody-negative nondiabetic donors. These analyses provided orthogonal context and were not lipid replication.</w:t>
      </w:r>
    </w:p>
    <w:p>
      <w:pPr>
        <w:pStyle w:val="Heading1"/>
      </w:pPr>
      <w:r>
        <w:t>Supplementary results</w:t>
      </w:r>
    </w:p>
    <w:p>
      <w:pPr>
        <w:pStyle w:val="Heading2"/>
      </w:pPr>
      <w:r>
        <w:t>Independent reconstruction</w:t>
      </w:r>
    </w:p>
    <w:p>
      <w:r>
        <w:rPr>
          <w:rFonts w:ascii="Arial" w:hAnsi="Arial" w:eastAsia="Arial"/>
          <w:b w:val="0"/>
          <w:i w:val="0"/>
          <w:color w:val="000000"/>
          <w:sz w:val="21"/>
        </w:rPr>
        <w:t>The validation program rebuilt 18845 unique adults; reproduced E0/E1/E2/E3 counts of 18137/513/96/99; confirmed that H5 equaled the original H definition for every participant; and verified nested H3/H5/H10 sets of 238/195/158. Three key matched point estimates reproduced with zero numerical difference.</w:t>
      </w:r>
    </w:p>
    <w:p>
      <w:pPr>
        <w:pStyle w:val="Heading2"/>
      </w:pPr>
      <w:r>
        <w:t>Same-specimen verification</w:t>
      </w:r>
    </w:p>
    <w:p>
      <w:r>
        <w:rPr>
          <w:rFonts w:ascii="Arial" w:hAnsi="Arial" w:eastAsia="Arial"/>
          <w:b w:val="0"/>
          <w:i w:val="0"/>
          <w:color w:val="000000"/>
          <w:sz w:val="21"/>
        </w:rPr>
        <w:t>Among 7728 participants with selected HDL-C and triglyceride records, 99.97% were from the same specimen and audit date. The rate was 100% in H and 99.97% in E0.</w:t>
      </w:r>
    </w:p>
    <w:p>
      <w:pPr>
        <w:pStyle w:val="Heading2"/>
      </w:pPr>
      <w:r>
        <w:t>Observation diagnostics</w:t>
      </w:r>
    </w:p>
    <w:p>
      <w:r>
        <w:rPr>
          <w:rFonts w:ascii="Arial" w:hAnsi="Arial" w:eastAsia="Arial"/>
          <w:b w:val="0"/>
          <w:i w:val="0"/>
          <w:color w:val="000000"/>
          <w:sz w:val="21"/>
        </w:rPr>
        <w:t>Outcome availability was higher in H and remained strongly predictable from measured care-process variables. Weighted estimates retained direction; lower effective sample sizes and extreme probabilities limited precision and causal interpretation.</w:t>
      </w:r>
    </w:p>
    <w:p>
      <w:pPr>
        <w:pStyle w:val="Heading1"/>
      </w:pPr>
      <w:r>
        <w:t>Supplementary tables</w:t>
      </w:r>
    </w:p>
    <w:p>
      <w:pPr>
        <w:keepNext/>
      </w:pPr>
      <w:r>
        <w:rPr>
          <w:rFonts w:ascii="Times New Roman" w:hAnsi="Times New Roman" w:eastAsia="Times New Roman"/>
          <w:b/>
          <w:i w:val="0"/>
          <w:color w:val="000000"/>
          <w:sz w:val="20"/>
        </w:rPr>
        <w:t>Table S1. Source reconciliation and cohort flow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7000"/>
        <w:gridCol w:w="2360"/>
      </w:tblGrid>
      <w:tr>
        <w:trPr>
          <w:tblHeader w:val="true"/>
          <w:cantSplit/>
        </w:trPr>
        <w:tc>
          <w:tcPr>
            <w:tcW w:type="dxa" w:w="7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15"/>
              </w:rPr>
              <w:t>Stage</w:t>
            </w:r>
          </w:p>
        </w:tc>
        <w:tc>
          <w:tcPr>
            <w:tcW w:type="dxa" w:w="2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15"/>
              </w:rPr>
              <w:t>n</w:t>
            </w:r>
          </w:p>
        </w:tc>
      </w:tr>
      <w:tr>
        <w:trPr>
          <w:cantSplit/>
        </w:trPr>
        <w:tc>
          <w:tcPr>
            <w:tcW w:type="dxa" w:w="7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Physical source rows</w:t>
            </w:r>
          </w:p>
        </w:tc>
        <w:tc>
          <w:tcPr>
            <w:tcW w:type="dxa" w:w="2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642731</w:t>
            </w:r>
          </w:p>
        </w:tc>
      </w:tr>
      <w:tr>
        <w:trPr>
          <w:cantSplit/>
        </w:trPr>
        <w:tc>
          <w:tcPr>
            <w:tcW w:type="dxa" w:w="7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Logical results after reconciliation</w:t>
            </w:r>
          </w:p>
        </w:tc>
        <w:tc>
          <w:tcPr>
            <w:tcW w:type="dxa" w:w="2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584142</w:t>
            </w:r>
          </w:p>
        </w:tc>
      </w:tr>
      <w:tr>
        <w:trPr>
          <w:cantSplit/>
        </w:trPr>
        <w:tc>
          <w:tcPr>
            <w:tcW w:type="dxa" w:w="7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Patients with any antibody record</w:t>
            </w:r>
          </w:p>
        </w:tc>
        <w:tc>
          <w:tcPr>
            <w:tcW w:type="dxa" w:w="2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24683</w:t>
            </w:r>
          </w:p>
        </w:tc>
      </w:tr>
      <w:tr>
        <w:trPr>
          <w:cantSplit/>
        </w:trPr>
        <w:tc>
          <w:tcPr>
            <w:tcW w:type="dxa" w:w="7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No eligible 365-day-washout candidate</w:t>
            </w:r>
          </w:p>
        </w:tc>
        <w:tc>
          <w:tcPr>
            <w:tcW w:type="dxa" w:w="2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5555</w:t>
            </w:r>
          </w:p>
        </w:tc>
      </w:tr>
      <w:tr>
        <w:trPr>
          <w:cantSplit/>
        </w:trPr>
        <w:tc>
          <w:tcPr>
            <w:tcW w:type="dxa" w:w="7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Identity conflict</w:t>
            </w:r>
          </w:p>
        </w:tc>
        <w:tc>
          <w:tcPr>
            <w:tcW w:type="dxa" w:w="2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160</w:t>
            </w:r>
          </w:p>
        </w:tc>
      </w:tr>
      <w:tr>
        <w:trPr>
          <w:cantSplit/>
        </w:trPr>
        <w:tc>
          <w:tcPr>
            <w:tcW w:type="dxa" w:w="7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Age exclusion</w:t>
            </w:r>
          </w:p>
        </w:tc>
        <w:tc>
          <w:tcPr>
            <w:tcW w:type="dxa" w:w="2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122</w:t>
            </w:r>
          </w:p>
        </w:tc>
      </w:tr>
      <w:tr>
        <w:trPr>
          <w:cantSplit/>
        </w:trPr>
        <w:tc>
          <w:tcPr>
            <w:tcW w:type="dxa" w:w="7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No same-event GADA–ICA pair</w:t>
            </w:r>
          </w:p>
        </w:tc>
        <w:tc>
          <w:tcPr>
            <w:tcW w:type="dxa" w:w="2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1</w:t>
            </w:r>
          </w:p>
        </w:tc>
      </w:tr>
      <w:tr>
        <w:trPr>
          <w:cantSplit/>
        </w:trPr>
        <w:tc>
          <w:tcPr>
            <w:tcW w:type="dxa" w:w="7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Adult index cohort</w:t>
            </w:r>
          </w:p>
        </w:tc>
        <w:tc>
          <w:tcPr>
            <w:tcW w:type="dxa" w:w="2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18845</w:t>
            </w:r>
          </w:p>
        </w:tc>
      </w:tr>
    </w:tbl>
    <w:p>
      <w:pPr>
        <w:keepNext/>
      </w:pPr>
      <w:r>
        <w:rPr>
          <w:rFonts w:ascii="Times New Roman" w:hAnsi="Times New Roman" w:eastAsia="Times New Roman"/>
          <w:b/>
          <w:i w:val="0"/>
          <w:color w:val="000000"/>
          <w:sz w:val="20"/>
        </w:rPr>
        <w:t>Table S2. Antibody evidence patterns and lipid availability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3900"/>
        <w:gridCol w:w="1200"/>
        <w:gridCol w:w="2100"/>
        <w:gridCol w:w="2160"/>
      </w:tblGrid>
      <w:tr>
        <w:trPr>
          <w:tblHeader w:val="true"/>
          <w:cantSplit/>
        </w:trPr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15"/>
              </w:rPr>
              <w:t>Pattern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15"/>
              </w:rPr>
              <w:t>n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15"/>
              </w:rPr>
              <w:t>HDL–LDL complete</w:t>
            </w:r>
          </w:p>
        </w:tc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15"/>
              </w:rPr>
              <w:t>HDL–TG complete</w:t>
            </w:r>
          </w:p>
        </w:tc>
      </w:tr>
      <w:tr>
        <w:trPr>
          <w:cantSplit/>
        </w:trPr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E0_both_negative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18137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8041</w:t>
            </w:r>
          </w:p>
        </w:tc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7321</w:t>
            </w:r>
          </w:p>
        </w:tc>
      </w:tr>
      <w:tr>
        <w:trPr>
          <w:cantSplit/>
        </w:trPr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dual_high_any_ge5x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91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60</w:t>
            </w:r>
          </w:p>
        </w:tc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52</w:t>
            </w:r>
          </w:p>
        </w:tc>
      </w:tr>
      <w:tr>
        <w:trPr>
          <w:cantSplit/>
        </w:trPr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dual_low_both_lt5x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8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2</w:t>
            </w:r>
          </w:p>
        </w:tc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2</w:t>
            </w:r>
          </w:p>
        </w:tc>
      </w:tr>
      <w:tr>
        <w:trPr>
          <w:cantSplit/>
        </w:trPr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isolated_GADA_ge5x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77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52</w:t>
            </w:r>
          </w:p>
        </w:tc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47</w:t>
            </w:r>
          </w:p>
        </w:tc>
      </w:tr>
      <w:tr>
        <w:trPr>
          <w:cantSplit/>
        </w:trPr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isolated_GADA_lt5x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394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205</w:t>
            </w:r>
          </w:p>
        </w:tc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190</w:t>
            </w:r>
          </w:p>
        </w:tc>
      </w:tr>
      <w:tr>
        <w:trPr>
          <w:cantSplit/>
        </w:trPr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isolated_ICA_ge5x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19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7</w:t>
            </w:r>
          </w:p>
        </w:tc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7</w:t>
            </w:r>
          </w:p>
        </w:tc>
      </w:tr>
      <w:tr>
        <w:trPr>
          <w:cantSplit/>
        </w:trPr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isolated_ICA_lt5x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119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41</w:t>
            </w:r>
          </w:p>
        </w:tc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39</w:t>
            </w:r>
          </w:p>
        </w:tc>
      </w:tr>
      <w:tr>
        <w:trPr>
          <w:cantSplit/>
        </w:trPr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H3_isolated_ge3x_or_dual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238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147</w:t>
            </w:r>
          </w:p>
        </w:tc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132</w:t>
            </w:r>
          </w:p>
        </w:tc>
      </w:tr>
      <w:tr>
        <w:trPr>
          <w:cantSplit/>
        </w:trPr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H5_isolated_ge5x_or_dual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195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121</w:t>
            </w:r>
          </w:p>
        </w:tc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108</w:t>
            </w:r>
          </w:p>
        </w:tc>
      </w:tr>
      <w:tr>
        <w:trPr>
          <w:cantSplit/>
        </w:trPr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H10_isolated_ge10x_or_dual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158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98</w:t>
            </w:r>
          </w:p>
        </w:tc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87</w:t>
            </w:r>
          </w:p>
        </w:tc>
      </w:tr>
    </w:tbl>
    <w:p>
      <w:pPr>
        <w:keepNext/>
      </w:pPr>
      <w:r>
        <w:rPr>
          <w:rFonts w:ascii="Times New Roman" w:hAnsi="Times New Roman" w:eastAsia="Times New Roman"/>
          <w:b/>
          <w:i w:val="0"/>
          <w:color w:val="000000"/>
          <w:sz w:val="20"/>
        </w:rPr>
        <w:t>Table S3. Antibody-threshold and pattern-specific matched effects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3300"/>
        <w:gridCol w:w="1050"/>
        <w:gridCol w:w="900"/>
        <w:gridCol w:w="1100"/>
        <w:gridCol w:w="1950"/>
        <w:gridCol w:w="1060"/>
      </w:tblGrid>
      <w:tr>
        <w:trPr>
          <w:tblHeader w:val="true"/>
          <w:cantSplit/>
        </w:trPr>
        <w:tc>
          <w:tcPr>
            <w:tcW w:type="dxa" w:w="3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15"/>
              </w:rPr>
              <w:t>Analysis</w:t>
            </w:r>
          </w:p>
        </w:tc>
        <w:tc>
          <w:tcPr>
            <w:tcW w:type="dxa" w:w="10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15"/>
              </w:rPr>
              <w:t>Exposed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15"/>
              </w:rPr>
              <w:t>E0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15"/>
              </w:rPr>
              <w:t>Effect</w:t>
            </w:r>
          </w:p>
        </w:tc>
        <w:tc>
          <w:tcPr>
            <w:tcW w:type="dxa" w:w="1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15"/>
              </w:rPr>
              <w:t>95% CI</w:t>
            </w:r>
          </w:p>
        </w:tc>
        <w:tc>
          <w:tcPr>
            <w:tcW w:type="dxa" w:w="1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15"/>
              </w:rPr>
              <w:t>Maximum SMD</w:t>
            </w:r>
          </w:p>
        </w:tc>
      </w:tr>
      <w:tr>
        <w:trPr>
          <w:cantSplit/>
        </w:trPr>
        <w:tc>
          <w:tcPr>
            <w:tcW w:type="dxa" w:w="3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threshold_3x_HDL_TG</w:t>
            </w:r>
          </w:p>
        </w:tc>
        <w:tc>
          <w:tcPr>
            <w:tcW w:type="dxa" w:w="10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124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372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-0.558</w:t>
            </w:r>
          </w:p>
        </w:tc>
        <w:tc>
          <w:tcPr>
            <w:tcW w:type="dxa" w:w="1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-0.765 to -0.345</w:t>
            </w:r>
          </w:p>
        </w:tc>
        <w:tc>
          <w:tcPr>
            <w:tcW w:type="dxa" w:w="1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0.147</w:t>
            </w:r>
          </w:p>
        </w:tc>
      </w:tr>
      <w:tr>
        <w:trPr>
          <w:cantSplit/>
        </w:trPr>
        <w:tc>
          <w:tcPr>
            <w:tcW w:type="dxa" w:w="3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threshold_5x_HDL_TG</w:t>
            </w:r>
          </w:p>
        </w:tc>
        <w:tc>
          <w:tcPr>
            <w:tcW w:type="dxa" w:w="10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101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303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-0.634</w:t>
            </w:r>
          </w:p>
        </w:tc>
        <w:tc>
          <w:tcPr>
            <w:tcW w:type="dxa" w:w="1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-0.852 to -0.407</w:t>
            </w:r>
          </w:p>
        </w:tc>
        <w:tc>
          <w:tcPr>
            <w:tcW w:type="dxa" w:w="1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0.141</w:t>
            </w:r>
          </w:p>
        </w:tc>
      </w:tr>
      <w:tr>
        <w:trPr>
          <w:cantSplit/>
        </w:trPr>
        <w:tc>
          <w:tcPr>
            <w:tcW w:type="dxa" w:w="3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threshold_10x_HDL_TG</w:t>
            </w:r>
          </w:p>
        </w:tc>
        <w:tc>
          <w:tcPr>
            <w:tcW w:type="dxa" w:w="10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84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252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-0.701</w:t>
            </w:r>
          </w:p>
        </w:tc>
        <w:tc>
          <w:tcPr>
            <w:tcW w:type="dxa" w:w="1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-0.957 to -0.450</w:t>
            </w:r>
          </w:p>
        </w:tc>
        <w:tc>
          <w:tcPr>
            <w:tcW w:type="dxa" w:w="1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0.155</w:t>
            </w:r>
          </w:p>
        </w:tc>
      </w:tr>
      <w:tr>
        <w:trPr>
          <w:cantSplit/>
        </w:trPr>
        <w:tc>
          <w:tcPr>
            <w:tcW w:type="dxa" w:w="3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pattern_isolated_GADA_ge5x_HDL_TG</w:t>
            </w:r>
          </w:p>
        </w:tc>
        <w:tc>
          <w:tcPr>
            <w:tcW w:type="dxa" w:w="10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44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132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-0.614</w:t>
            </w:r>
          </w:p>
        </w:tc>
        <w:tc>
          <w:tcPr>
            <w:tcW w:type="dxa" w:w="1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-0.931 to -0.284</w:t>
            </w:r>
          </w:p>
        </w:tc>
        <w:tc>
          <w:tcPr>
            <w:tcW w:type="dxa" w:w="1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0.132</w:t>
            </w:r>
          </w:p>
        </w:tc>
      </w:tr>
      <w:tr>
        <w:trPr>
          <w:cantSplit/>
        </w:trPr>
        <w:tc>
          <w:tcPr>
            <w:tcW w:type="dxa" w:w="3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pattern_dual_high_HDL_TG</w:t>
            </w:r>
          </w:p>
        </w:tc>
        <w:tc>
          <w:tcPr>
            <w:tcW w:type="dxa" w:w="10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51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153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-0.646</w:t>
            </w:r>
          </w:p>
        </w:tc>
        <w:tc>
          <w:tcPr>
            <w:tcW w:type="dxa" w:w="1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-0.978 to -0.306</w:t>
            </w:r>
          </w:p>
        </w:tc>
        <w:tc>
          <w:tcPr>
            <w:tcW w:type="dxa" w:w="1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0.200</w:t>
            </w:r>
          </w:p>
        </w:tc>
      </w:tr>
    </w:tbl>
    <w:p>
      <w:pPr>
        <w:keepNext/>
      </w:pPr>
      <w:r>
        <w:rPr>
          <w:rFonts w:ascii="Times New Roman" w:hAnsi="Times New Roman" w:eastAsia="Times New Roman"/>
          <w:b/>
          <w:i w:val="0"/>
          <w:color w:val="000000"/>
          <w:sz w:val="20"/>
        </w:rPr>
        <w:t>Table S4. Observation-process sensitivity analyses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2500"/>
        <w:gridCol w:w="1800"/>
        <w:gridCol w:w="1100"/>
        <w:gridCol w:w="600"/>
        <w:gridCol w:w="950"/>
        <w:gridCol w:w="1650"/>
        <w:gridCol w:w="760"/>
      </w:tblGrid>
      <w:tr>
        <w:trPr>
          <w:tblHeader w:val="true"/>
          <w:cantSplit/>
        </w:trPr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15"/>
              </w:rPr>
              <w:t>Method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15"/>
              </w:rPr>
              <w:t>Outcome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15"/>
              </w:rPr>
              <w:t>Truncation</w:t>
            </w:r>
          </w:p>
        </w:tc>
        <w:tc>
          <w:tcPr>
            <w:tcW w:type="dxa" w:w="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15"/>
              </w:rPr>
              <w:t>H</w:t>
            </w:r>
          </w:p>
        </w:tc>
        <w:tc>
          <w:tcPr>
            <w:tcW w:type="dxa" w:w="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15"/>
              </w:rPr>
              <w:t>Effect</w:t>
            </w:r>
          </w:p>
        </w:tc>
        <w:tc>
          <w:tcPr>
            <w:tcW w:type="dxa" w:w="1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15"/>
              </w:rPr>
              <w:t>95% CI</w:t>
            </w:r>
          </w:p>
        </w:tc>
        <w:tc>
          <w:tcPr>
            <w:tcW w:type="dxa" w:w="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15"/>
              </w:rPr>
              <w:t>Weighted ESS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stabilized_inverse_observation_weighted_regression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lipid_pm7_score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0.05-0.95</w:t>
            </w:r>
          </w:p>
        </w:tc>
        <w:tc>
          <w:tcPr>
            <w:tcW w:type="dxa" w:w="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121</w:t>
            </w:r>
          </w:p>
        </w:tc>
        <w:tc>
          <w:tcPr>
            <w:tcW w:type="dxa" w:w="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-0.439</w:t>
            </w:r>
          </w:p>
        </w:tc>
        <w:tc>
          <w:tcPr>
            <w:tcW w:type="dxa" w:w="1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-0.621 to -0.256</w:t>
            </w:r>
          </w:p>
        </w:tc>
        <w:tc>
          <w:tcPr>
            <w:tcW w:type="dxa" w:w="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2927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stabilized_inverse_observation_weighted_regression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lipid_pm7_score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0.02-0.98</w:t>
            </w:r>
          </w:p>
        </w:tc>
        <w:tc>
          <w:tcPr>
            <w:tcW w:type="dxa" w:w="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121</w:t>
            </w:r>
          </w:p>
        </w:tc>
        <w:tc>
          <w:tcPr>
            <w:tcW w:type="dxa" w:w="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-0.481</w:t>
            </w:r>
          </w:p>
        </w:tc>
        <w:tc>
          <w:tcPr>
            <w:tcW w:type="dxa" w:w="1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-0.664 to -0.298</w:t>
            </w:r>
          </w:p>
        </w:tc>
        <w:tc>
          <w:tcPr>
            <w:tcW w:type="dxa" w:w="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1063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covariate_adjusted_complete_case_regression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lipid_pm7_score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none</w:t>
            </w:r>
          </w:p>
        </w:tc>
        <w:tc>
          <w:tcPr>
            <w:tcW w:type="dxa" w:w="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121</w:t>
            </w:r>
          </w:p>
        </w:tc>
        <w:tc>
          <w:tcPr>
            <w:tcW w:type="dxa" w:w="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-0.416</w:t>
            </w:r>
          </w:p>
        </w:tc>
        <w:tc>
          <w:tcPr>
            <w:tcW w:type="dxa" w:w="1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-0.614 to -0.218</w:t>
            </w:r>
          </w:p>
        </w:tc>
        <w:tc>
          <w:tcPr>
            <w:tcW w:type="dxa" w:w="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8162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stabilized_inverse_observation_weighted_regression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hdl_tg_pm7_score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0.05-0.95</w:t>
            </w:r>
          </w:p>
        </w:tc>
        <w:tc>
          <w:tcPr>
            <w:tcW w:type="dxa" w:w="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108</w:t>
            </w:r>
          </w:p>
        </w:tc>
        <w:tc>
          <w:tcPr>
            <w:tcW w:type="dxa" w:w="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-0.861</w:t>
            </w:r>
          </w:p>
        </w:tc>
        <w:tc>
          <w:tcPr>
            <w:tcW w:type="dxa" w:w="1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-1.157 to -0.566</w:t>
            </w:r>
          </w:p>
        </w:tc>
        <w:tc>
          <w:tcPr>
            <w:tcW w:type="dxa" w:w="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2849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stabilized_inverse_observation_weighted_regression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hdl_tg_pm7_score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0.02-0.98</w:t>
            </w:r>
          </w:p>
        </w:tc>
        <w:tc>
          <w:tcPr>
            <w:tcW w:type="dxa" w:w="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108</w:t>
            </w:r>
          </w:p>
        </w:tc>
        <w:tc>
          <w:tcPr>
            <w:tcW w:type="dxa" w:w="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-1.009</w:t>
            </w:r>
          </w:p>
        </w:tc>
        <w:tc>
          <w:tcPr>
            <w:tcW w:type="dxa" w:w="1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-1.406 to -0.612</w:t>
            </w:r>
          </w:p>
        </w:tc>
        <w:tc>
          <w:tcPr>
            <w:tcW w:type="dxa" w:w="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1168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covariate_adjusted_complete_case_regression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hdl_tg_pm7_score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none</w:t>
            </w:r>
          </w:p>
        </w:tc>
        <w:tc>
          <w:tcPr>
            <w:tcW w:type="dxa" w:w="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108</w:t>
            </w:r>
          </w:p>
        </w:tc>
        <w:tc>
          <w:tcPr>
            <w:tcW w:type="dxa" w:w="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-0.729</w:t>
            </w:r>
          </w:p>
        </w:tc>
        <w:tc>
          <w:tcPr>
            <w:tcW w:type="dxa" w:w="1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-0.955 to -0.504</w:t>
            </w:r>
          </w:p>
        </w:tc>
        <w:tc>
          <w:tcPr>
            <w:tcW w:type="dxa" w:w="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7429</w:t>
            </w:r>
          </w:p>
        </w:tc>
      </w:tr>
    </w:tbl>
    <w:p>
      <w:pPr>
        <w:keepNext/>
      </w:pPr>
      <w:r>
        <w:rPr>
          <w:rFonts w:ascii="Times New Roman" w:hAnsi="Times New Roman" w:eastAsia="Times New Roman"/>
          <w:b/>
          <w:i w:val="0"/>
          <w:color w:val="000000"/>
          <w:sz w:val="20"/>
        </w:rPr>
        <w:t>Table S5. Frozen robustness analyses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4200"/>
        <w:gridCol w:w="1600"/>
        <w:gridCol w:w="1500"/>
        <w:gridCol w:w="2060"/>
      </w:tblGrid>
      <w:tr>
        <w:trPr>
          <w:tblHeader w:val="true"/>
          <w:cantSplit/>
        </w:trPr>
        <w:tc>
          <w:tcPr>
            <w:tcW w:type="dxa" w:w="4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15"/>
              </w:rPr>
              <w:t>Analysis</w:t>
            </w:r>
          </w:p>
        </w:tc>
        <w:tc>
          <w:tcPr>
            <w:tcW w:type="dxa" w:w="1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15"/>
              </w:rPr>
              <w:t>H/E0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15"/>
              </w:rPr>
              <w:t>Effect</w:t>
            </w:r>
          </w:p>
        </w:tc>
        <w:tc>
          <w:tcPr>
            <w:tcW w:type="dxa" w:w="2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15"/>
              </w:rPr>
              <w:t>95% CI</w:t>
            </w:r>
          </w:p>
        </w:tc>
      </w:tr>
      <w:tr>
        <w:trPr>
          <w:cantSplit/>
        </w:trPr>
        <w:tc>
          <w:tcPr>
            <w:tcW w:type="dxa" w:w="4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Pre-index 7 days</w:t>
            </w:r>
          </w:p>
        </w:tc>
        <w:tc>
          <w:tcPr>
            <w:tcW w:type="dxa" w:w="1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113/339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−0.340</w:t>
            </w:r>
          </w:p>
        </w:tc>
        <w:tc>
          <w:tcPr>
            <w:tcW w:type="dxa" w:w="2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−0.554 to −0.124</w:t>
            </w:r>
          </w:p>
        </w:tc>
      </w:tr>
      <w:tr>
        <w:trPr>
          <w:cantSplit/>
        </w:trPr>
        <w:tc>
          <w:tcPr>
            <w:tcW w:type="dxa" w:w="4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E2 vs E0</w:t>
            </w:r>
          </w:p>
        </w:tc>
        <w:tc>
          <w:tcPr>
            <w:tcW w:type="dxa" w:w="1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56/168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−0.446</w:t>
            </w:r>
          </w:p>
        </w:tc>
        <w:tc>
          <w:tcPr>
            <w:tcW w:type="dxa" w:w="2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−0.710 to −0.180</w:t>
            </w:r>
          </w:p>
        </w:tc>
      </w:tr>
      <w:tr>
        <w:trPr>
          <w:cantSplit/>
        </w:trPr>
        <w:tc>
          <w:tcPr>
            <w:tcW w:type="dxa" w:w="4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E3 vs E0</w:t>
            </w:r>
          </w:p>
        </w:tc>
        <w:tc>
          <w:tcPr>
            <w:tcW w:type="dxa" w:w="1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61/183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−0.369</w:t>
            </w:r>
          </w:p>
        </w:tc>
        <w:tc>
          <w:tcPr>
            <w:tcW w:type="dxa" w:w="2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−0.690 to −0.052</w:t>
            </w:r>
          </w:p>
        </w:tc>
      </w:tr>
      <w:tr>
        <w:trPr>
          <w:cantSplit/>
        </w:trPr>
        <w:tc>
          <w:tcPr>
            <w:tcW w:type="dxa" w:w="4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Inpatient</w:t>
            </w:r>
          </w:p>
        </w:tc>
        <w:tc>
          <w:tcPr>
            <w:tcW w:type="dxa" w:w="1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67/201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−0.420</w:t>
            </w:r>
          </w:p>
        </w:tc>
        <w:tc>
          <w:tcPr>
            <w:tcW w:type="dxa" w:w="2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−0.713 to −0.124</w:t>
            </w:r>
          </w:p>
        </w:tc>
      </w:tr>
      <w:tr>
        <w:trPr>
          <w:cantSplit/>
        </w:trPr>
        <w:tc>
          <w:tcPr>
            <w:tcW w:type="dxa" w:w="4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Outpatient</w:t>
            </w:r>
          </w:p>
        </w:tc>
        <w:tc>
          <w:tcPr>
            <w:tcW w:type="dxa" w:w="1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46/138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−0.373</w:t>
            </w:r>
          </w:p>
        </w:tc>
        <w:tc>
          <w:tcPr>
            <w:tcW w:type="dxa" w:w="2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−0.692 to −0.050</w:t>
            </w:r>
          </w:p>
        </w:tc>
      </w:tr>
      <w:tr>
        <w:trPr>
          <w:cantSplit/>
        </w:trPr>
        <w:tc>
          <w:tcPr>
            <w:tcW w:type="dxa" w:w="4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T2D</w:t>
            </w:r>
          </w:p>
        </w:tc>
        <w:tc>
          <w:tcPr>
            <w:tcW w:type="dxa" w:w="1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84/252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−0.337</w:t>
            </w:r>
          </w:p>
        </w:tc>
        <w:tc>
          <w:tcPr>
            <w:tcW w:type="dxa" w:w="2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−0.587 to −0.082</w:t>
            </w:r>
          </w:p>
        </w:tc>
      </w:tr>
      <w:tr>
        <w:trPr>
          <w:cantSplit/>
        </w:trPr>
        <w:tc>
          <w:tcPr>
            <w:tcW w:type="dxa" w:w="4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Exclude T1D/LADA/DKA</w:t>
            </w:r>
          </w:p>
        </w:tc>
        <w:tc>
          <w:tcPr>
            <w:tcW w:type="dxa" w:w="1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102/306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−0.372</w:t>
            </w:r>
          </w:p>
        </w:tc>
        <w:tc>
          <w:tcPr>
            <w:tcW w:type="dxa" w:w="2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−0.609 to −0.144</w:t>
            </w:r>
          </w:p>
        </w:tc>
      </w:tr>
      <w:tr>
        <w:trPr>
          <w:cantSplit/>
        </w:trPr>
        <w:tc>
          <w:tcPr>
            <w:tcW w:type="dxa" w:w="4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Robust regression HC3</w:t>
            </w:r>
          </w:p>
        </w:tc>
        <w:tc>
          <w:tcPr>
            <w:tcW w:type="dxa" w:w="1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121/8041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−0.380</w:t>
            </w:r>
          </w:p>
        </w:tc>
        <w:tc>
          <w:tcPr>
            <w:tcW w:type="dxa" w:w="2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−0.577 to −0.183</w:t>
            </w:r>
          </w:p>
        </w:tc>
      </w:tr>
      <w:tr>
        <w:trPr>
          <w:cantSplit/>
        </w:trPr>
        <w:tc>
          <w:tcPr>
            <w:tcW w:type="dxa" w:w="4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Coarsened-exact ATT</w:t>
            </w:r>
          </w:p>
        </w:tc>
        <w:tc>
          <w:tcPr>
            <w:tcW w:type="dxa" w:w="1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104 H in support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−0.419</w:t>
            </w:r>
          </w:p>
        </w:tc>
        <w:tc>
          <w:tcPr>
            <w:tcW w:type="dxa" w:w="2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−0.623 to −0.207</w:t>
            </w:r>
          </w:p>
        </w:tc>
      </w:tr>
    </w:tbl>
    <w:p>
      <w:pPr>
        <w:keepNext/>
      </w:pPr>
      <w:r>
        <w:rPr>
          <w:rFonts w:ascii="Times New Roman" w:hAnsi="Times New Roman" w:eastAsia="Times New Roman"/>
          <w:b/>
          <w:i w:val="0"/>
          <w:color w:val="000000"/>
          <w:sz w:val="20"/>
        </w:rPr>
        <w:t>Table S6. Local-data and public-data boundary analyses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3700"/>
        <w:gridCol w:w="1700"/>
        <w:gridCol w:w="3960"/>
      </w:tblGrid>
      <w:tr>
        <w:trPr>
          <w:tblHeader w:val="true"/>
          <w:cantSplit/>
        </w:trPr>
        <w:tc>
          <w:tcPr>
            <w:tcW w:type="dxa" w:w="3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15"/>
              </w:rPr>
              <w:t>Assessment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15"/>
              </w:rPr>
              <w:t>Result</w:t>
            </w:r>
          </w:p>
        </w:tc>
        <w:tc>
          <w:tcPr>
            <w:tcW w:type="dxa" w:w="3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15"/>
              </w:rPr>
              <w:t>Interpretation</w:t>
            </w:r>
          </w:p>
        </w:tc>
      </w:tr>
      <w:tr>
        <w:trPr>
          <w:cantSplit/>
        </w:trPr>
        <w:tc>
          <w:tcPr>
            <w:tcW w:type="dxa" w:w="3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Project23 H with linked BMI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0</w:t>
            </w:r>
          </w:p>
        </w:tc>
        <w:tc>
          <w:tcPr>
            <w:tcW w:type="dxa" w:w="3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Prespecified enrichment gate failed</w:t>
            </w:r>
          </w:p>
        </w:tc>
      </w:tr>
      <w:tr>
        <w:trPr>
          <w:cantSplit/>
        </w:trPr>
        <w:tc>
          <w:tcPr>
            <w:tcW w:type="dxa" w:w="3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Project23 H with linked HbA1c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0</w:t>
            </w:r>
          </w:p>
        </w:tc>
        <w:tc>
          <w:tcPr>
            <w:tcW w:type="dxa" w:w="3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Prespecified enrichment gate failed</w:t>
            </w:r>
          </w:p>
        </w:tc>
      </w:tr>
      <w:tr>
        <w:trPr>
          <w:cantSplit/>
        </w:trPr>
        <w:tc>
          <w:tcPr>
            <w:tcW w:type="dxa" w:w="3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Project23 H with C-peptide ±7 days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12</w:t>
            </w:r>
          </w:p>
        </w:tc>
        <w:tc>
          <w:tcPr>
            <w:tcW w:type="dxa" w:w="3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No synchronous glucose</w:t>
            </w:r>
          </w:p>
        </w:tc>
      </w:tr>
      <w:tr>
        <w:trPr>
          <w:cantSplit/>
        </w:trPr>
        <w:tc>
          <w:tcPr>
            <w:tcW w:type="dxa" w:w="3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TN09 neutrophil module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0.014 SD</w:t>
            </w:r>
          </w:p>
        </w:tc>
        <w:tc>
          <w:tcPr>
            <w:tcW w:type="dxa" w:w="3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95% CI −0.198 to 0.222</w:t>
            </w:r>
          </w:p>
        </w:tc>
      </w:tr>
      <w:tr>
        <w:trPr>
          <w:cantSplit/>
        </w:trPr>
        <w:tc>
          <w:tcPr>
            <w:tcW w:type="dxa" w:w="3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TN09 cytotoxic module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−0.083 SD</w:t>
            </w:r>
          </w:p>
        </w:tc>
        <w:tc>
          <w:tcPr>
            <w:tcW w:type="dxa" w:w="3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95% CI −0.282 to 0.134</w:t>
            </w:r>
          </w:p>
        </w:tc>
      </w:tr>
      <w:tr>
        <w:trPr>
          <w:cantSplit/>
        </w:trPr>
        <w:tc>
          <w:tcPr>
            <w:tcW w:type="dxa" w:w="3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HPAP antibody-positive donors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5</w:t>
            </w:r>
          </w:p>
        </w:tc>
        <w:tc>
          <w:tcPr>
            <w:tcW w:type="dxa" w:w="3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15"/>
              </w:rPr>
              <w:t>Orthogonal context; not lipid replication</w:t>
            </w:r>
          </w:p>
        </w:tc>
      </w:tr>
    </w:tbl>
    <w:p>
      <w:pPr>
        <w:pStyle w:val="Heading1"/>
      </w:pPr>
      <w:r>
        <w:t>Supplementary figures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669280" cy="2999994"/>
            <wp:docPr id="1" name="Picture 1" title="Figure S1" descr="Source reconciliation and all cohort exclusions are shown on a logarithmic count scale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S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29999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eastAsia="Times New Roman"/>
          <w:b/>
          <w:i w:val="0"/>
          <w:color w:val="000000"/>
          <w:sz w:val="18"/>
        </w:rPr>
        <w:t xml:space="preserve">Figure S1. </w:t>
      </w: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>Source reconciliation and all cohort exclusions are shown on a logarithmic count scale.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669280" cy="5669280"/>
            <wp:docPr id="2" name="Picture 2" title="Figure S2" descr="E0–E3 composition is shown by age, care setting, and calendar year. Percentages are within each clinical stratum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S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56692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eastAsia="Times New Roman"/>
          <w:b/>
          <w:i w:val="0"/>
          <w:color w:val="000000"/>
          <w:sz w:val="18"/>
        </w:rPr>
        <w:t xml:space="preserve">Figure S2. </w:t>
      </w: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>E0–E3 composition is shown by age, care setting, and calendar year. Percentages are within each clinical stratum.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669280" cy="2999994"/>
            <wp:docPr id="3" name="Picture 3" title="Figure S3" descr="Reported GADA and ICA results are summarized at exact and censored reporting categories. The common lower reporting boundary was &lt;2 AU/mL; above-range reports were GADA &gt;2000 AU/mL and ICA &gt;400 AU/mL without dilutio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S3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29999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eastAsia="Times New Roman"/>
          <w:b/>
          <w:i w:val="0"/>
          <w:color w:val="000000"/>
          <w:sz w:val="18"/>
        </w:rPr>
        <w:t xml:space="preserve">Figure S3. </w:t>
      </w: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>Reported GADA and ICA results are summarized at exact and censored reporting categories. The common lower reporting boundary was &lt;2 AU/mL; above-range reports were GADA &gt;2000 AU/mL and ICA &gt;400 AU/mL without dilution.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669280" cy="3668497"/>
            <wp:docPr id="4" name="Picture 4" title="Figure S4" descr="Aggregate quantile curves compare privacy-safe matched outcome distributions for E0 and H. No patient-level marks are displayed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S4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6684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eastAsia="Times New Roman"/>
          <w:b/>
          <w:i w:val="0"/>
          <w:color w:val="000000"/>
          <w:sz w:val="18"/>
        </w:rPr>
        <w:t xml:space="preserve">Figure S4. </w:t>
      </w: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>Aggregate quantile curves compare privacy-safe matched outcome distributions for E0 and H. No patient-level marks are displayed.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669280" cy="3335426"/>
            <wp:docPr id="5" name="Picture 5" title="Figure S5" descr="Five thousand match-set bootstrap draws are shown for the prespecified lipid composite, reverse-coded HDL-C, and LDL-C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S5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3354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eastAsia="Times New Roman"/>
          <w:b/>
          <w:i w:val="0"/>
          <w:color w:val="000000"/>
          <w:sz w:val="18"/>
        </w:rPr>
        <w:t xml:space="preserve">Figure S5. </w:t>
      </w: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>Five thousand match-set bootstrap draws are shown for the prespecified lipid composite, reverse-coded HDL-C, and LDL-C.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669280" cy="4169283"/>
            <wp:docPr id="6" name="Picture 6" title="Figure S6" descr="Aggregated timing distributions show selected laboratory outcomes relative to the antibody index event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S6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41692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eastAsia="Times New Roman"/>
          <w:b/>
          <w:i w:val="0"/>
          <w:color w:val="000000"/>
          <w:sz w:val="18"/>
        </w:rPr>
        <w:t xml:space="preserve">Figure S6. </w:t>
      </w: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>Aggregated timing distributions show selected laboratory outcomes relative to the antibody index event.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669280" cy="4169283"/>
            <wp:docPr id="7" name="Picture 7" title="Figure S7" descr="Raw and standardized annual quantiles illustrate calendar and laboratory standardization behavior for HDL-C and LDL-C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S7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41692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eastAsia="Times New Roman"/>
          <w:b/>
          <w:i w:val="0"/>
          <w:color w:val="000000"/>
          <w:sz w:val="18"/>
        </w:rPr>
        <w:t xml:space="preserve">Figure S7. </w:t>
      </w: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>Raw and standardized annual quantiles illustrate calendar and laboratory standardization behavior for HDL-C and LDL-C.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669280" cy="3335426"/>
            <wp:docPr id="8" name="Picture 8" title="Figure S8" descr="TN09 and HPAP provide orthogonal public immune context. These analyses are not external replication of the hospital lipid phenotype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S8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3354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eastAsia="Times New Roman"/>
          <w:b/>
          <w:i w:val="0"/>
          <w:color w:val="000000"/>
          <w:sz w:val="18"/>
        </w:rPr>
        <w:t xml:space="preserve">Figure S8. </w:t>
      </w:r>
      <w:r>
        <w:rPr>
          <w:rFonts w:ascii="Times New Roman" w:hAnsi="Times New Roman" w:eastAsia="Times New Roman"/>
          <w:b w:val="0"/>
          <w:i w:val="0"/>
          <w:color w:val="000000"/>
          <w:sz w:val="18"/>
        </w:rPr>
        <w:t>TN09 and HPAP provide orthogonal public immune context. These analyses are not external replication of the hospital lipid phenotype.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fldSimple w:instr="PAGE">
      <w:r>
        <w:rPr>
          <w:color w:val="000000"/>
          <w:sz w:val="20"/>
        </w:rPr>
        <w:t>1</w:t>
      </w:r>
    </w:fldSimple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 w:eastAsia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160" w:line="240" w:lineRule="auto" w:before="0"/>
      <w:contextualSpacing/>
    </w:pPr>
    <w:rPr>
      <w:rFonts w:asciiTheme="majorHAnsi" w:eastAsiaTheme="majorEastAsia" w:hAnsiTheme="majorHAnsi" w:cstheme="majorBidi" w:ascii="Arial" w:hAnsi="Arial" w:eastAsia="Arial"/>
      <w:b/>
      <w:color w:val="000000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