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0641" w14:textId="77777777" w:rsidR="0078356C" w:rsidRDefault="0078356C" w:rsidP="0078356C">
      <w:pPr>
        <w:jc w:val="both"/>
      </w:pPr>
      <w:r w:rsidRPr="002806E7">
        <w:rPr>
          <w:b/>
          <w:bCs/>
        </w:rPr>
        <w:t>Table 1.</w:t>
      </w:r>
      <w:r w:rsidRPr="008C6201">
        <w:t xml:space="preserve"> Environmental and site drivers of EM and AM fungal community composition (PERMANOVA).</w:t>
      </w:r>
      <w:r>
        <w:t xml:space="preserve"> </w:t>
      </w:r>
      <w:r w:rsidRPr="008C6201">
        <w:t>PERMANOVA</w:t>
      </w:r>
      <w:r>
        <w:t>s based</w:t>
      </w:r>
      <w:r w:rsidRPr="008C6201">
        <w:t xml:space="preserve"> on Bray–Curtis dissimilarities of Hellinger-transformed OTU abundances, for ectomycorrhizal (EM) and arbuscular mycorrhizal (AM) fungal communities. (A) Partial PERMANOVA: sampling site (State_site) entered first and partialled out, followed by sequential (Type I) tests of the environmental predictors. (B) Full PERMANOVA: each environmental predictor tested marginally (Type III), with site as a permutation stratum (permutations restricted within sites). R² = proportion of variance explained; F = pseudo-F; p = permutational p-value. Predictors were standardized (z-scored) before analysis and are ordered by their marginal EM R² (Part B), largest to smallest; the same order is used in Part A. Plant EM/AM (%) is the percentage of neighboring associate stems in the focal guild; “Plant dual (%)” is the percentage of dual-mycorrhizal associate stems. Abbreviations: MAT, mean annual temperature; MAP, mean annual precipitation; NPP, net primary productivity; N deposition, atmospheric nitrogen deposition. </w:t>
      </w:r>
    </w:p>
    <w:p w14:paraId="60E7D170" w14:textId="77777777" w:rsidR="0078356C" w:rsidRDefault="0078356C" w:rsidP="0078356C">
      <w:pPr>
        <w:jc w:val="both"/>
      </w:pPr>
    </w:p>
    <w:p w14:paraId="385AB01F" w14:textId="77777777" w:rsidR="0078356C" w:rsidRDefault="0078356C" w:rsidP="0078356C">
      <w:pPr>
        <w:jc w:val="both"/>
        <w:rPr>
          <w:rFonts w:eastAsia="Calibri"/>
          <w:b/>
          <w:bCs/>
        </w:rPr>
      </w:pPr>
      <w:r>
        <w:rPr>
          <w:rFonts w:eastAsia="Calibri"/>
          <w:b/>
          <w:bCs/>
          <w:noProof/>
        </w:rPr>
        <w:drawing>
          <wp:inline distT="0" distB="0" distL="0" distR="0" wp14:anchorId="6B04C970" wp14:editId="31B0C26D">
            <wp:extent cx="4561840" cy="5262664"/>
            <wp:effectExtent l="0" t="0" r="0" b="0"/>
            <wp:docPr id="130522750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27501" name="Picture 1305227501"/>
                    <pic:cNvPicPr/>
                  </pic:nvPicPr>
                  <pic:blipFill rotWithShape="1">
                    <a:blip r:embed="rId4"/>
                    <a:srcRect l="8020" t="8726" r="15209" b="2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959" cy="526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36776" w14:textId="77777777" w:rsidR="0078356C" w:rsidRPr="00146C3D" w:rsidRDefault="0078356C" w:rsidP="0078356C">
      <w:pPr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br w:type="page"/>
      </w:r>
      <w:r>
        <w:rPr>
          <w:rStyle w:val="Strong"/>
          <w:color w:val="000000"/>
        </w:rPr>
        <w:lastRenderedPageBreak/>
        <w:t xml:space="preserve">Table 2. </w:t>
      </w:r>
      <w:r w:rsidRPr="00146C3D">
        <w:rPr>
          <w:rStyle w:val="Strong"/>
          <w:b w:val="0"/>
          <w:bCs w:val="0"/>
          <w:color w:val="000000"/>
        </w:rPr>
        <w:t>Core and latitudinal threshold-indicator fungal taxa in</w:t>
      </w:r>
      <w:r>
        <w:rPr>
          <w:rStyle w:val="Strong"/>
          <w:b w:val="0"/>
          <w:bCs w:val="0"/>
          <w:color w:val="000000"/>
        </w:rPr>
        <w:t xml:space="preserve"> soils under </w:t>
      </w:r>
      <w:r w:rsidRPr="00146C3D">
        <w:rPr>
          <w:rStyle w:val="Strong"/>
          <w:b w:val="0"/>
          <w:bCs w:val="0"/>
          <w:i/>
          <w:iCs/>
          <w:color w:val="000000"/>
        </w:rPr>
        <w:t>Q. macrocarpa</w:t>
      </w:r>
      <w:r>
        <w:rPr>
          <w:rStyle w:val="Strong"/>
          <w:b w:val="0"/>
          <w:bCs w:val="0"/>
          <w:color w:val="000000"/>
        </w:rPr>
        <w:t xml:space="preserve"> soils</w:t>
      </w:r>
      <w:r w:rsidRPr="00146C3D">
        <w:rPr>
          <w:rStyle w:val="Strong"/>
          <w:b w:val="0"/>
          <w:bCs w:val="0"/>
          <w:color w:val="000000"/>
        </w:rPr>
        <w:t>.</w:t>
      </w:r>
      <w:r w:rsidRPr="00146C3D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Ectomycorrhizal (EM) and arbuscular mycorrhizal (AM) taxa identified as (A) core community members and (B) latitudinal threshold indicators. Taxa are given by full binomial or by genus and MaarjAM virtual-taxon (VTX) code; OTU ID is the corresponding sequence identifier. </w:t>
      </w:r>
      <w:r>
        <w:rPr>
          <w:rStyle w:val="Emphasis"/>
          <w:color w:val="000000"/>
        </w:rPr>
        <w:t xml:space="preserve">(A) </w:t>
      </w:r>
      <w:r w:rsidRPr="00146C3D">
        <w:rPr>
          <w:rStyle w:val="Emphasis"/>
          <w:i w:val="0"/>
          <w:iCs w:val="0"/>
          <w:color w:val="000000"/>
        </w:rPr>
        <w:t>Core taxa</w:t>
      </w:r>
      <w:r>
        <w:rPr>
          <w:rStyle w:val="apple-converted-space"/>
          <w:color w:val="000000"/>
        </w:rPr>
        <w:t xml:space="preserve"> represent </w:t>
      </w:r>
      <w:r>
        <w:rPr>
          <w:color w:val="000000"/>
        </w:rPr>
        <w:t xml:space="preserve">OTUs in the top 5th percentile of both relative abundance and occurrence frequency within their guild. Relative Abundance is the taxon's relative abundance as a percentage of total guild reads; Samples Present is the percentage of samples in which it was detected (occupancy). </w:t>
      </w:r>
      <w:r>
        <w:rPr>
          <w:rStyle w:val="Emphasis"/>
          <w:color w:val="000000"/>
        </w:rPr>
        <w:t xml:space="preserve">(B) </w:t>
      </w:r>
      <w:r w:rsidRPr="00146C3D">
        <w:rPr>
          <w:rStyle w:val="Emphasis"/>
          <w:i w:val="0"/>
          <w:iCs w:val="0"/>
          <w:color w:val="000000"/>
        </w:rPr>
        <w:t>TITAN threshold taxa</w:t>
      </w:r>
      <w:r w:rsidRPr="00146C3D"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are OTUs identified by Threshold Indicator Taxa ANalysis (TITAN) as responding to latitude, retained where purity ≥ 0.95, reliability ≥ 0.95, and Benjamini–Hochberg-adjusted</w:t>
      </w:r>
      <w:r>
        <w:rPr>
          <w:rStyle w:val="apple-converted-space"/>
          <w:color w:val="000000"/>
        </w:rPr>
        <w:t> </w:t>
      </w:r>
      <w:r>
        <w:rPr>
          <w:rStyle w:val="Emphasis"/>
          <w:color w:val="000000"/>
        </w:rPr>
        <w:t>p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≤ 0.05 [999 permutations, 100 bootstraps]. Type gives the response direction: Z+ taxa increase and Z− taxa decrease in abundance/occurrence above their change point. Latitudinal Change Point is the latitude (°N) of the indicated threshold response. Best Explanatory Variable is the environmental predictor most strongly correlated with the taxon's abundance (Spearman rank correlation, BH-adjusted); "None" denotes no significant correlate. Abbreviations: MAT, mean annual temperature; MAP, mean annual precipitation; Soil C, soil organic carbon; Soil N, soil nitrogen; % AM trees / % EM trees, percentage of neighboring associate stems in the respective guild.</w:t>
      </w:r>
    </w:p>
    <w:p w14:paraId="2F66D1B0" w14:textId="365845D0" w:rsidR="008B07A6" w:rsidRPr="0078356C" w:rsidRDefault="0078356C" w:rsidP="0078356C">
      <w:pPr>
        <w:pStyle w:val="font-claude-response-body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51FA96F" wp14:editId="0AB3FF5D">
            <wp:extent cx="5729591" cy="8001551"/>
            <wp:effectExtent l="0" t="0" r="0" b="0"/>
            <wp:docPr id="19326908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90867" name="Picture 1932690867"/>
                    <pic:cNvPicPr/>
                  </pic:nvPicPr>
                  <pic:blipFill rotWithShape="1">
                    <a:blip r:embed="rId5"/>
                    <a:srcRect l="14239" t="8728" r="8999" b="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62" cy="802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07A6" w:rsidRPr="00783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6C"/>
    <w:rsid w:val="00066677"/>
    <w:rsid w:val="00153A17"/>
    <w:rsid w:val="001A37F3"/>
    <w:rsid w:val="003A4E89"/>
    <w:rsid w:val="00556784"/>
    <w:rsid w:val="0078356C"/>
    <w:rsid w:val="008B07A6"/>
    <w:rsid w:val="0097029A"/>
    <w:rsid w:val="00987B63"/>
    <w:rsid w:val="00A234E6"/>
    <w:rsid w:val="00B2070F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E7169"/>
  <w15:chartTrackingRefBased/>
  <w15:docId w15:val="{26F204A8-D9C5-4076-AAA3-A6DE663A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56C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35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5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56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56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5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5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56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56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56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5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3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56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3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56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3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56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3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56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8356C"/>
    <w:rPr>
      <w:b/>
      <w:bCs/>
    </w:rPr>
  </w:style>
  <w:style w:type="character" w:customStyle="1" w:styleId="apple-converted-space">
    <w:name w:val="apple-converted-space"/>
    <w:basedOn w:val="DefaultParagraphFont"/>
    <w:rsid w:val="0078356C"/>
  </w:style>
  <w:style w:type="character" w:styleId="Emphasis">
    <w:name w:val="Emphasis"/>
    <w:basedOn w:val="DefaultParagraphFont"/>
    <w:uiPriority w:val="20"/>
    <w:qFormat/>
    <w:rsid w:val="0078356C"/>
    <w:rPr>
      <w:i/>
      <w:iCs/>
    </w:rPr>
  </w:style>
  <w:style w:type="paragraph" w:customStyle="1" w:styleId="font-claude-response-body">
    <w:name w:val="font-claude-response-body"/>
    <w:basedOn w:val="Normal"/>
    <w:rsid w:val="0078356C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2026-08-07T12:55:00Z</dcterms:created>
  <dcterms:modified xsi:type="dcterms:W3CDTF">2026-08-07T12:55:00Z</dcterms:modified>
</cp:coreProperties>
</file>