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9542" w14:textId="77777777" w:rsidR="000F54FF" w:rsidRPr="006835FA" w:rsidRDefault="000F54FF" w:rsidP="000F54FF">
      <w:pPr>
        <w:spacing w:line="480" w:lineRule="auto"/>
        <w:jc w:val="both"/>
        <w:rPr>
          <w:rFonts w:eastAsia="Calibri"/>
          <w:b/>
          <w:bCs/>
        </w:rPr>
      </w:pPr>
      <w:r w:rsidRPr="006835FA">
        <w:rPr>
          <w:rFonts w:eastAsia="Calibri"/>
          <w:b/>
          <w:bCs/>
        </w:rPr>
        <w:t>Supplementary Information</w:t>
      </w:r>
    </w:p>
    <w:p w14:paraId="45ECE7F5" w14:textId="77777777" w:rsidR="000F54FF" w:rsidRPr="006835FA" w:rsidRDefault="000F54FF" w:rsidP="000F54FF">
      <w:pPr>
        <w:spacing w:line="480" w:lineRule="auto"/>
        <w:jc w:val="both"/>
        <w:rPr>
          <w:rFonts w:eastAsia="Calibri"/>
        </w:rPr>
      </w:pPr>
      <w:r w:rsidRPr="006835FA">
        <w:rPr>
          <w:rFonts w:eastAsia="Calibri"/>
          <w:b/>
          <w:bCs/>
        </w:rPr>
        <w:t>Figure S1.</w:t>
      </w:r>
      <w:r w:rsidRPr="006835FA">
        <w:rPr>
          <w:rFonts w:eastAsia="Calibri"/>
        </w:rPr>
        <w:t xml:space="preserve"> Sample-based rarefaction curves showing OTU richness as a function of sequencing depth (reads per sample) for ectomycorrhizal (EM) and arbuscular mycorrhizal (AM) fungal communities under </w:t>
      </w:r>
      <w:r w:rsidRPr="006835FA">
        <w:rPr>
          <w:rFonts w:eastAsia="Calibri"/>
          <w:i/>
          <w:iCs/>
        </w:rPr>
        <w:t>Quercus macrocarpa</w:t>
      </w:r>
      <w:r w:rsidRPr="006835FA">
        <w:rPr>
          <w:rFonts w:eastAsia="Calibri"/>
        </w:rPr>
        <w:t xml:space="preserve">. Each line represents an individual soil sample. </w:t>
      </w:r>
    </w:p>
    <w:p w14:paraId="2C8B79D2" w14:textId="77777777" w:rsidR="000F54FF" w:rsidRPr="006835FA" w:rsidRDefault="000F54FF" w:rsidP="000F54FF">
      <w:pPr>
        <w:spacing w:line="480" w:lineRule="auto"/>
        <w:jc w:val="both"/>
        <w:rPr>
          <w:rFonts w:eastAsia="Calibri"/>
        </w:rPr>
      </w:pPr>
      <w:r w:rsidRPr="006835FA">
        <w:rPr>
          <w:rFonts w:eastAsia="Calibri"/>
          <w:noProof/>
        </w:rPr>
        <w:drawing>
          <wp:inline distT="0" distB="0" distL="0" distR="0" wp14:anchorId="6C5C151C" wp14:editId="23A2B99A">
            <wp:extent cx="5943600" cy="2971800"/>
            <wp:effectExtent l="0" t="0" r="0" b="0"/>
            <wp:docPr id="1018587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87918" name="Picture 10185879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D42A1" w14:textId="77777777" w:rsidR="000F54FF" w:rsidRPr="006835FA" w:rsidRDefault="000F54FF" w:rsidP="000F54FF"/>
    <w:p w14:paraId="4682166B" w14:textId="77777777" w:rsidR="000F54FF" w:rsidRPr="006835FA" w:rsidRDefault="000F54FF" w:rsidP="000F54FF">
      <w:pPr>
        <w:rPr>
          <w:rFonts w:eastAsia="Calibri"/>
          <w:b/>
          <w:bCs/>
        </w:rPr>
      </w:pPr>
      <w:r w:rsidRPr="006835FA">
        <w:rPr>
          <w:rFonts w:eastAsia="Calibri"/>
          <w:b/>
          <w:bCs/>
        </w:rPr>
        <w:br w:type="page"/>
      </w:r>
    </w:p>
    <w:p w14:paraId="07A2F17F" w14:textId="77777777" w:rsidR="000F54FF" w:rsidRPr="006835FA" w:rsidRDefault="000F54FF" w:rsidP="000F54FF">
      <w:pPr>
        <w:spacing w:line="480" w:lineRule="auto"/>
        <w:jc w:val="both"/>
        <w:rPr>
          <w:rFonts w:eastAsia="Calibri"/>
        </w:rPr>
      </w:pPr>
      <w:r w:rsidRPr="006835FA">
        <w:rPr>
          <w:rFonts w:eastAsia="Calibri"/>
          <w:b/>
          <w:bCs/>
        </w:rPr>
        <w:lastRenderedPageBreak/>
        <w:t>Figure S2</w:t>
      </w:r>
      <w:r w:rsidRPr="006835FA">
        <w:rPr>
          <w:rFonts w:eastAsia="Calibri"/>
        </w:rPr>
        <w:t>. Relationship between mean relative abundance (x-axis, log scale) and occupancy (number of samples in which an OTU occurred; y-axis) for ectomycorrhizal (EM) and arbuscular mycorrhizal (AM) fungal OTUs. Each point is an OTU, colored by core versus non-core status; core OTUs are labeled by taxonomy (AM fungal OTUs by genus with a virtual taxon [VTX] identifier).</w:t>
      </w:r>
    </w:p>
    <w:p w14:paraId="11175AD3" w14:textId="77777777" w:rsidR="000F54FF" w:rsidRPr="006835FA" w:rsidRDefault="000F54FF" w:rsidP="000F54FF">
      <w:pPr>
        <w:spacing w:line="480" w:lineRule="auto"/>
        <w:jc w:val="both"/>
        <w:rPr>
          <w:rFonts w:eastAsia="Calibri"/>
        </w:rPr>
      </w:pPr>
      <w:r w:rsidRPr="006835FA">
        <w:rPr>
          <w:rFonts w:eastAsia="Calibri"/>
          <w:noProof/>
        </w:rPr>
        <w:drawing>
          <wp:inline distT="0" distB="0" distL="0" distR="0" wp14:anchorId="34B7081C" wp14:editId="6CBEF8BB">
            <wp:extent cx="5943600" cy="2971800"/>
            <wp:effectExtent l="0" t="0" r="0" b="0"/>
            <wp:docPr id="2117283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83737" name="Picture 21172837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40148" w14:textId="77777777" w:rsidR="000F54FF" w:rsidRPr="006835FA" w:rsidRDefault="000F54FF" w:rsidP="000F54FF"/>
    <w:p w14:paraId="5CB1FC93" w14:textId="77777777" w:rsidR="000F54FF" w:rsidRPr="006835FA" w:rsidRDefault="000F54FF" w:rsidP="000F54FF">
      <w:pPr>
        <w:rPr>
          <w:rFonts w:eastAsia="Calibri"/>
          <w:b/>
          <w:bCs/>
        </w:rPr>
      </w:pPr>
      <w:r w:rsidRPr="006835FA">
        <w:rPr>
          <w:rFonts w:eastAsia="Calibri"/>
          <w:b/>
          <w:bCs/>
        </w:rPr>
        <w:br w:type="page"/>
      </w:r>
    </w:p>
    <w:p w14:paraId="33336FF1" w14:textId="77777777" w:rsidR="000F54FF" w:rsidRPr="006835FA" w:rsidRDefault="000F54FF" w:rsidP="000F54FF">
      <w:pPr>
        <w:spacing w:line="480" w:lineRule="auto"/>
        <w:jc w:val="both"/>
        <w:rPr>
          <w:rFonts w:eastAsia="Calibri"/>
        </w:rPr>
      </w:pPr>
      <w:r w:rsidRPr="006835FA">
        <w:rPr>
          <w:rFonts w:eastAsia="Calibri"/>
          <w:b/>
          <w:bCs/>
        </w:rPr>
        <w:lastRenderedPageBreak/>
        <w:t>Figure S3.</w:t>
      </w:r>
      <w:r w:rsidRPr="006835FA">
        <w:rPr>
          <w:rFonts w:eastAsia="Calibri"/>
        </w:rPr>
        <w:t xml:space="preserve"> Site-level aridity index plotted against latitude (°N) for the 29 sampling sites. Each point represents a site; the blue line shows the ordinary least-squares fit with the shaded band denoting the 95% confidence interval (Pearson's r = 0.437).</w:t>
      </w:r>
    </w:p>
    <w:p w14:paraId="575A308A" w14:textId="77777777" w:rsidR="000F54FF" w:rsidRPr="006835FA" w:rsidRDefault="000F54FF" w:rsidP="000F54FF">
      <w:pPr>
        <w:spacing w:line="480" w:lineRule="auto"/>
        <w:jc w:val="both"/>
        <w:rPr>
          <w:rFonts w:eastAsia="Calibri"/>
        </w:rPr>
      </w:pPr>
      <w:r w:rsidRPr="006835FA">
        <w:rPr>
          <w:rFonts w:eastAsia="Calibri"/>
          <w:noProof/>
        </w:rPr>
        <w:drawing>
          <wp:inline distT="0" distB="0" distL="0" distR="0" wp14:anchorId="7559009C" wp14:editId="7279696A">
            <wp:extent cx="5486400" cy="4572000"/>
            <wp:effectExtent l="0" t="0" r="0" b="0"/>
            <wp:docPr id="5740266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26620" name="Picture 57402662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4FC9E" w14:textId="77777777" w:rsidR="000F54FF" w:rsidRPr="006835FA" w:rsidRDefault="000F54FF" w:rsidP="000F54FF">
      <w:pPr>
        <w:spacing w:line="480" w:lineRule="auto"/>
        <w:ind w:left="384"/>
        <w:jc w:val="both"/>
        <w:rPr>
          <w:rFonts w:eastAsia="Calibri"/>
          <w:b/>
          <w:bCs/>
        </w:rPr>
      </w:pPr>
    </w:p>
    <w:p w14:paraId="015258A2" w14:textId="77777777" w:rsidR="008B07A6" w:rsidRDefault="008B07A6"/>
    <w:sectPr w:rsidR="008B07A6" w:rsidSect="000F54FF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20DB" w14:textId="77777777" w:rsidR="000F54FF" w:rsidRDefault="000F5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ptos" w:eastAsia="Aptos" w:hAnsi="Aptos" w:cs="Aptos"/>
        <w:color w:val="000000"/>
      </w:rPr>
    </w:pPr>
    <w:r>
      <w:rPr>
        <w:rFonts w:ascii="Aptos" w:eastAsia="Aptos" w:hAnsi="Aptos" w:cs="Aptos"/>
        <w:color w:val="000000"/>
      </w:rPr>
      <w:fldChar w:fldCharType="begin"/>
    </w:r>
    <w:r>
      <w:rPr>
        <w:rFonts w:ascii="Aptos" w:eastAsia="Aptos" w:hAnsi="Aptos" w:cs="Aptos"/>
        <w:color w:val="000000"/>
      </w:rPr>
      <w:instrText>PAGE</w:instrText>
    </w:r>
    <w:r>
      <w:rPr>
        <w:rFonts w:ascii="Aptos" w:eastAsia="Aptos" w:hAnsi="Aptos" w:cs="Aptos"/>
        <w:color w:val="000000"/>
      </w:rPr>
      <w:fldChar w:fldCharType="separate"/>
    </w:r>
    <w:r>
      <w:rPr>
        <w:rFonts w:ascii="Aptos" w:eastAsia="Aptos" w:hAnsi="Aptos" w:cs="Aptos"/>
        <w:color w:val="000000"/>
      </w:rPr>
      <w:fldChar w:fldCharType="end"/>
    </w:r>
  </w:p>
  <w:p w14:paraId="5C9927BB" w14:textId="77777777" w:rsidR="000F54FF" w:rsidRDefault="000F5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ptos" w:eastAsia="Aptos" w:hAnsi="Aptos" w:cs="Apto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2A00" w14:textId="77777777" w:rsidR="000F54FF" w:rsidRDefault="000F5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ptos" w:eastAsia="Aptos" w:hAnsi="Aptos" w:cs="Aptos"/>
        <w:color w:val="000000"/>
      </w:rPr>
    </w:pPr>
    <w:r>
      <w:rPr>
        <w:rFonts w:ascii="Aptos" w:eastAsia="Aptos" w:hAnsi="Aptos" w:cs="Aptos"/>
        <w:color w:val="000000"/>
      </w:rPr>
      <w:fldChar w:fldCharType="begin"/>
    </w:r>
    <w:r>
      <w:rPr>
        <w:rFonts w:ascii="Aptos" w:eastAsia="Aptos" w:hAnsi="Aptos" w:cs="Aptos"/>
        <w:color w:val="000000"/>
      </w:rPr>
      <w:instrText>PAGE</w:instrText>
    </w:r>
    <w:r>
      <w:rPr>
        <w:rFonts w:ascii="Aptos" w:eastAsia="Aptos" w:hAnsi="Aptos" w:cs="Aptos"/>
        <w:color w:val="000000"/>
      </w:rPr>
      <w:fldChar w:fldCharType="separate"/>
    </w:r>
    <w:r>
      <w:rPr>
        <w:rFonts w:ascii="Aptos" w:eastAsia="Aptos" w:hAnsi="Aptos" w:cs="Aptos"/>
        <w:noProof/>
        <w:color w:val="000000"/>
      </w:rPr>
      <w:t>1</w:t>
    </w:r>
    <w:r>
      <w:rPr>
        <w:rFonts w:ascii="Aptos" w:eastAsia="Aptos" w:hAnsi="Aptos" w:cs="Aptos"/>
        <w:color w:val="000000"/>
      </w:rPr>
      <w:fldChar w:fldCharType="end"/>
    </w:r>
  </w:p>
  <w:p w14:paraId="33404427" w14:textId="77777777" w:rsidR="000F54FF" w:rsidRDefault="000F54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ptos" w:eastAsia="Aptos" w:hAnsi="Aptos" w:cs="Aptos"/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F461" w14:textId="77777777" w:rsidR="000F54FF" w:rsidRDefault="000F54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FF"/>
    <w:rsid w:val="00066677"/>
    <w:rsid w:val="000F54FF"/>
    <w:rsid w:val="00153A17"/>
    <w:rsid w:val="001A37F3"/>
    <w:rsid w:val="003A4E89"/>
    <w:rsid w:val="00556784"/>
    <w:rsid w:val="008B07A6"/>
    <w:rsid w:val="0097029A"/>
    <w:rsid w:val="00987B63"/>
    <w:rsid w:val="00A234E6"/>
    <w:rsid w:val="00B2070F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511AB"/>
  <w15:chartTrackingRefBased/>
  <w15:docId w15:val="{58B47250-ACA7-4A2E-BA51-87B6E5EA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4FF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4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4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4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4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4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4F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4F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4F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4F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4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4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4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5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4F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5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4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5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4F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54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4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4FF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F5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2026-08-07T12:52:00Z</dcterms:created>
  <dcterms:modified xsi:type="dcterms:W3CDTF">2026-08-07T12:52:00Z</dcterms:modified>
</cp:coreProperties>
</file>