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35DF07" w14:textId="1D217C1D" w:rsidR="00EC3B20" w:rsidRPr="003F4289" w:rsidRDefault="00507F87" w:rsidP="003E3817">
      <w:pPr>
        <w:spacing w:line="360" w:lineRule="auto"/>
        <w:jc w:val="both"/>
        <w:rPr>
          <w:rFonts w:asciiTheme="majorBidi" w:hAnsiTheme="majorBidi" w:cstheme="majorBidi"/>
          <w:b/>
          <w:bCs/>
        </w:rPr>
      </w:pPr>
      <w:r w:rsidRPr="003F4289">
        <w:rPr>
          <w:rFonts w:asciiTheme="majorBidi" w:hAnsiTheme="majorBidi" w:cstheme="majorBidi"/>
          <w:b/>
          <w:bCs/>
        </w:rPr>
        <w:t>SUPPLEMENTARY INFORMATION</w:t>
      </w:r>
    </w:p>
    <w:p w14:paraId="66BF7C34" w14:textId="1E9937FE" w:rsidR="00507F87" w:rsidRDefault="00507F87" w:rsidP="0067756E">
      <w:pPr>
        <w:spacing w:line="360" w:lineRule="auto"/>
        <w:contextualSpacing/>
        <w:jc w:val="both"/>
        <w:rPr>
          <w:rFonts w:asciiTheme="majorBidi" w:hAnsiTheme="majorBidi" w:cstheme="majorBidi"/>
          <w:b/>
          <w:bCs/>
        </w:rPr>
      </w:pPr>
      <w:r w:rsidRPr="003F4289">
        <w:rPr>
          <w:rFonts w:asciiTheme="majorBidi" w:hAnsiTheme="majorBidi" w:cstheme="majorBidi"/>
          <w:b/>
          <w:bCs/>
        </w:rPr>
        <w:t xml:space="preserve">Astronomical calibration of the Jurassic–Cretaceous transition </w:t>
      </w:r>
      <w:r w:rsidR="0067756E">
        <w:rPr>
          <w:rFonts w:asciiTheme="majorBidi" w:hAnsiTheme="majorBidi" w:cstheme="majorBidi"/>
          <w:b/>
          <w:bCs/>
        </w:rPr>
        <w:t>links</w:t>
      </w:r>
      <w:bookmarkStart w:id="0" w:name="_GoBack"/>
      <w:bookmarkEnd w:id="0"/>
      <w:r w:rsidRPr="003F4289">
        <w:rPr>
          <w:rFonts w:asciiTheme="majorBidi" w:hAnsiTheme="majorBidi" w:cstheme="majorBidi"/>
          <w:b/>
          <w:bCs/>
        </w:rPr>
        <w:t xml:space="preserve"> cooling, calcification events, and Boreal–Tethyan carbon-cycle decoupling</w:t>
      </w:r>
    </w:p>
    <w:p w14:paraId="3EEF9572" w14:textId="77777777" w:rsidR="003E3817" w:rsidRPr="003F4289" w:rsidRDefault="003E3817" w:rsidP="003E3817">
      <w:pPr>
        <w:spacing w:line="360" w:lineRule="auto"/>
        <w:contextualSpacing/>
        <w:jc w:val="both"/>
        <w:rPr>
          <w:rFonts w:asciiTheme="majorBidi" w:hAnsiTheme="majorBidi" w:cstheme="majorBidi"/>
          <w:b/>
          <w:bCs/>
        </w:rPr>
      </w:pPr>
    </w:p>
    <w:p w14:paraId="5B0CC69B" w14:textId="77777777" w:rsidR="00507F87" w:rsidRPr="003F4289" w:rsidRDefault="00507F87" w:rsidP="003E3817">
      <w:pPr>
        <w:spacing w:line="360" w:lineRule="auto"/>
        <w:contextualSpacing/>
        <w:jc w:val="both"/>
        <w:rPr>
          <w:rFonts w:asciiTheme="majorBidi" w:hAnsiTheme="majorBidi" w:cstheme="majorBidi"/>
          <w:spacing w:val="-10"/>
          <w:kern w:val="28"/>
          <w:lang w:val="en-GB"/>
        </w:rPr>
      </w:pPr>
      <w:r w:rsidRPr="003F4289">
        <w:rPr>
          <w:rFonts w:asciiTheme="majorBidi" w:hAnsiTheme="majorBidi" w:cstheme="majorBidi"/>
          <w:spacing w:val="-10"/>
          <w:kern w:val="28"/>
          <w:lang w:val="en-GB"/>
        </w:rPr>
        <w:t>Jihede Haj Messaoud</w:t>
      </w:r>
      <w:r w:rsidRPr="003F4289">
        <w:rPr>
          <w:rFonts w:asciiTheme="majorBidi" w:hAnsiTheme="majorBidi" w:cstheme="majorBidi"/>
          <w:spacing w:val="-10"/>
          <w:kern w:val="28"/>
          <w:vertAlign w:val="superscript"/>
          <w:lang w:val="en-GB"/>
        </w:rPr>
        <w:t>a</w:t>
      </w:r>
      <w:r w:rsidRPr="003F4289">
        <w:rPr>
          <w:rFonts w:asciiTheme="majorBidi" w:hAnsiTheme="majorBidi" w:cstheme="majorBidi"/>
          <w:spacing w:val="-10"/>
          <w:kern w:val="28"/>
          <w:lang w:val="en-GB"/>
        </w:rPr>
        <w:t>, Nicolas Thibault</w:t>
      </w:r>
      <w:r w:rsidRPr="003F4289">
        <w:rPr>
          <w:rFonts w:asciiTheme="majorBidi" w:hAnsiTheme="majorBidi" w:cstheme="majorBidi"/>
          <w:spacing w:val="-10"/>
          <w:kern w:val="28"/>
          <w:vertAlign w:val="superscript"/>
          <w:lang w:val="en-GB"/>
        </w:rPr>
        <w:t>b</w:t>
      </w:r>
      <w:r w:rsidRPr="003F4289">
        <w:rPr>
          <w:rFonts w:asciiTheme="majorBidi" w:hAnsiTheme="majorBidi" w:cstheme="majorBidi"/>
          <w:spacing w:val="-10"/>
          <w:kern w:val="28"/>
          <w:lang w:val="en-GB"/>
        </w:rPr>
        <w:t>, Nicholas Boehm</w:t>
      </w:r>
      <w:r w:rsidRPr="003F4289">
        <w:rPr>
          <w:rFonts w:asciiTheme="majorBidi" w:hAnsiTheme="majorBidi" w:cstheme="majorBidi"/>
          <w:spacing w:val="-10"/>
          <w:kern w:val="28"/>
          <w:vertAlign w:val="superscript"/>
          <w:lang w:val="en-GB"/>
        </w:rPr>
        <w:t>a</w:t>
      </w:r>
      <w:r w:rsidRPr="003F4289">
        <w:rPr>
          <w:rFonts w:asciiTheme="majorBidi" w:hAnsiTheme="majorBidi" w:cstheme="majorBidi"/>
          <w:spacing w:val="-10"/>
          <w:kern w:val="28"/>
          <w:lang w:val="en-GB"/>
        </w:rPr>
        <w:t>, Thomas Finkbeiner</w:t>
      </w:r>
      <w:r w:rsidRPr="003F4289">
        <w:rPr>
          <w:rFonts w:asciiTheme="majorBidi" w:hAnsiTheme="majorBidi" w:cstheme="majorBidi"/>
          <w:spacing w:val="-10"/>
          <w:kern w:val="28"/>
          <w:vertAlign w:val="superscript"/>
          <w:lang w:val="en-GB"/>
        </w:rPr>
        <w:t>a</w:t>
      </w:r>
      <w:r w:rsidRPr="003F4289">
        <w:rPr>
          <w:rFonts w:asciiTheme="majorBidi" w:hAnsiTheme="majorBidi" w:cstheme="majorBidi"/>
          <w:spacing w:val="-10"/>
          <w:kern w:val="28"/>
          <w:lang w:val="en-GB"/>
        </w:rPr>
        <w:t>, Frans van Buchem</w:t>
      </w:r>
      <w:r w:rsidRPr="003F4289">
        <w:rPr>
          <w:rFonts w:asciiTheme="majorBidi" w:hAnsiTheme="majorBidi" w:cstheme="majorBidi"/>
          <w:spacing w:val="-10"/>
          <w:kern w:val="28"/>
          <w:vertAlign w:val="superscript"/>
          <w:lang w:val="en-GB"/>
        </w:rPr>
        <w:t>a</w:t>
      </w:r>
    </w:p>
    <w:p w14:paraId="08E3A6D2" w14:textId="20836D2E" w:rsidR="0025102B" w:rsidRPr="003F4289" w:rsidRDefault="0025102B" w:rsidP="00301650">
      <w:pPr>
        <w:spacing w:line="240" w:lineRule="auto"/>
        <w:jc w:val="both"/>
        <w:rPr>
          <w:rFonts w:asciiTheme="majorBidi" w:hAnsiTheme="majorBidi" w:cstheme="majorBidi"/>
          <w:b/>
          <w:bCs/>
          <w:i/>
          <w:iCs/>
          <w:kern w:val="0"/>
          <w:lang w:val="en-US"/>
          <w14:ligatures w14:val="none"/>
        </w:rPr>
      </w:pPr>
    </w:p>
    <w:p w14:paraId="6D003B99" w14:textId="77777777" w:rsidR="0025102B" w:rsidRPr="003F4289" w:rsidRDefault="0025102B" w:rsidP="00301650">
      <w:pPr>
        <w:spacing w:line="240" w:lineRule="auto"/>
        <w:jc w:val="both"/>
        <w:rPr>
          <w:rFonts w:asciiTheme="majorBidi" w:hAnsiTheme="majorBidi" w:cstheme="majorBidi"/>
          <w:b/>
          <w:bCs/>
        </w:rPr>
        <w:sectPr w:rsidR="0025102B" w:rsidRPr="003F4289" w:rsidSect="00DE5235">
          <w:footerReference w:type="default" r:id="rId7"/>
          <w:pgSz w:w="12240" w:h="15840"/>
          <w:pgMar w:top="1440" w:right="1440" w:bottom="1440" w:left="1440" w:header="720" w:footer="720" w:gutter="0"/>
          <w:lnNumType w:countBy="1" w:restart="continuous"/>
          <w:cols w:space="720"/>
          <w:docGrid w:linePitch="360"/>
        </w:sectPr>
      </w:pPr>
    </w:p>
    <w:p w14:paraId="014B93FF" w14:textId="4741ADF5" w:rsidR="0011535C" w:rsidRPr="003F4289" w:rsidRDefault="00040C05" w:rsidP="00301650">
      <w:pPr>
        <w:pStyle w:val="Heading1"/>
        <w:spacing w:line="240" w:lineRule="auto"/>
        <w:jc w:val="both"/>
        <w:rPr>
          <w:sz w:val="22"/>
          <w:szCs w:val="22"/>
        </w:rPr>
      </w:pPr>
      <w:r w:rsidRPr="003F4289">
        <w:rPr>
          <w:sz w:val="22"/>
          <w:szCs w:val="22"/>
        </w:rPr>
        <w:lastRenderedPageBreak/>
        <w:t>Supplementary Note 1.</w:t>
      </w:r>
      <w:r w:rsidR="003E3817">
        <w:rPr>
          <w:sz w:val="22"/>
          <w:szCs w:val="22"/>
        </w:rPr>
        <w:t xml:space="preserve"> Geological settings</w:t>
      </w:r>
    </w:p>
    <w:p w14:paraId="0668434C" w14:textId="77777777" w:rsidR="00156B66" w:rsidRPr="003F4289" w:rsidRDefault="00156B66" w:rsidP="00301650">
      <w:pPr>
        <w:spacing w:line="240" w:lineRule="auto"/>
        <w:jc w:val="both"/>
        <w:rPr>
          <w:rStyle w:val="FootnoteReference"/>
          <w:rFonts w:asciiTheme="majorBidi" w:hAnsiTheme="majorBidi" w:cstheme="majorBidi"/>
          <w:b/>
          <w:bCs/>
        </w:rPr>
      </w:pPr>
      <w:r w:rsidRPr="003F4289">
        <w:rPr>
          <w:rFonts w:asciiTheme="majorBidi" w:hAnsiTheme="majorBidi" w:cstheme="majorBidi"/>
          <w:b/>
          <w:bCs/>
          <w:noProof/>
          <w:lang w:val="en-US"/>
        </w:rPr>
        <w:drawing>
          <wp:inline distT="0" distB="0" distL="0" distR="0" wp14:anchorId="68EA7C2B" wp14:editId="06AA7B5B">
            <wp:extent cx="5916746" cy="4809850"/>
            <wp:effectExtent l="0" t="0" r="825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0929" cy="4821380"/>
                    </a:xfrm>
                    <a:prstGeom prst="rect">
                      <a:avLst/>
                    </a:prstGeom>
                    <a:noFill/>
                  </pic:spPr>
                </pic:pic>
              </a:graphicData>
            </a:graphic>
          </wp:inline>
        </w:drawing>
      </w:r>
    </w:p>
    <w:p w14:paraId="5AEAD2B4" w14:textId="04AB2010" w:rsidR="00156B66" w:rsidRPr="003F4289" w:rsidRDefault="00A60A3B" w:rsidP="00301650">
      <w:pPr>
        <w:pStyle w:val="NormalWeb"/>
        <w:jc w:val="both"/>
        <w:rPr>
          <w:rFonts w:asciiTheme="majorBidi" w:hAnsiTheme="majorBidi" w:cstheme="majorBidi"/>
          <w:sz w:val="22"/>
          <w:szCs w:val="22"/>
        </w:rPr>
      </w:pPr>
      <w:r w:rsidRPr="003F4289">
        <w:rPr>
          <w:rFonts w:asciiTheme="majorBidi" w:hAnsiTheme="majorBidi" w:cstheme="majorBidi"/>
          <w:b/>
          <w:bCs/>
          <w:sz w:val="22"/>
          <w:szCs w:val="22"/>
        </w:rPr>
        <w:t>Figure S1.</w:t>
      </w:r>
      <w:r w:rsidRPr="003F4289">
        <w:rPr>
          <w:rFonts w:asciiTheme="majorBidi" w:hAnsiTheme="majorBidi" w:cstheme="majorBidi"/>
          <w:sz w:val="22"/>
          <w:szCs w:val="22"/>
        </w:rPr>
        <w:t xml:space="preserve"> </w:t>
      </w:r>
      <w:r w:rsidR="00FD10BD" w:rsidRPr="003F4289">
        <w:rPr>
          <w:rStyle w:val="Strong"/>
          <w:rFonts w:asciiTheme="majorBidi" w:hAnsiTheme="majorBidi" w:cstheme="majorBidi"/>
          <w:b w:val="0"/>
          <w:bCs w:val="0"/>
          <w:sz w:val="22"/>
          <w:szCs w:val="22"/>
        </w:rPr>
        <w:t>Geological setting, lithostratigraphy, and sequence-stratigraphic framework of the BH-02 core and Dahal Hit outcrop.</w:t>
      </w:r>
      <w:r w:rsidR="00FD10BD" w:rsidRPr="003F4289">
        <w:rPr>
          <w:rFonts w:asciiTheme="majorBidi" w:hAnsiTheme="majorBidi" w:cstheme="majorBidi"/>
          <w:sz w:val="22"/>
          <w:szCs w:val="22"/>
        </w:rPr>
        <w:t xml:space="preserve"> (a) Satellite image showing the location of the BH-02 (Hith) core relative to the Dahal Hit outcrop (~20 km apart) in central Saudi Arabia. (b) Composite stratigraphic correlation between the Dahal Hit outcrop and the BH-02 core showing gamma-ray (GR) logs, lithology, facies associations, sequence boundaries (SB), maximum flooding surfaces (MFS), calcareous nannofossil biozones, and chronostratigraphic subdivisions.</w:t>
      </w:r>
    </w:p>
    <w:p w14:paraId="5C8F8DEC" w14:textId="34976CF3" w:rsidR="00395380" w:rsidRPr="003F4289" w:rsidRDefault="00395380" w:rsidP="00301650">
      <w:pPr>
        <w:spacing w:line="240" w:lineRule="auto"/>
        <w:jc w:val="both"/>
        <w:rPr>
          <w:rFonts w:asciiTheme="majorBidi" w:hAnsiTheme="majorBidi" w:cstheme="majorBidi"/>
          <w:b/>
          <w:bCs/>
        </w:rPr>
      </w:pPr>
      <w:r w:rsidRPr="003F4289">
        <w:rPr>
          <w:rFonts w:asciiTheme="majorBidi" w:hAnsiTheme="majorBidi" w:cstheme="majorBidi"/>
          <w:b/>
          <w:bCs/>
        </w:rPr>
        <w:t>BH-02 core and sampling strategy</w:t>
      </w:r>
    </w:p>
    <w:p w14:paraId="4A86ACB7" w14:textId="4FC0A37D" w:rsidR="00395380" w:rsidRPr="003F4289" w:rsidRDefault="00395380" w:rsidP="00301650">
      <w:pPr>
        <w:pStyle w:val="pdq2pgselectionanchorcontainer"/>
        <w:jc w:val="both"/>
        <w:rPr>
          <w:rFonts w:asciiTheme="majorBidi" w:hAnsiTheme="majorBidi" w:cstheme="majorBidi"/>
          <w:sz w:val="22"/>
          <w:szCs w:val="22"/>
        </w:rPr>
      </w:pPr>
      <w:r w:rsidRPr="003F4289">
        <w:rPr>
          <w:rFonts w:asciiTheme="majorBidi" w:hAnsiTheme="majorBidi" w:cstheme="majorBidi"/>
          <w:sz w:val="22"/>
          <w:szCs w:val="22"/>
        </w:rPr>
        <w:t xml:space="preserve">The studied material comprises the continuously cored BH-02 (Hith) borehole, which penetrates the Upper Jurassic–Lower Cretaceous succession of the Sulaiy Formation in central Saudi Arabia. The core provides an exceptionally continuous record across the Tithonian–Berriasian interval, with a core recovery of approximately </w:t>
      </w:r>
      <w:r w:rsidRPr="003F4289">
        <w:rPr>
          <w:rStyle w:val="Strong"/>
          <w:rFonts w:asciiTheme="majorBidi" w:hAnsiTheme="majorBidi" w:cstheme="majorBidi"/>
          <w:sz w:val="22"/>
          <w:szCs w:val="22"/>
        </w:rPr>
        <w:t>100%</w:t>
      </w:r>
      <w:r w:rsidRPr="003F4289">
        <w:rPr>
          <w:rFonts w:asciiTheme="majorBidi" w:hAnsiTheme="majorBidi" w:cstheme="majorBidi"/>
          <w:sz w:val="22"/>
          <w:szCs w:val="22"/>
        </w:rPr>
        <w:t xml:space="preserve"> and no evidence of major stratigraphic hiatuses. Sampling resolution was adjusted according to lithological variability and the distribution of key biostratigraphic events, with higher sampling density across the Jurassic–Cretaceous transition and other intervals of particular stratigraphic significance. For stable carbon and oxygen isotope analyses, sampling was restricted to the least-altered carbonate intervals. Prior to sampling, the core was systematically screened to identify intervals exhibiting the lowest degree of diagenetic alteration, avoiding stylolitized, recrystallized, fractured, or dolomitized horizons whenever possible. Fine-grained, homogeneous micritic limestones showing minimal evidence of secondary alteration were preferentially selected to maximize preservation of the primary marine isotopic signal. Calcareous nannofossil biostratigraphy is based on </w:t>
      </w:r>
      <w:r w:rsidRPr="003F4289">
        <w:rPr>
          <w:rStyle w:val="Strong"/>
          <w:rFonts w:asciiTheme="majorBidi" w:hAnsiTheme="majorBidi" w:cstheme="majorBidi"/>
          <w:sz w:val="22"/>
          <w:szCs w:val="22"/>
        </w:rPr>
        <w:t>96 samples</w:t>
      </w:r>
      <w:r w:rsidRPr="003F4289">
        <w:rPr>
          <w:rFonts w:asciiTheme="majorBidi" w:hAnsiTheme="majorBidi" w:cstheme="majorBidi"/>
          <w:sz w:val="22"/>
          <w:szCs w:val="22"/>
        </w:rPr>
        <w:t xml:space="preserve"> collected throughout the studied interval. Following an initial screening to establish the preservation and distribution of nannofossil assemblages, sampling resolution was increased across intervals characterized by significant biostratigraphic turnover, particularly around the Jurassic–Cretaceous boundary. This variable-resolution sampling strategy provided a robust biostratigraphic framework while maximizing the temporal resolution of key bioevents </w:t>
      </w:r>
    </w:p>
    <w:p w14:paraId="5CB4FAE1" w14:textId="5BA54A4B" w:rsidR="005959CC" w:rsidRPr="003F4289" w:rsidRDefault="00724BC1" w:rsidP="00301650">
      <w:pPr>
        <w:spacing w:after="0" w:line="240" w:lineRule="auto"/>
        <w:jc w:val="both"/>
        <w:rPr>
          <w:rFonts w:asciiTheme="majorBidi" w:hAnsiTheme="majorBidi" w:cstheme="majorBidi"/>
        </w:rPr>
      </w:pPr>
      <w:r w:rsidRPr="003F4289">
        <w:rPr>
          <w:rFonts w:asciiTheme="majorBidi" w:hAnsiTheme="majorBidi" w:cstheme="majorBidi"/>
          <w:noProof/>
          <w:lang w:val="en-US"/>
          <w14:ligatures w14:val="none"/>
        </w:rPr>
        <w:drawing>
          <wp:inline distT="0" distB="0" distL="0" distR="0" wp14:anchorId="6F201841" wp14:editId="476BC98F">
            <wp:extent cx="5132070" cy="6468821"/>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nannofossils.png"/>
                    <pic:cNvPicPr/>
                  </pic:nvPicPr>
                  <pic:blipFill>
                    <a:blip r:embed="rId9" cstate="hqprint">
                      <a:extLst>
                        <a:ext uri="{28A0092B-C50C-407E-A947-70E740481C1C}">
                          <a14:useLocalDpi xmlns:a14="http://schemas.microsoft.com/office/drawing/2010/main" val="0"/>
                        </a:ext>
                      </a:extLst>
                    </a:blip>
                    <a:stretch>
                      <a:fillRect/>
                    </a:stretch>
                  </pic:blipFill>
                  <pic:spPr>
                    <a:xfrm>
                      <a:off x="0" y="0"/>
                      <a:ext cx="5135259" cy="6472841"/>
                    </a:xfrm>
                    <a:prstGeom prst="rect">
                      <a:avLst/>
                    </a:prstGeom>
                  </pic:spPr>
                </pic:pic>
              </a:graphicData>
            </a:graphic>
          </wp:inline>
        </w:drawing>
      </w:r>
    </w:p>
    <w:p w14:paraId="260966E0" w14:textId="5724D35B" w:rsidR="005959CC" w:rsidRPr="003F4289" w:rsidRDefault="004A09B2" w:rsidP="00301650">
      <w:pPr>
        <w:spacing w:after="0" w:line="240" w:lineRule="auto"/>
        <w:jc w:val="both"/>
        <w:rPr>
          <w:rFonts w:asciiTheme="majorBidi" w:hAnsiTheme="majorBidi" w:cstheme="majorBidi"/>
        </w:rPr>
      </w:pPr>
      <w:r w:rsidRPr="003F4289">
        <w:rPr>
          <w:rStyle w:val="Strong"/>
          <w:rFonts w:asciiTheme="majorBidi" w:hAnsiTheme="majorBidi" w:cstheme="majorBidi"/>
        </w:rPr>
        <w:t>Figure S2.</w:t>
      </w:r>
      <w:r w:rsidRPr="003F4289">
        <w:rPr>
          <w:rFonts w:asciiTheme="majorBidi" w:hAnsiTheme="majorBidi" w:cstheme="majorBidi"/>
        </w:rPr>
        <w:t xml:space="preserve"> Representative photomicrographs of the principal calcareous nannofossil taxa identified in the Tithonian–Berriasian succession of the BH-02 core (Sulaiy Formation, central Saudi Arabia). for the calcareous nannofossil biostratigraphic framework presented in this study.</w:t>
      </w:r>
    </w:p>
    <w:p w14:paraId="35342AC3" w14:textId="50E833F0" w:rsidR="005959CC" w:rsidRPr="003F4289" w:rsidRDefault="005959CC" w:rsidP="00301650">
      <w:pPr>
        <w:spacing w:after="0" w:line="240" w:lineRule="auto"/>
        <w:jc w:val="both"/>
        <w:rPr>
          <w:rFonts w:asciiTheme="majorBidi" w:hAnsiTheme="majorBidi" w:cstheme="majorBidi"/>
        </w:rPr>
      </w:pPr>
      <w:r w:rsidRPr="003F4289">
        <w:rPr>
          <w:rFonts w:asciiTheme="majorBidi" w:hAnsiTheme="majorBidi" w:cstheme="majorBidi"/>
          <w:noProof/>
          <w:lang w:val="en-US"/>
        </w:rPr>
        <w:drawing>
          <wp:inline distT="0" distB="0" distL="0" distR="0" wp14:anchorId="03AF13D0" wp14:editId="7DF656CE">
            <wp:extent cx="4237371" cy="6152049"/>
            <wp:effectExtent l="0" t="0" r="0" b="127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0" cstate="hqprint">
                      <a:extLst>
                        <a:ext uri="{28A0092B-C50C-407E-A947-70E740481C1C}">
                          <a14:useLocalDpi xmlns:a14="http://schemas.microsoft.com/office/drawing/2010/main" val="0"/>
                        </a:ext>
                      </a:extLst>
                    </a:blip>
                    <a:stretch>
                      <a:fillRect/>
                    </a:stretch>
                  </pic:blipFill>
                  <pic:spPr>
                    <a:xfrm>
                      <a:off x="0" y="0"/>
                      <a:ext cx="4279068" cy="6212587"/>
                    </a:xfrm>
                    <a:prstGeom prst="rect">
                      <a:avLst/>
                    </a:prstGeom>
                  </pic:spPr>
                </pic:pic>
              </a:graphicData>
            </a:graphic>
          </wp:inline>
        </w:drawing>
      </w:r>
    </w:p>
    <w:p w14:paraId="771D5374" w14:textId="40D88171" w:rsidR="005959CC" w:rsidRPr="003F4289" w:rsidRDefault="004A09B2" w:rsidP="00301650">
      <w:pPr>
        <w:spacing w:after="0" w:line="240" w:lineRule="auto"/>
        <w:jc w:val="both"/>
        <w:rPr>
          <w:rFonts w:asciiTheme="majorBidi" w:hAnsiTheme="majorBidi" w:cstheme="majorBidi"/>
        </w:rPr>
      </w:pPr>
      <w:r w:rsidRPr="003F4289">
        <w:rPr>
          <w:rStyle w:val="Strong"/>
          <w:rFonts w:asciiTheme="majorBidi" w:hAnsiTheme="majorBidi" w:cstheme="majorBidi"/>
        </w:rPr>
        <w:t>Figure S3.</w:t>
      </w:r>
      <w:r w:rsidR="005959CC" w:rsidRPr="003F4289">
        <w:rPr>
          <w:rStyle w:val="Strong"/>
          <w:rFonts w:asciiTheme="majorBidi" w:hAnsiTheme="majorBidi" w:cstheme="majorBidi"/>
        </w:rPr>
        <w:t xml:space="preserve"> Regional calcareous nannofossil biostratigraphic framework for the Jurassic–Cretaceous transition in the northeastern Arabian Plate.</w:t>
      </w:r>
      <w:r w:rsidR="005959CC" w:rsidRPr="003F4289">
        <w:rPr>
          <w:rFonts w:asciiTheme="majorBidi" w:hAnsiTheme="majorBidi" w:cstheme="majorBidi"/>
        </w:rPr>
        <w:t xml:space="preserve"> The Kuwait subsurface succession, located immediately northeast of the Saudi Arabian study area, provides the best-constrained regional reference section for the Jurassic–Cretaceous transition. Owing to its highly comparable lithostratigraphy and nannofossil assemblages, it is used here as a regional biostratigraphic framework for the Sulaiy Formation. The Jurassic–Cretaceous boundary in the Kuwait succession is independently constrained using integrated calcareous nannofossil and calpionellid biostratigraphy, allowing robust regional correlation of the Saudi Arabian record. Representative nannofossil taxa and the principal bioevents defining the Upper Jurassic–Lower Cretaceous zonation are shown.</w:t>
      </w:r>
    </w:p>
    <w:p w14:paraId="2D5954FB" w14:textId="2D209838" w:rsidR="005959CC" w:rsidRPr="003F4289" w:rsidRDefault="005959CC" w:rsidP="00301650">
      <w:pPr>
        <w:spacing w:after="0" w:line="240" w:lineRule="auto"/>
        <w:jc w:val="both"/>
        <w:rPr>
          <w:rFonts w:asciiTheme="majorBidi" w:hAnsiTheme="majorBidi" w:cstheme="majorBidi"/>
        </w:rPr>
      </w:pPr>
      <w:r w:rsidRPr="003F4289">
        <w:rPr>
          <w:rFonts w:asciiTheme="majorBidi" w:hAnsiTheme="majorBidi" w:cstheme="majorBidi"/>
          <w:noProof/>
          <w:lang w:val="en-US"/>
        </w:rPr>
        <w:drawing>
          <wp:inline distT="0" distB="0" distL="0" distR="0" wp14:anchorId="511C2DB7" wp14:editId="4112AE01">
            <wp:extent cx="5943600" cy="4773930"/>
            <wp:effectExtent l="0" t="0" r="0" b="762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5943600" cy="4773930"/>
                    </a:xfrm>
                    <a:prstGeom prst="rect">
                      <a:avLst/>
                    </a:prstGeom>
                  </pic:spPr>
                </pic:pic>
              </a:graphicData>
            </a:graphic>
          </wp:inline>
        </w:drawing>
      </w:r>
    </w:p>
    <w:p w14:paraId="567C55D0" w14:textId="54E11410" w:rsidR="00724BC1" w:rsidRPr="003F4289" w:rsidRDefault="004A09B2" w:rsidP="00301650">
      <w:pPr>
        <w:spacing w:after="0" w:line="240" w:lineRule="auto"/>
        <w:jc w:val="both"/>
        <w:rPr>
          <w:rFonts w:asciiTheme="majorBidi" w:hAnsiTheme="majorBidi" w:cstheme="majorBidi"/>
        </w:rPr>
      </w:pPr>
      <w:r w:rsidRPr="003F4289">
        <w:rPr>
          <w:rStyle w:val="Strong"/>
          <w:rFonts w:asciiTheme="majorBidi" w:hAnsiTheme="majorBidi" w:cstheme="majorBidi"/>
        </w:rPr>
        <w:t>Figure S4</w:t>
      </w:r>
      <w:r w:rsidR="00724BC1" w:rsidRPr="003F4289">
        <w:rPr>
          <w:rStyle w:val="Strong"/>
          <w:rFonts w:asciiTheme="majorBidi" w:hAnsiTheme="majorBidi" w:cstheme="majorBidi"/>
        </w:rPr>
        <w:t>. Regional stratigraphic and biostratigraphic correlation of the Tithonian–Berriasian succession across eastern Arabia.</w:t>
      </w:r>
      <w:r w:rsidR="00724BC1" w:rsidRPr="003F4289">
        <w:rPr>
          <w:rFonts w:asciiTheme="majorBidi" w:hAnsiTheme="majorBidi" w:cstheme="majorBidi"/>
        </w:rPr>
        <w:t xml:space="preserve"> (a) Location of the studied BH-02 core in central Saudi Arabia and the reference sections used for regional correlation across eastern Arabia, including Kuwait. (b) Simplified paleogeographic map showing the distribution of Upper Jurassic–Lower Cretaceous formations across the Arabian Plate and the location of the studied core. (c) Regional correlation of lithostratigraphic units, calcareous nannofossil bioevents, and carbonate facies between the Saudi Arabian and Kuwait successions. The Sulaiy Formation of central Saudi Arabia is laterally equivalent to the Makhul and Sulaiy formations in Kuwait and can be correlated confidently using characteristic calcareous nannofossil bioevents. This regional framework demonstrates the continuity of the Tithonian–Berriasian carbonate platform across eastern Arabia and provides the basis for transferring the well-constrained Jurassic–Cretaceous boundary from the Kuwait reference succession, where it is independently calibrated using integrated calcareous nannofossil and calpionellid biostratigraphy, to the Saudi Arabian succession.</w:t>
      </w:r>
    </w:p>
    <w:p w14:paraId="35536AE4" w14:textId="20C87787" w:rsidR="00635F13" w:rsidRPr="003F4289" w:rsidRDefault="00635F13" w:rsidP="00301650">
      <w:pPr>
        <w:spacing w:line="240" w:lineRule="auto"/>
        <w:jc w:val="both"/>
        <w:rPr>
          <w:rFonts w:asciiTheme="majorBidi" w:hAnsiTheme="majorBidi" w:cstheme="majorBidi"/>
        </w:rPr>
        <w:sectPr w:rsidR="00635F13" w:rsidRPr="003F4289" w:rsidSect="00802D34">
          <w:pgSz w:w="12240" w:h="15840"/>
          <w:pgMar w:top="1440" w:right="1440" w:bottom="1440" w:left="1440" w:header="720" w:footer="720" w:gutter="0"/>
          <w:lnNumType w:countBy="1" w:restart="continuous"/>
          <w:cols w:space="720"/>
          <w:docGrid w:linePitch="360"/>
        </w:sectPr>
      </w:pPr>
    </w:p>
    <w:p w14:paraId="18D9F8C9" w14:textId="07C7083D" w:rsidR="00211A08" w:rsidRPr="003F4289" w:rsidRDefault="0011535C" w:rsidP="00301650">
      <w:pPr>
        <w:pStyle w:val="Heading1"/>
        <w:spacing w:line="240" w:lineRule="auto"/>
        <w:jc w:val="both"/>
        <w:rPr>
          <w:sz w:val="22"/>
          <w:szCs w:val="22"/>
        </w:rPr>
      </w:pPr>
      <w:r w:rsidRPr="003F4289">
        <w:rPr>
          <w:sz w:val="22"/>
          <w:szCs w:val="22"/>
        </w:rPr>
        <w:t>Supplementary Note 2.</w:t>
      </w:r>
      <w:r w:rsidR="00211A08" w:rsidRPr="003F4289">
        <w:rPr>
          <w:sz w:val="22"/>
          <w:szCs w:val="22"/>
        </w:rPr>
        <w:t>Definition of the Jurassic-Cretaceous boundary</w:t>
      </w:r>
    </w:p>
    <w:p w14:paraId="10BDB737" w14:textId="228CE09C" w:rsidR="00CD4736" w:rsidRPr="003F4289" w:rsidRDefault="00CD4736" w:rsidP="00301650">
      <w:pPr>
        <w:spacing w:before="100" w:beforeAutospacing="1" w:after="100" w:afterAutospacing="1" w:line="240" w:lineRule="auto"/>
        <w:jc w:val="both"/>
        <w:rPr>
          <w:rFonts w:asciiTheme="majorBidi" w:eastAsia="Times New Roman" w:hAnsiTheme="majorBidi" w:cstheme="majorBidi"/>
          <w:kern w:val="0"/>
          <w:lang w:val="en-US"/>
          <w14:ligatures w14:val="none"/>
        </w:rPr>
      </w:pPr>
      <w:r w:rsidRPr="003F4289">
        <w:rPr>
          <w:rFonts w:asciiTheme="majorBidi" w:eastAsia="Times New Roman" w:hAnsiTheme="majorBidi" w:cstheme="majorBidi"/>
          <w:kern w:val="0"/>
          <w:lang w:val="en-US"/>
          <w14:ligatures w14:val="none"/>
        </w:rPr>
        <w:t xml:space="preserve">The numerical age of the base of the Cretaceous remains uncertain because no Global Boundary Stratotype Section and Point (GSSP) has yet been formally ratified, and radiometric constraints across the Jurassic–Cretaceous (J–K) transition are limited. Although the </w:t>
      </w:r>
      <w:r w:rsidRPr="003F4289">
        <w:rPr>
          <w:rFonts w:asciiTheme="majorBidi" w:eastAsia="Times New Roman" w:hAnsiTheme="majorBidi" w:cstheme="majorBidi"/>
          <w:i/>
          <w:iCs/>
          <w:kern w:val="0"/>
          <w:lang w:val="en-US"/>
          <w14:ligatures w14:val="none"/>
        </w:rPr>
        <w:t>Geologic Time Scale 2020</w:t>
      </w:r>
      <w:r w:rsidRPr="003F4289">
        <w:rPr>
          <w:rFonts w:asciiTheme="majorBidi" w:eastAsia="Times New Roman" w:hAnsiTheme="majorBidi" w:cstheme="majorBidi"/>
          <w:kern w:val="0"/>
          <w:lang w:val="en-US"/>
          <w14:ligatures w14:val="none"/>
        </w:rPr>
        <w:t xml:space="preserve"> (GTS2020) places the boundary near the midpoint of magnetosubchron M19n.2n, its precise stratigraphic position is still under evaluation. In this study, the J–K boundary in the BH-02 core is placed using an integrated framework combining calcareous nannofossil biostratigraphy, astrochronology, and stratigraphic trends (Fig. 3). We adopt </w:t>
      </w:r>
      <w:r w:rsidRPr="003F4289">
        <w:rPr>
          <w:rFonts w:asciiTheme="majorBidi" w:eastAsia="Times New Roman" w:hAnsiTheme="majorBidi" w:cstheme="majorBidi"/>
          <w:b/>
          <w:bCs/>
          <w:kern w:val="0"/>
          <w:lang w:val="en-US"/>
          <w14:ligatures w14:val="none"/>
        </w:rPr>
        <w:t>Option 2</w:t>
      </w:r>
      <w:r w:rsidRPr="003F4289">
        <w:rPr>
          <w:rFonts w:asciiTheme="majorBidi" w:eastAsia="Times New Roman" w:hAnsiTheme="majorBidi" w:cstheme="majorBidi"/>
          <w:kern w:val="0"/>
          <w:lang w:val="en-US"/>
          <w14:ligatures w14:val="none"/>
        </w:rPr>
        <w:t xml:space="preserve"> of the Berriasian Working Group (Grabowski et al., 2026), which approximates the base of the Cretaceous by the first appearance datum (FAD) of </w:t>
      </w:r>
      <w:r w:rsidRPr="003F4289">
        <w:rPr>
          <w:rFonts w:asciiTheme="majorBidi" w:eastAsia="Times New Roman" w:hAnsiTheme="majorBidi" w:cstheme="majorBidi"/>
          <w:i/>
          <w:iCs/>
          <w:kern w:val="0"/>
          <w:lang w:val="en-US"/>
          <w14:ligatures w14:val="none"/>
        </w:rPr>
        <w:t>Nannoconus wintereri</w:t>
      </w:r>
      <w:r w:rsidRPr="003F4289">
        <w:rPr>
          <w:rFonts w:asciiTheme="majorBidi" w:eastAsia="Times New Roman" w:hAnsiTheme="majorBidi" w:cstheme="majorBidi"/>
          <w:kern w:val="0"/>
          <w:lang w:val="en-US"/>
          <w14:ligatures w14:val="none"/>
        </w:rPr>
        <w:t xml:space="preserve"> (Casellato and Erba, 2021). This event occurs within magnetosubchron M19n.2n and closely coincides with the base of the </w:t>
      </w:r>
      <w:r w:rsidRPr="003F4289">
        <w:rPr>
          <w:rFonts w:asciiTheme="majorBidi" w:eastAsia="Times New Roman" w:hAnsiTheme="majorBidi" w:cstheme="majorBidi"/>
          <w:i/>
          <w:iCs/>
          <w:kern w:val="0"/>
          <w:lang w:val="en-US"/>
          <w14:ligatures w14:val="none"/>
        </w:rPr>
        <w:t>Calpionella alpina</w:t>
      </w:r>
      <w:r w:rsidRPr="003F4289">
        <w:rPr>
          <w:rFonts w:asciiTheme="majorBidi" w:eastAsia="Times New Roman" w:hAnsiTheme="majorBidi" w:cstheme="majorBidi"/>
          <w:kern w:val="0"/>
          <w:lang w:val="en-US"/>
          <w14:ligatures w14:val="none"/>
        </w:rPr>
        <w:t xml:space="preserve"> Subzone, the traditional marker for the base of the Berriasian (Remane, 1986; Channell et al., 1987, 1995, 2010; Bralower et al., 1989; Gradstein et al., 2012; Gale et al., 2020; Wimbledon et al., 2020a,b).</w:t>
      </w:r>
    </w:p>
    <w:p w14:paraId="592A7958" w14:textId="77777777" w:rsidR="00CD4736" w:rsidRPr="003F4289" w:rsidRDefault="00CD4736" w:rsidP="00301650">
      <w:pPr>
        <w:spacing w:before="100" w:beforeAutospacing="1" w:after="100" w:afterAutospacing="1" w:line="240" w:lineRule="auto"/>
        <w:jc w:val="both"/>
        <w:rPr>
          <w:rFonts w:asciiTheme="majorBidi" w:eastAsia="Times New Roman" w:hAnsiTheme="majorBidi" w:cstheme="majorBidi"/>
          <w:kern w:val="0"/>
          <w:lang w:val="en-US"/>
          <w14:ligatures w14:val="none"/>
        </w:rPr>
      </w:pPr>
      <w:r w:rsidRPr="003F4289">
        <w:rPr>
          <w:rFonts w:asciiTheme="majorBidi" w:eastAsia="Times New Roman" w:hAnsiTheme="majorBidi" w:cstheme="majorBidi"/>
          <w:kern w:val="0"/>
          <w:lang w:val="en-US"/>
          <w14:ligatures w14:val="none"/>
        </w:rPr>
        <w:t xml:space="preserve">Option 2 constrains the boundary to the interval between the base of M19n and the base of M18r, where multiple independent stratigraphic markers converge. This interval includes the </w:t>
      </w:r>
      <w:r w:rsidRPr="003F4289">
        <w:rPr>
          <w:rFonts w:asciiTheme="majorBidi" w:eastAsia="Times New Roman" w:hAnsiTheme="majorBidi" w:cstheme="majorBidi"/>
          <w:i/>
          <w:iCs/>
          <w:kern w:val="0"/>
          <w:lang w:val="en-US"/>
          <w14:ligatures w14:val="none"/>
        </w:rPr>
        <w:t>C. alpina</w:t>
      </w:r>
      <w:r w:rsidRPr="003F4289">
        <w:rPr>
          <w:rFonts w:asciiTheme="majorBidi" w:eastAsia="Times New Roman" w:hAnsiTheme="majorBidi" w:cstheme="majorBidi"/>
          <w:kern w:val="0"/>
          <w:lang w:val="en-US"/>
          <w14:ligatures w14:val="none"/>
        </w:rPr>
        <w:t xml:space="preserve"> acme, the FAD of </w:t>
      </w:r>
      <w:r w:rsidRPr="003F4289">
        <w:rPr>
          <w:rFonts w:asciiTheme="majorBidi" w:eastAsia="Times New Roman" w:hAnsiTheme="majorBidi" w:cstheme="majorBidi"/>
          <w:i/>
          <w:iCs/>
          <w:kern w:val="0"/>
          <w:lang w:val="en-US"/>
          <w14:ligatures w14:val="none"/>
        </w:rPr>
        <w:t>N. wintereri</w:t>
      </w:r>
      <w:r w:rsidRPr="003F4289">
        <w:rPr>
          <w:rFonts w:asciiTheme="majorBidi" w:eastAsia="Times New Roman" w:hAnsiTheme="majorBidi" w:cstheme="majorBidi"/>
          <w:kern w:val="0"/>
          <w:lang w:val="en-US"/>
          <w14:ligatures w14:val="none"/>
        </w:rPr>
        <w:t xml:space="preserve"> (base of the NC0a Subzone), and the subsequent appearances of </w:t>
      </w:r>
      <w:r w:rsidRPr="003F4289">
        <w:rPr>
          <w:rFonts w:asciiTheme="majorBidi" w:eastAsia="Times New Roman" w:hAnsiTheme="majorBidi" w:cstheme="majorBidi"/>
          <w:i/>
          <w:iCs/>
          <w:kern w:val="0"/>
          <w:lang w:val="en-US"/>
          <w14:ligatures w14:val="none"/>
        </w:rPr>
        <w:t>Nannoconus steinmannii minor</w:t>
      </w:r>
      <w:r w:rsidRPr="003F4289">
        <w:rPr>
          <w:rFonts w:asciiTheme="majorBidi" w:eastAsia="Times New Roman" w:hAnsiTheme="majorBidi" w:cstheme="majorBidi"/>
          <w:kern w:val="0"/>
          <w:lang w:val="en-US"/>
          <w14:ligatures w14:val="none"/>
        </w:rPr>
        <w:t xml:space="preserve"> and </w:t>
      </w:r>
      <w:r w:rsidRPr="003F4289">
        <w:rPr>
          <w:rFonts w:asciiTheme="majorBidi" w:eastAsia="Times New Roman" w:hAnsiTheme="majorBidi" w:cstheme="majorBidi"/>
          <w:i/>
          <w:iCs/>
          <w:kern w:val="0"/>
          <w:lang w:val="en-US"/>
          <w14:ligatures w14:val="none"/>
        </w:rPr>
        <w:t>N. kamptneri minor</w:t>
      </w:r>
      <w:r w:rsidRPr="003F4289">
        <w:rPr>
          <w:rFonts w:asciiTheme="majorBidi" w:eastAsia="Times New Roman" w:hAnsiTheme="majorBidi" w:cstheme="majorBidi"/>
          <w:kern w:val="0"/>
          <w:lang w:val="en-US"/>
          <w14:ligatures w14:val="none"/>
        </w:rPr>
        <w:t xml:space="preserve"> (base of the NC0b Subzone). Additional constraints are provided by ammonite zonal boundaries (including the former </w:t>
      </w:r>
      <w:r w:rsidRPr="003F4289">
        <w:rPr>
          <w:rFonts w:asciiTheme="majorBidi" w:eastAsia="Times New Roman" w:hAnsiTheme="majorBidi" w:cstheme="majorBidi"/>
          <w:i/>
          <w:iCs/>
          <w:kern w:val="0"/>
          <w:lang w:val="en-US"/>
          <w14:ligatures w14:val="none"/>
        </w:rPr>
        <w:t>Berriasella jacobi</w:t>
      </w:r>
      <w:r w:rsidRPr="003F4289">
        <w:rPr>
          <w:rFonts w:asciiTheme="majorBidi" w:eastAsia="Times New Roman" w:hAnsiTheme="majorBidi" w:cstheme="majorBidi"/>
          <w:kern w:val="0"/>
          <w:lang w:val="en-US"/>
          <w14:ligatures w14:val="none"/>
        </w:rPr>
        <w:t xml:space="preserve"> Zone), the base of Radiolarian UAZ 14 near the base of M18r, and the well-defined magnetostratigraphic succession of M19n.2n, M19n.1r, and M18r.</w:t>
      </w:r>
    </w:p>
    <w:p w14:paraId="4D7DFFEE" w14:textId="77777777" w:rsidR="00CD4736" w:rsidRPr="003F4289" w:rsidRDefault="00CD4736" w:rsidP="00301650">
      <w:pPr>
        <w:spacing w:before="100" w:beforeAutospacing="1" w:after="100" w:afterAutospacing="1" w:line="240" w:lineRule="auto"/>
        <w:jc w:val="both"/>
        <w:rPr>
          <w:rFonts w:asciiTheme="majorBidi" w:eastAsia="Times New Roman" w:hAnsiTheme="majorBidi" w:cstheme="majorBidi"/>
          <w:kern w:val="0"/>
          <w:lang w:val="en-US"/>
          <w14:ligatures w14:val="none"/>
        </w:rPr>
      </w:pPr>
      <w:r w:rsidRPr="003F4289">
        <w:rPr>
          <w:rFonts w:asciiTheme="majorBidi" w:eastAsia="Times New Roman" w:hAnsiTheme="majorBidi" w:cstheme="majorBidi"/>
          <w:kern w:val="0"/>
          <w:lang w:val="en-US"/>
          <w14:ligatures w14:val="none"/>
        </w:rPr>
        <w:t xml:space="preserve">Option 2 was selected because it integrates the most densely documented interval of the J–K transition, combining calpionellid, calcareous nannofossil, ammonite, radiolarian, and magnetostratigraphic data within a single correlation framework. In particular, the FAD of </w:t>
      </w:r>
      <w:r w:rsidRPr="003F4289">
        <w:rPr>
          <w:rFonts w:asciiTheme="majorBidi" w:eastAsia="Times New Roman" w:hAnsiTheme="majorBidi" w:cstheme="majorBidi"/>
          <w:i/>
          <w:iCs/>
          <w:kern w:val="0"/>
          <w:lang w:val="en-US"/>
          <w14:ligatures w14:val="none"/>
        </w:rPr>
        <w:t>Nannoconus wintereri</w:t>
      </w:r>
      <w:r w:rsidRPr="003F4289">
        <w:rPr>
          <w:rFonts w:asciiTheme="majorBidi" w:eastAsia="Times New Roman" w:hAnsiTheme="majorBidi" w:cstheme="majorBidi"/>
          <w:kern w:val="0"/>
          <w:lang w:val="en-US"/>
          <w14:ligatures w14:val="none"/>
        </w:rPr>
        <w:t xml:space="preserve"> provides a highly reproducible nannofossil event that can be recognized even in successions lacking calpionellids, making it especially suitable for carbonate-platform and pelagic successions such as the BH-02 core.</w:t>
      </w:r>
    </w:p>
    <w:p w14:paraId="6FB62ACD" w14:textId="77777777" w:rsidR="00CD4736" w:rsidRPr="003F4289" w:rsidRDefault="00CD4736" w:rsidP="00301650">
      <w:pPr>
        <w:spacing w:line="240" w:lineRule="auto"/>
        <w:jc w:val="both"/>
        <w:rPr>
          <w:rFonts w:asciiTheme="majorBidi" w:hAnsiTheme="majorBidi" w:cstheme="majorBidi"/>
          <w:lang w:val="en-US"/>
        </w:rPr>
      </w:pPr>
    </w:p>
    <w:p w14:paraId="6CEFA66F" w14:textId="66C86B46" w:rsidR="006C73CF" w:rsidRPr="003F4289" w:rsidRDefault="006C73CF" w:rsidP="00301650">
      <w:pPr>
        <w:spacing w:line="240" w:lineRule="auto"/>
        <w:jc w:val="both"/>
        <w:rPr>
          <w:rFonts w:asciiTheme="majorBidi" w:hAnsiTheme="majorBidi" w:cstheme="majorBidi"/>
        </w:rPr>
      </w:pPr>
      <w:r w:rsidRPr="003F4289">
        <w:rPr>
          <w:rFonts w:asciiTheme="majorBidi" w:hAnsiTheme="majorBidi" w:cstheme="majorBidi"/>
          <w:noProof/>
          <w:lang w:val="en-US"/>
          <w14:ligatures w14:val="none"/>
        </w:rPr>
        <w:drawing>
          <wp:inline distT="0" distB="0" distL="0" distR="0" wp14:anchorId="45C19C7F" wp14:editId="2F9D9984">
            <wp:extent cx="5943600" cy="514921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correlation 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5149215"/>
                    </a:xfrm>
                    <a:prstGeom prst="rect">
                      <a:avLst/>
                    </a:prstGeom>
                  </pic:spPr>
                </pic:pic>
              </a:graphicData>
            </a:graphic>
          </wp:inline>
        </w:drawing>
      </w:r>
    </w:p>
    <w:p w14:paraId="31C84482" w14:textId="773FB6D8" w:rsidR="00CD4736" w:rsidRPr="003F4289" w:rsidRDefault="00CD4736" w:rsidP="00301650">
      <w:pPr>
        <w:spacing w:line="240" w:lineRule="auto"/>
        <w:jc w:val="both"/>
        <w:rPr>
          <w:rFonts w:asciiTheme="majorBidi" w:hAnsiTheme="majorBidi" w:cstheme="majorBidi"/>
        </w:rPr>
      </w:pPr>
      <w:r w:rsidRPr="003F4289">
        <w:rPr>
          <w:rStyle w:val="Strong"/>
          <w:rFonts w:asciiTheme="majorBidi" w:hAnsiTheme="majorBidi" w:cstheme="majorBidi"/>
        </w:rPr>
        <w:t>Figure S5.</w:t>
      </w:r>
      <w:r w:rsidRPr="003F4289">
        <w:rPr>
          <w:rFonts w:asciiTheme="majorBidi" w:hAnsiTheme="majorBidi" w:cstheme="majorBidi"/>
        </w:rPr>
        <w:t xml:space="preserve"> Integrated biostratigraphic framework for the Jurassic–Cretaceous transition showing the correlation of Tethyan, Sub-Boreal, and Boreal biostratigraphic zonations across the Tithonian–Berriasian interval. The figure integrates calpionellid, calcareous nannofossil, ammonite, and dinoflagellate cyst biozonations with the geomagnetic polarity timescale (M20n.2n–M16r). The yellow horizontal line marks the Jurassic–Cretaceous boundary, placed at the base of the </w:t>
      </w:r>
      <w:r w:rsidRPr="003F4289">
        <w:rPr>
          <w:rStyle w:val="Emphasis"/>
          <w:rFonts w:asciiTheme="majorBidi" w:hAnsiTheme="majorBidi" w:cstheme="majorBidi"/>
        </w:rPr>
        <w:t>Nannoconus wintereri</w:t>
      </w:r>
      <w:r w:rsidRPr="003F4289">
        <w:rPr>
          <w:rFonts w:asciiTheme="majorBidi" w:hAnsiTheme="majorBidi" w:cstheme="majorBidi"/>
        </w:rPr>
        <w:t xml:space="preserve"> Zone (equivalent to the base of the </w:t>
      </w:r>
      <w:r w:rsidRPr="003F4289">
        <w:rPr>
          <w:rStyle w:val="Emphasis"/>
          <w:rFonts w:asciiTheme="majorBidi" w:hAnsiTheme="majorBidi" w:cstheme="majorBidi"/>
        </w:rPr>
        <w:t>Berriasella jacobi</w:t>
      </w:r>
      <w:r w:rsidRPr="003F4289">
        <w:rPr>
          <w:rFonts w:asciiTheme="majorBidi" w:hAnsiTheme="majorBidi" w:cstheme="majorBidi"/>
        </w:rPr>
        <w:t xml:space="preserve"> Zone and the base of magnetic chron M19n.2n), illustrating the correlation between low-latitude Tethyan and higher-latitude Boreal successions. The framework highlights the principal biostratigraphic markers used for global correlation of the Tithonian–Berriasian transition.</w:t>
      </w:r>
    </w:p>
    <w:p w14:paraId="4BCF7B9D" w14:textId="0BE02F3C" w:rsidR="00555C72" w:rsidRPr="003F4289" w:rsidRDefault="00555C72" w:rsidP="00301650">
      <w:pPr>
        <w:pStyle w:val="Heading2"/>
        <w:jc w:val="both"/>
        <w:rPr>
          <w:rFonts w:asciiTheme="majorBidi" w:hAnsiTheme="majorBidi"/>
          <w:b/>
          <w:bCs/>
          <w:sz w:val="22"/>
          <w:szCs w:val="22"/>
        </w:rPr>
      </w:pPr>
      <w:r w:rsidRPr="003F4289">
        <w:rPr>
          <w:rFonts w:asciiTheme="majorBidi" w:hAnsiTheme="majorBidi"/>
          <w:b/>
          <w:bCs/>
          <w:sz w:val="22"/>
          <w:szCs w:val="22"/>
        </w:rPr>
        <w:t xml:space="preserve"> Interregional Depth–Age Conversion </w:t>
      </w:r>
    </w:p>
    <w:p w14:paraId="71C61EA2" w14:textId="77777777" w:rsidR="00555C72" w:rsidRPr="003F4289" w:rsidRDefault="00555C72" w:rsidP="00301650">
      <w:pPr>
        <w:spacing w:before="100" w:beforeAutospacing="1" w:after="100" w:afterAutospacing="1" w:line="240" w:lineRule="auto"/>
        <w:jc w:val="both"/>
        <w:rPr>
          <w:rFonts w:asciiTheme="majorBidi" w:eastAsia="Times New Roman" w:hAnsiTheme="majorBidi" w:cstheme="majorBidi"/>
        </w:rPr>
      </w:pPr>
      <w:r w:rsidRPr="003F4289">
        <w:rPr>
          <w:rFonts w:asciiTheme="majorBidi" w:eastAsia="Times New Roman" w:hAnsiTheme="majorBidi" w:cstheme="majorBidi"/>
        </w:rPr>
        <w:t>To facilitate direct comparison of carbon isotope records from Boreal, Tethyan, and Southern Hemisphere successions, all sections were converted from stratigraphic depth to numerical age within a unified and internally consistent chronostratigraphic framework. Only records characterized by adequate sampling density, robust stratigraphic architecture, and independent age constraints were included. This screening ensured that temporal correlations were based on reliable biostratigraphic, radioisotopic, and sequence stratigraphic control, thereby limiting uncertainties associated with poorly constrained successions.</w:t>
      </w:r>
    </w:p>
    <w:p w14:paraId="6ACF22CA" w14:textId="29088239" w:rsidR="00C601FB" w:rsidRPr="003F4289" w:rsidRDefault="00555C72" w:rsidP="00301650">
      <w:pPr>
        <w:spacing w:before="100" w:beforeAutospacing="1" w:after="100" w:afterAutospacing="1" w:line="240" w:lineRule="auto"/>
        <w:jc w:val="both"/>
        <w:rPr>
          <w:rFonts w:asciiTheme="majorBidi" w:eastAsia="Times New Roman" w:hAnsiTheme="majorBidi" w:cstheme="majorBidi"/>
        </w:rPr>
        <w:sectPr w:rsidR="00C601FB" w:rsidRPr="003F4289">
          <w:pgSz w:w="12240" w:h="15840"/>
          <w:pgMar w:top="1440" w:right="1440" w:bottom="1440" w:left="1440" w:header="720" w:footer="720" w:gutter="0"/>
          <w:cols w:space="720"/>
          <w:docGrid w:linePitch="360"/>
        </w:sectPr>
      </w:pPr>
      <w:r w:rsidRPr="003F4289">
        <w:rPr>
          <w:rFonts w:asciiTheme="majorBidi" w:eastAsia="Times New Roman" w:hAnsiTheme="majorBidi" w:cstheme="majorBidi"/>
        </w:rPr>
        <w:t>Age models were developed by integrating ammonite and other biostratigraphic zonations with published radioisotopic ages and regionally established sequence stratigraphic frameworks. For Southern Hemisphere sections, ammonite zones were aligned with the Andean zonation scheme and correlated to the Sub-Mediterranean (Tethyan) standard zonation following the conventions of Leanza et al. (2020) and Vennari (2016). Numerical ages assigned to biozones were adopted from recent geochronological syntheses (Gale et al., 2020; Hes</w:t>
      </w:r>
      <w:r w:rsidR="00151E91" w:rsidRPr="003F4289">
        <w:rPr>
          <w:rFonts w:asciiTheme="majorBidi" w:eastAsia="Times New Roman" w:hAnsiTheme="majorBidi" w:cstheme="majorBidi"/>
        </w:rPr>
        <w:t xml:space="preserve">selbo et al., 2020; Ogg, 2020). </w:t>
      </w:r>
      <w:r w:rsidRPr="003F4289">
        <w:rPr>
          <w:rFonts w:asciiTheme="majorBidi" w:eastAsia="Times New Roman" w:hAnsiTheme="majorBidi" w:cstheme="majorBidi"/>
        </w:rPr>
        <w:t>Stratigraphic depths were transformed to numerical ages by linear interpolation between calibrated biozone or stage boundaries, assuming approximately constant sedimentation rates within each constrained interval. Sequence stratigraphic surfaces were employed as supplementary tie-points where biostratigraphic res</w:t>
      </w:r>
      <w:r w:rsidR="00151E91" w:rsidRPr="003F4289">
        <w:rPr>
          <w:rFonts w:asciiTheme="majorBidi" w:eastAsia="Times New Roman" w:hAnsiTheme="majorBidi" w:cstheme="majorBidi"/>
        </w:rPr>
        <w:t xml:space="preserve">olution alone was insufficient. </w:t>
      </w:r>
      <w:r w:rsidRPr="003F4289">
        <w:rPr>
          <w:rFonts w:asciiTheme="majorBidi" w:eastAsia="Times New Roman" w:hAnsiTheme="majorBidi" w:cstheme="majorBidi"/>
        </w:rPr>
        <w:t>All external datasets used for interregional comparison were recalibrated using the same protocol. Published stratigraphic frameworks were converted to numerical ages by extracting reported biozone or stage boundaries, calibrating them to the updated timescale, and linearly interpolating within constrained intervals. The application of this uniform depth–age conversion methodology across Boreal, Tethyan, and Southern Hemisphere records establishes a coherent temporal framework for evaluating the timing, synchronicity, and spatial extent of Jurassic–Cretaceous carbon cycle perturbations.</w:t>
      </w:r>
    </w:p>
    <w:p w14:paraId="27768A4F" w14:textId="77777777" w:rsidR="00C601FB" w:rsidRPr="003F4289" w:rsidRDefault="00C601FB" w:rsidP="00301650">
      <w:pPr>
        <w:spacing w:before="100" w:beforeAutospacing="1" w:after="100" w:afterAutospacing="1" w:line="240" w:lineRule="auto"/>
        <w:ind w:left="-1080"/>
        <w:jc w:val="both"/>
        <w:rPr>
          <w:rFonts w:asciiTheme="majorBidi" w:eastAsia="Times New Roman" w:hAnsiTheme="majorBidi" w:cstheme="majorBidi"/>
        </w:rPr>
        <w:sectPr w:rsidR="00C601FB" w:rsidRPr="003F4289" w:rsidSect="00C601FB">
          <w:pgSz w:w="15840" w:h="12240" w:orient="landscape"/>
          <w:pgMar w:top="1440" w:right="1440" w:bottom="1440" w:left="1440" w:header="720" w:footer="720" w:gutter="0"/>
          <w:cols w:space="720"/>
          <w:docGrid w:linePitch="360"/>
        </w:sectPr>
      </w:pPr>
      <w:r w:rsidRPr="003F4289">
        <w:rPr>
          <w:rFonts w:asciiTheme="majorBidi" w:eastAsia="Times New Roman" w:hAnsiTheme="majorBidi" w:cstheme="majorBidi"/>
          <w:noProof/>
          <w:lang w:val="en-US"/>
          <w14:ligatures w14:val="none"/>
        </w:rPr>
        <w:drawing>
          <wp:inline distT="0" distB="0" distL="0" distR="0" wp14:anchorId="142290B6" wp14:editId="0D165CA1">
            <wp:extent cx="9588970" cy="396432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mmonites.png"/>
                    <pic:cNvPicPr/>
                  </pic:nvPicPr>
                  <pic:blipFill>
                    <a:blip r:embed="rId13" cstate="hqprint">
                      <a:extLst>
                        <a:ext uri="{28A0092B-C50C-407E-A947-70E740481C1C}">
                          <a14:useLocalDpi xmlns:a14="http://schemas.microsoft.com/office/drawing/2010/main" val="0"/>
                        </a:ext>
                      </a:extLst>
                    </a:blip>
                    <a:stretch>
                      <a:fillRect/>
                    </a:stretch>
                  </pic:blipFill>
                  <pic:spPr>
                    <a:xfrm>
                      <a:off x="0" y="0"/>
                      <a:ext cx="9608159" cy="3972262"/>
                    </a:xfrm>
                    <a:prstGeom prst="rect">
                      <a:avLst/>
                    </a:prstGeom>
                  </pic:spPr>
                </pic:pic>
              </a:graphicData>
            </a:graphic>
          </wp:inline>
        </w:drawing>
      </w:r>
    </w:p>
    <w:p w14:paraId="09A4B3F9" w14:textId="3EFEDC9C" w:rsidR="008E717B" w:rsidRPr="003F4289" w:rsidRDefault="00CD4736" w:rsidP="00301650">
      <w:pPr>
        <w:spacing w:before="100" w:beforeAutospacing="1" w:after="100" w:afterAutospacing="1" w:line="240" w:lineRule="auto"/>
        <w:jc w:val="both"/>
        <w:rPr>
          <w:rFonts w:asciiTheme="majorBidi" w:eastAsia="Times New Roman" w:hAnsiTheme="majorBidi" w:cstheme="majorBidi"/>
        </w:rPr>
      </w:pPr>
      <w:r w:rsidRPr="003F4289">
        <w:rPr>
          <w:rStyle w:val="Strong"/>
          <w:rFonts w:asciiTheme="majorBidi" w:hAnsiTheme="majorBidi" w:cstheme="majorBidi"/>
        </w:rPr>
        <w:t>Figure S6</w:t>
      </w:r>
      <w:r w:rsidR="008E717B" w:rsidRPr="003F4289">
        <w:rPr>
          <w:rStyle w:val="Strong"/>
          <w:rFonts w:asciiTheme="majorBidi" w:hAnsiTheme="majorBidi" w:cstheme="majorBidi"/>
        </w:rPr>
        <w:t>.</w:t>
      </w:r>
      <w:r w:rsidR="008E717B" w:rsidRPr="003F4289">
        <w:rPr>
          <w:rFonts w:asciiTheme="majorBidi" w:hAnsiTheme="majorBidi" w:cstheme="majorBidi"/>
        </w:rPr>
        <w:t xml:space="preserve"> Integrated Late Jurassic–Early Cretaceous timescale (modified after Gale et al., 2020; Hesselbo et al., 2020) showing numerical ages of epoch/series and stage boundaries together with selected ammonite zones from the Tethyan and Sub-Boreal realms. Magnetostratigraphic correlations to the marine M-anomaly sequence and to Tethyan and Boreal ammonite zonations follow Gale et al. (2020) and Hesselbo et al. (2020). Andean ammonite biozones are correlated to their Tethyan counterparts after Leanza et al. (2020) and Vennari and Pujana (2017), with Valanginian Andean zonation after Aguirre-Urreta et al. (2008).</w:t>
      </w:r>
    </w:p>
    <w:p w14:paraId="0E98FE93" w14:textId="77777777" w:rsidR="008E717B" w:rsidRPr="003F4289" w:rsidRDefault="008E717B" w:rsidP="00301650">
      <w:pPr>
        <w:spacing w:before="100" w:beforeAutospacing="1" w:after="100" w:afterAutospacing="1" w:line="240" w:lineRule="auto"/>
        <w:jc w:val="both"/>
        <w:rPr>
          <w:rFonts w:asciiTheme="majorBidi" w:eastAsia="Times New Roman" w:hAnsiTheme="majorBidi" w:cstheme="majorBidi"/>
        </w:rPr>
      </w:pPr>
    </w:p>
    <w:p w14:paraId="1E6AF9D6" w14:textId="77777777" w:rsidR="00555C72" w:rsidRPr="003E3817" w:rsidRDefault="00555C72" w:rsidP="00301650">
      <w:pPr>
        <w:spacing w:before="100" w:beforeAutospacing="1" w:after="100" w:afterAutospacing="1" w:line="240" w:lineRule="auto"/>
        <w:ind w:firstLine="360"/>
        <w:jc w:val="both"/>
        <w:rPr>
          <w:rFonts w:asciiTheme="majorBidi" w:eastAsia="Times New Roman" w:hAnsiTheme="majorBidi" w:cstheme="majorBidi"/>
        </w:rPr>
      </w:pPr>
      <w:r w:rsidRPr="003E3817">
        <w:rPr>
          <w:rFonts w:asciiTheme="majorBidi" w:hAnsiTheme="majorBidi" w:cstheme="majorBidi"/>
        </w:rPr>
        <w:t>Gale, A., Mutterlose, J., Batenburg, S., Gradstein, F., Agterberg, F., Ogg, J., and Petrizzo, M., 2020, The Cretaceous Period, in Gradstein, F.M., Ogg, J.G., Schmitz, M.D., and Ogg, G.M., eds., Geologic Time Scale 2020: Amsterdam, Netherlands, Elsevier, p.  1023–1086, https://doi.org/10.1016/B978-0-12-824360-2.00027-9.</w:t>
      </w:r>
    </w:p>
    <w:p w14:paraId="08FF5592" w14:textId="77777777" w:rsidR="00555C72" w:rsidRPr="003E3817" w:rsidRDefault="00555C72" w:rsidP="00301650">
      <w:pPr>
        <w:spacing w:line="240" w:lineRule="auto"/>
        <w:ind w:firstLine="360"/>
        <w:jc w:val="both"/>
        <w:rPr>
          <w:rFonts w:asciiTheme="majorBidi" w:hAnsiTheme="majorBidi" w:cstheme="majorBidi"/>
        </w:rPr>
      </w:pPr>
      <w:r w:rsidRPr="003E3817">
        <w:rPr>
          <w:rFonts w:asciiTheme="majorBidi" w:hAnsiTheme="majorBidi" w:cstheme="majorBidi"/>
        </w:rPr>
        <w:t>Hesselbo, S., Ogg, J., Ruhl, M., Hinnov, L., and Huang, C., 2020, The Jurassic Period, in Gradstein, F.M., Ogg, J.G., Schmitz, M.D., and Ogg, G.M., eds., Geologic Time Scale 2020: Amsterdam, Netherlands, Elsevier, p. 955–1021, https://doi.org/10.1016/B978-0-12- 824360-2.00026-7</w:t>
      </w:r>
    </w:p>
    <w:p w14:paraId="468278D0" w14:textId="77777777" w:rsidR="00555C72" w:rsidRPr="003E3817" w:rsidRDefault="00555C72" w:rsidP="00301650">
      <w:pPr>
        <w:spacing w:line="240" w:lineRule="auto"/>
        <w:ind w:firstLine="360"/>
        <w:jc w:val="both"/>
        <w:rPr>
          <w:rFonts w:asciiTheme="majorBidi" w:hAnsiTheme="majorBidi" w:cstheme="majorBidi"/>
        </w:rPr>
      </w:pPr>
      <w:r w:rsidRPr="003E3817">
        <w:rPr>
          <w:rFonts w:asciiTheme="majorBidi" w:hAnsiTheme="majorBidi" w:cstheme="majorBidi"/>
        </w:rPr>
        <w:t>Ogg, J., 2020, Geomagnetic polarity time scale, in Gradstein, F.M., Ogg, J.G., Schmitz, M.D., and Ogg, G.M., eds., Geologic Time Scale 2020: Amsterdam, Netherlands, Elsevier, p. 159–192, https://doi.org/10.1</w:t>
      </w:r>
      <w:r w:rsidR="008A547B" w:rsidRPr="003E3817">
        <w:rPr>
          <w:rFonts w:asciiTheme="majorBidi" w:hAnsiTheme="majorBidi" w:cstheme="majorBidi"/>
        </w:rPr>
        <w:t>016/B978-0- 12-824360-2.00005-</w:t>
      </w:r>
    </w:p>
    <w:p w14:paraId="166194F0" w14:textId="56FB53B2" w:rsidR="003F1568" w:rsidRPr="003F4289" w:rsidRDefault="003F1568" w:rsidP="00301650">
      <w:pPr>
        <w:spacing w:line="240" w:lineRule="auto"/>
        <w:ind w:firstLine="360"/>
        <w:jc w:val="both"/>
        <w:rPr>
          <w:rFonts w:asciiTheme="majorBidi" w:hAnsiTheme="majorBidi" w:cstheme="majorBidi"/>
          <w:color w:val="00B0F0"/>
        </w:rPr>
        <w:sectPr w:rsidR="003F1568" w:rsidRPr="003F4289">
          <w:pgSz w:w="12240" w:h="15840"/>
          <w:pgMar w:top="1440" w:right="1440" w:bottom="1440" w:left="1440" w:header="720" w:footer="720" w:gutter="0"/>
          <w:cols w:space="720"/>
          <w:docGrid w:linePitch="360"/>
        </w:sectPr>
      </w:pPr>
    </w:p>
    <w:p w14:paraId="2A109FCD" w14:textId="1C29AEE2" w:rsidR="00F400D5" w:rsidRPr="003F4289" w:rsidRDefault="003E3817" w:rsidP="00301650">
      <w:pPr>
        <w:pStyle w:val="Heading1"/>
        <w:spacing w:line="240" w:lineRule="auto"/>
        <w:jc w:val="both"/>
        <w:rPr>
          <w:sz w:val="22"/>
          <w:szCs w:val="22"/>
        </w:rPr>
      </w:pPr>
      <w:r>
        <w:rPr>
          <w:sz w:val="22"/>
          <w:szCs w:val="22"/>
        </w:rPr>
        <w:t>Supplementary Note 3</w:t>
      </w:r>
      <w:r w:rsidRPr="003F4289">
        <w:rPr>
          <w:sz w:val="22"/>
          <w:szCs w:val="22"/>
        </w:rPr>
        <w:t>.</w:t>
      </w:r>
      <w:r>
        <w:rPr>
          <w:sz w:val="22"/>
          <w:szCs w:val="22"/>
        </w:rPr>
        <w:t xml:space="preserve"> </w:t>
      </w:r>
      <w:r w:rsidR="00F400D5" w:rsidRPr="003F4289">
        <w:rPr>
          <w:sz w:val="22"/>
          <w:szCs w:val="22"/>
        </w:rPr>
        <w:t>Cyclostratigraphy and time series analysis</w:t>
      </w:r>
    </w:p>
    <w:p w14:paraId="1F8DC046" w14:textId="77777777" w:rsidR="00CD4736" w:rsidRPr="003F4289" w:rsidRDefault="00CD4736" w:rsidP="00301650">
      <w:pPr>
        <w:spacing w:before="100" w:beforeAutospacing="1" w:after="100" w:afterAutospacing="1" w:line="240" w:lineRule="auto"/>
        <w:jc w:val="both"/>
        <w:rPr>
          <w:rFonts w:asciiTheme="majorBidi" w:eastAsia="Times New Roman" w:hAnsiTheme="majorBidi" w:cstheme="majorBidi"/>
          <w:kern w:val="0"/>
          <w:lang w:val="en-US"/>
          <w14:ligatures w14:val="none"/>
        </w:rPr>
      </w:pPr>
      <w:r w:rsidRPr="003F4289">
        <w:rPr>
          <w:rFonts w:asciiTheme="majorBidi" w:eastAsia="Times New Roman" w:hAnsiTheme="majorBidi" w:cstheme="majorBidi"/>
          <w:kern w:val="0"/>
          <w:lang w:val="en-US"/>
          <w14:ligatures w14:val="none"/>
        </w:rPr>
        <w:t>Downhole gamma-ray (GR) and potassium (K) logs from the BH-02 core were acquired at high vertical resolution, providing continuous records of lithological and paleoenvironmental variability. The GR signal in the Tithonian–Berriasian carbonate succession is primarily controlled by the abundance of clay minerals and K-bearing aluminosilicates associated with terrigenous input. Consequently, higher GR values reflect increased clay-rich siliciclastic influx, whereas lower values correspond to cleaner carbonate and evaporitic intervals.</w:t>
      </w:r>
    </w:p>
    <w:p w14:paraId="1C15F7F4" w14:textId="77777777" w:rsidR="00CD4736" w:rsidRPr="003F4289" w:rsidRDefault="00CD4736" w:rsidP="00301650">
      <w:pPr>
        <w:spacing w:before="100" w:beforeAutospacing="1" w:after="100" w:afterAutospacing="1" w:line="240" w:lineRule="auto"/>
        <w:jc w:val="both"/>
        <w:rPr>
          <w:rFonts w:asciiTheme="majorBidi" w:eastAsia="Times New Roman" w:hAnsiTheme="majorBidi" w:cstheme="majorBidi"/>
          <w:kern w:val="0"/>
          <w:lang w:val="en-US"/>
          <w14:ligatures w14:val="none"/>
        </w:rPr>
      </w:pPr>
      <w:r w:rsidRPr="003F4289">
        <w:rPr>
          <w:rFonts w:asciiTheme="majorBidi" w:eastAsia="Times New Roman" w:hAnsiTheme="majorBidi" w:cstheme="majorBidi"/>
          <w:kern w:val="0"/>
          <w:lang w:val="en-US"/>
          <w14:ligatures w14:val="none"/>
        </w:rPr>
        <w:t>Variations in GR are interpreted to record orbitally driven changes in continental weathering, runoff, sediment supply, and relative sea level. During relatively humid phases, enhanced weathering and fluvial transport increased the delivery of clay minerals to the basin, producing elevated GR values. In contrast, more arid conditions favoured carbonate production, reduced siliciclastic input, and lower GR values. The climatic signal is further amplified by facies-dependent dilution effects, whereby carbonate-rich shoal deposits exhibit consistently low GR values, while quieter offshore and transitional settings preferentially accumulate clay-rich sediments with higher natural radioactivity. As a result, the GR record provides a robust proxy for astronomically forced fluctuations in climate, sediment supply, and accommodation.</w:t>
      </w:r>
    </w:p>
    <w:p w14:paraId="11D5F9CD" w14:textId="77777777" w:rsidR="00CD4736" w:rsidRPr="003F4289" w:rsidRDefault="00CD4736" w:rsidP="00301650">
      <w:pPr>
        <w:spacing w:before="100" w:beforeAutospacing="1" w:after="100" w:afterAutospacing="1" w:line="240" w:lineRule="auto"/>
        <w:jc w:val="both"/>
        <w:rPr>
          <w:rFonts w:asciiTheme="majorBidi" w:eastAsia="Times New Roman" w:hAnsiTheme="majorBidi" w:cstheme="majorBidi"/>
          <w:kern w:val="0"/>
          <w:lang w:val="en-US"/>
          <w14:ligatures w14:val="none"/>
        </w:rPr>
      </w:pPr>
      <w:r w:rsidRPr="003F4289">
        <w:rPr>
          <w:rFonts w:asciiTheme="majorBidi" w:eastAsia="Times New Roman" w:hAnsiTheme="majorBidi" w:cstheme="majorBidi"/>
          <w:kern w:val="0"/>
          <w:lang w:val="en-US"/>
          <w14:ligatures w14:val="none"/>
        </w:rPr>
        <w:t>Although the cyclostratigraphic analyses presented here primarily use the GR record because of its continuous acquisition and high signal-to-noise ratio, the potassium (K) log exhibits nearly identical cyclic behaviour. Since K is predominantly hosted in clay minerals and relatively immobile during early diagenesis, it provides an independent and equally reliable proxy for cyclostratigraphic analysis, supporting the orbital interpretation of the GR record.</w:t>
      </w:r>
    </w:p>
    <w:p w14:paraId="7FCDB16A" w14:textId="5743DA92" w:rsidR="00151E91" w:rsidRPr="003F4289" w:rsidRDefault="00151E91" w:rsidP="00301650">
      <w:pPr>
        <w:spacing w:line="240" w:lineRule="auto"/>
        <w:jc w:val="both"/>
        <w:rPr>
          <w:rFonts w:asciiTheme="majorBidi" w:hAnsiTheme="majorBidi" w:cstheme="majorBidi"/>
        </w:rPr>
      </w:pPr>
      <w:r w:rsidRPr="003F4289">
        <w:rPr>
          <w:rFonts w:asciiTheme="majorBidi" w:hAnsiTheme="majorBidi" w:cstheme="majorBidi"/>
          <w:noProof/>
          <w:lang w:val="en-US"/>
          <w14:ligatures w14:val="none"/>
        </w:rPr>
        <w:drawing>
          <wp:inline distT="0" distB="0" distL="0" distR="0" wp14:anchorId="1DDD91D9" wp14:editId="7352E5B3">
            <wp:extent cx="5731510" cy="3733165"/>
            <wp:effectExtent l="0" t="0" r="254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Untitled-1.png"/>
                    <pic:cNvPicPr/>
                  </pic:nvPicPr>
                  <pic:blipFill>
                    <a:blip r:embed="rId14" cstate="hqprint">
                      <a:extLst>
                        <a:ext uri="{28A0092B-C50C-407E-A947-70E740481C1C}">
                          <a14:useLocalDpi xmlns:a14="http://schemas.microsoft.com/office/drawing/2010/main" val="0"/>
                        </a:ext>
                      </a:extLst>
                    </a:blip>
                    <a:stretch>
                      <a:fillRect/>
                    </a:stretch>
                  </pic:blipFill>
                  <pic:spPr>
                    <a:xfrm>
                      <a:off x="0" y="0"/>
                      <a:ext cx="5731510" cy="3733165"/>
                    </a:xfrm>
                    <a:prstGeom prst="rect">
                      <a:avLst/>
                    </a:prstGeom>
                  </pic:spPr>
                </pic:pic>
              </a:graphicData>
            </a:graphic>
          </wp:inline>
        </w:drawing>
      </w:r>
    </w:p>
    <w:p w14:paraId="6124EF33" w14:textId="0E1744A5" w:rsidR="00CD4736" w:rsidRPr="003F4289" w:rsidRDefault="00CD4736" w:rsidP="00301650">
      <w:pPr>
        <w:spacing w:line="240" w:lineRule="auto"/>
        <w:jc w:val="both"/>
        <w:rPr>
          <w:rFonts w:asciiTheme="majorBidi" w:hAnsiTheme="majorBidi" w:cstheme="majorBidi"/>
        </w:rPr>
      </w:pPr>
      <w:r w:rsidRPr="003F4289">
        <w:rPr>
          <w:rStyle w:val="Strong"/>
          <w:rFonts w:asciiTheme="majorBidi" w:hAnsiTheme="majorBidi" w:cstheme="majorBidi"/>
        </w:rPr>
        <w:t xml:space="preserve"> Figure S7.</w:t>
      </w:r>
      <w:r w:rsidRPr="003F4289">
        <w:rPr>
          <w:rFonts w:asciiTheme="majorBidi" w:hAnsiTheme="majorBidi" w:cstheme="majorBidi"/>
        </w:rPr>
        <w:t xml:space="preserve"> Composite wireline log of the BH-02 borehole (central Saudi Arabia) acquired by Fugro Geophysics. The log includes the optical borehole image, total gamma-ray (GR), potassium (K), thorium (Th), electrical resistivity (16-, 32-, and 64-inch normal resistivity), induction conductivity, spontaneous potential (SP), caliper, P-wave velocity, Poisson’s ratio, bulk density, and neutron porosity. The continuous high-resolution GR and K records were used as the primary datasets for cyclostratigraphic analysis because they provide sensitive proxies for variations in terrigenous input, clay mineral abundance, and carbonate dilution. These records form the basis for the astronomical tuning and spectral analyses presented in this study.</w:t>
      </w:r>
    </w:p>
    <w:p w14:paraId="43FCD780" w14:textId="77777777" w:rsidR="00CD4736" w:rsidRPr="003F4289" w:rsidRDefault="00CD4736" w:rsidP="00301650">
      <w:pPr>
        <w:pStyle w:val="Heading2"/>
        <w:jc w:val="both"/>
        <w:rPr>
          <w:rFonts w:asciiTheme="majorBidi" w:eastAsia="Times New Roman" w:hAnsiTheme="majorBidi"/>
          <w:sz w:val="22"/>
          <w:szCs w:val="22"/>
        </w:rPr>
      </w:pPr>
      <w:r w:rsidRPr="003F4289">
        <w:rPr>
          <w:rFonts w:asciiTheme="majorBidi" w:eastAsia="Times New Roman" w:hAnsiTheme="majorBidi"/>
          <w:sz w:val="22"/>
          <w:szCs w:val="22"/>
        </w:rPr>
        <w:t>Spectral gamma-ray interpretation</w:t>
      </w:r>
    </w:p>
    <w:p w14:paraId="55E42D4E" w14:textId="77777777" w:rsidR="00CD4736" w:rsidRPr="003F4289" w:rsidRDefault="00CD4736" w:rsidP="00301650">
      <w:pPr>
        <w:spacing w:before="100" w:beforeAutospacing="1" w:after="100" w:afterAutospacing="1" w:line="240" w:lineRule="auto"/>
        <w:jc w:val="both"/>
        <w:rPr>
          <w:rFonts w:asciiTheme="majorBidi" w:eastAsia="Times New Roman" w:hAnsiTheme="majorBidi" w:cstheme="majorBidi"/>
          <w:kern w:val="0"/>
          <w:lang w:val="en-US"/>
          <w14:ligatures w14:val="none"/>
        </w:rPr>
      </w:pPr>
      <w:r w:rsidRPr="003F4289">
        <w:rPr>
          <w:rFonts w:asciiTheme="majorBidi" w:eastAsia="Times New Roman" w:hAnsiTheme="majorBidi" w:cstheme="majorBidi"/>
          <w:kern w:val="0"/>
          <w:lang w:val="en-US"/>
          <w14:ligatures w14:val="none"/>
        </w:rPr>
        <w:t>The spectral gamma-ray logs (U, K and Th) exhibit relatively stable background concentrations throughout the Sulaiy Formation, with no major long-term increase or decrease and no discernible change across the Jurassic–Cretaceous boundary. Uranium and potassium remain remarkably uniform over the studied interval despite short-wavelength fluctuations, indicating that the succession was deposited under relatively stable environmental conditions without significant changes in the influx of radioactive elements or clay-bearing detritus.</w:t>
      </w:r>
    </w:p>
    <w:p w14:paraId="2DAAE114" w14:textId="77777777" w:rsidR="00CD4736" w:rsidRPr="003F4289" w:rsidRDefault="00CD4736" w:rsidP="00301650">
      <w:pPr>
        <w:spacing w:before="100" w:beforeAutospacing="1" w:after="100" w:afterAutospacing="1" w:line="240" w:lineRule="auto"/>
        <w:jc w:val="both"/>
        <w:rPr>
          <w:rFonts w:asciiTheme="majorBidi" w:eastAsia="Times New Roman" w:hAnsiTheme="majorBidi" w:cstheme="majorBidi"/>
          <w:kern w:val="0"/>
          <w:lang w:val="en-US"/>
          <w14:ligatures w14:val="none"/>
        </w:rPr>
      </w:pPr>
      <w:r w:rsidRPr="003F4289">
        <w:rPr>
          <w:rFonts w:asciiTheme="majorBidi" w:eastAsia="Times New Roman" w:hAnsiTheme="majorBidi" w:cstheme="majorBidi"/>
          <w:kern w:val="0"/>
          <w:lang w:val="en-US"/>
          <w14:ligatures w14:val="none"/>
        </w:rPr>
        <w:t>Thorium concentrations are consistently low throughout the section but display numerous recurring narrow peaks. Because thorium is generally associated with the detrital fraction and is relatively immobile during diagenesis, these repetitive excursions most likely record periodic pulses of siliciclastic input. The absence of any sustained increase in Th suggests that continental weathering intensity and terrigenous sediment supply remained generally low during deposition of the Sulaiy Formation. Instead, the preserved cyclic pattern indicates repeated, low-amplitude fluctuations in detrital delivery, consistent with orbitally paced variations in weathering, runoff, or sediment transport rather than major climatic or tectonic reorganizations.</w:t>
      </w:r>
    </w:p>
    <w:p w14:paraId="0F898AA5" w14:textId="77777777" w:rsidR="00CD4736" w:rsidRPr="003F4289" w:rsidRDefault="00CD4736" w:rsidP="00301650">
      <w:pPr>
        <w:spacing w:before="100" w:beforeAutospacing="1" w:after="100" w:afterAutospacing="1" w:line="240" w:lineRule="auto"/>
        <w:jc w:val="both"/>
        <w:rPr>
          <w:rFonts w:asciiTheme="majorBidi" w:eastAsia="Times New Roman" w:hAnsiTheme="majorBidi" w:cstheme="majorBidi"/>
          <w:kern w:val="0"/>
          <w:lang w:val="en-US"/>
          <w14:ligatures w14:val="none"/>
        </w:rPr>
      </w:pPr>
      <w:r w:rsidRPr="003F4289">
        <w:rPr>
          <w:rFonts w:asciiTheme="majorBidi" w:eastAsia="Times New Roman" w:hAnsiTheme="majorBidi" w:cstheme="majorBidi"/>
          <w:kern w:val="0"/>
          <w:lang w:val="en-US"/>
          <w14:ligatures w14:val="none"/>
        </w:rPr>
        <w:t>Overall, the spectral gamma-ray data indicate a remarkably stable depositional system characterized by limited long-term changes in continental weathering and terrigenous influx. The well-preserved cyclicity, particularly in the thorium record, demonstrates that although detrital input remained low, it varied systematically through time, supporting the interpretation of orbitally modulated environmental variability superimposed on an otherwise stable carbonate depositional setting.</w:t>
      </w:r>
    </w:p>
    <w:p w14:paraId="5CD1300C" w14:textId="199D1B70" w:rsidR="00151E91" w:rsidRPr="003F4289" w:rsidRDefault="00151E91" w:rsidP="00301650">
      <w:pPr>
        <w:pStyle w:val="NormalWeb"/>
        <w:jc w:val="both"/>
        <w:rPr>
          <w:rFonts w:asciiTheme="majorBidi" w:hAnsiTheme="majorBidi" w:cstheme="majorBidi"/>
          <w:sz w:val="22"/>
          <w:szCs w:val="22"/>
        </w:rPr>
      </w:pPr>
      <w:r w:rsidRPr="003F4289">
        <w:rPr>
          <w:rFonts w:asciiTheme="majorBidi" w:hAnsiTheme="majorBidi" w:cstheme="majorBidi"/>
          <w:noProof/>
          <w:sz w:val="22"/>
          <w:szCs w:val="22"/>
        </w:rPr>
        <w:drawing>
          <wp:inline distT="0" distB="0" distL="0" distR="0" wp14:anchorId="3F0C796E" wp14:editId="5C9B4148">
            <wp:extent cx="5943600" cy="315976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 supplementary.png"/>
                    <pic:cNvPicPr/>
                  </pic:nvPicPr>
                  <pic:blipFill>
                    <a:blip r:embed="rId15" cstate="hqprint">
                      <a:extLst>
                        <a:ext uri="{28A0092B-C50C-407E-A947-70E740481C1C}">
                          <a14:useLocalDpi xmlns:a14="http://schemas.microsoft.com/office/drawing/2010/main" val="0"/>
                        </a:ext>
                      </a:extLst>
                    </a:blip>
                    <a:stretch>
                      <a:fillRect/>
                    </a:stretch>
                  </pic:blipFill>
                  <pic:spPr>
                    <a:xfrm>
                      <a:off x="0" y="0"/>
                      <a:ext cx="5943600" cy="3159760"/>
                    </a:xfrm>
                    <a:prstGeom prst="rect">
                      <a:avLst/>
                    </a:prstGeom>
                  </pic:spPr>
                </pic:pic>
              </a:graphicData>
            </a:graphic>
          </wp:inline>
        </w:drawing>
      </w:r>
    </w:p>
    <w:p w14:paraId="602D25B5" w14:textId="6D7F2E09" w:rsidR="00151E91" w:rsidRPr="003F4289" w:rsidRDefault="00151E91" w:rsidP="00301650">
      <w:pPr>
        <w:spacing w:before="100" w:beforeAutospacing="1" w:after="100" w:afterAutospacing="1" w:line="240" w:lineRule="auto"/>
        <w:jc w:val="both"/>
        <w:rPr>
          <w:rFonts w:asciiTheme="majorBidi" w:eastAsia="Times New Roman" w:hAnsiTheme="majorBidi" w:cstheme="majorBidi"/>
          <w:kern w:val="0"/>
          <w:lang w:val="en-US"/>
          <w14:ligatures w14:val="none"/>
        </w:rPr>
      </w:pPr>
      <w:r w:rsidRPr="003F4289">
        <w:rPr>
          <w:rFonts w:asciiTheme="majorBidi" w:eastAsia="Times New Roman" w:hAnsiTheme="majorBidi" w:cstheme="majorBidi"/>
          <w:b/>
          <w:bCs/>
          <w:kern w:val="0"/>
          <w:lang w:val="en-US"/>
          <w14:ligatures w14:val="none"/>
        </w:rPr>
        <w:t>Figure</w:t>
      </w:r>
      <w:r w:rsidR="00CD4736" w:rsidRPr="003F4289">
        <w:rPr>
          <w:rFonts w:asciiTheme="majorBidi" w:eastAsia="Times New Roman" w:hAnsiTheme="majorBidi" w:cstheme="majorBidi"/>
          <w:b/>
          <w:bCs/>
          <w:kern w:val="0"/>
          <w:lang w:val="en-US"/>
          <w14:ligatures w14:val="none"/>
        </w:rPr>
        <w:t xml:space="preserve"> S8</w:t>
      </w:r>
      <w:r w:rsidRPr="003F4289">
        <w:rPr>
          <w:rFonts w:asciiTheme="majorBidi" w:eastAsia="Times New Roman" w:hAnsiTheme="majorBidi" w:cstheme="majorBidi"/>
          <w:b/>
          <w:bCs/>
          <w:kern w:val="0"/>
          <w:lang w:val="en-US"/>
          <w14:ligatures w14:val="none"/>
        </w:rPr>
        <w:t>.</w:t>
      </w:r>
      <w:r w:rsidRPr="003F4289">
        <w:rPr>
          <w:rFonts w:asciiTheme="majorBidi" w:eastAsia="Times New Roman" w:hAnsiTheme="majorBidi" w:cstheme="majorBidi"/>
          <w:kern w:val="0"/>
          <w:lang w:val="en-US"/>
          <w14:ligatures w14:val="none"/>
        </w:rPr>
        <w:t xml:space="preserve"> Continuous downhole gamma-ray (GR) and spectral gamma-ray logs (U, K, and Th) through the Tithonian–Berriasian Sulaiy Formation (BH-02 core, central Saudi Arabia). The cyan vertical line marks the position of the Jurassic–Cretaceous (J–K) boundary, placed at the first occurrence of </w:t>
      </w:r>
      <w:r w:rsidRPr="003F4289">
        <w:rPr>
          <w:rFonts w:asciiTheme="majorBidi" w:eastAsia="Times New Roman" w:hAnsiTheme="majorBidi" w:cstheme="majorBidi"/>
          <w:i/>
          <w:iCs/>
          <w:kern w:val="0"/>
          <w:lang w:val="en-US"/>
          <w14:ligatures w14:val="none"/>
        </w:rPr>
        <w:t>Nannoconus wintereri</w:t>
      </w:r>
      <w:r w:rsidRPr="003F4289">
        <w:rPr>
          <w:rFonts w:asciiTheme="majorBidi" w:eastAsia="Times New Roman" w:hAnsiTheme="majorBidi" w:cstheme="majorBidi"/>
          <w:kern w:val="0"/>
          <w:lang w:val="en-US"/>
          <w14:ligatures w14:val="none"/>
        </w:rPr>
        <w:t>. Total gamma-ray (GR) values show moderate variability throughout the succession, whereas the spectral components (U, K, and Th) display no significant long-term trends or abrupt shifts across the J–K boundary, indicating relatively stable depositional conditions and limited long-term variations in terrigenous input during Sulaiy deposition. Thorium concentrations remain consistently low but exhibit repetitive, narrow peaks that reflect cyclic, low-amplitude pulses of detrital input, consistent with orbitally paced fluctuations in continental weathering and sediment supply rather than major changes in provenance or weathering intensity. Overall, the spectral gamma-ray data support deposition under persistently low siliciclastic influx within a stable carbonate platform setting.</w:t>
      </w:r>
    </w:p>
    <w:p w14:paraId="5ACF3CBC" w14:textId="51E0212F" w:rsidR="00F400D5" w:rsidRPr="003F4289" w:rsidRDefault="00F400D5" w:rsidP="00301650">
      <w:pPr>
        <w:spacing w:line="240" w:lineRule="auto"/>
        <w:jc w:val="both"/>
        <w:rPr>
          <w:rFonts w:asciiTheme="majorBidi" w:hAnsiTheme="majorBidi" w:cstheme="majorBidi"/>
          <w:b/>
          <w:bCs/>
        </w:rPr>
      </w:pPr>
      <w:r w:rsidRPr="003F4289">
        <w:rPr>
          <w:rFonts w:asciiTheme="majorBidi" w:hAnsiTheme="majorBidi" w:cstheme="majorBidi"/>
          <w:b/>
          <w:bCs/>
        </w:rPr>
        <w:t>Statistical Cyclostratigraphic Analysis Methodology</w:t>
      </w:r>
    </w:p>
    <w:p w14:paraId="631A7099" w14:textId="0CD6B281" w:rsidR="00977054" w:rsidRPr="003F4289" w:rsidRDefault="00F400D5" w:rsidP="00301650">
      <w:pPr>
        <w:spacing w:line="240" w:lineRule="auto"/>
        <w:jc w:val="both"/>
        <w:rPr>
          <w:rFonts w:asciiTheme="majorBidi" w:hAnsiTheme="majorBidi" w:cstheme="majorBidi"/>
        </w:rPr>
      </w:pPr>
      <w:r w:rsidRPr="003F4289">
        <w:rPr>
          <w:rFonts w:asciiTheme="majorBidi" w:hAnsiTheme="majorBidi" w:cstheme="majorBidi"/>
          <w:noProof/>
          <w:lang w:val="en-US"/>
        </w:rPr>
        <w:drawing>
          <wp:inline distT="0" distB="0" distL="0" distR="0" wp14:anchorId="74639610" wp14:editId="78C58E19">
            <wp:extent cx="5664382" cy="4768850"/>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6" cstate="hqprint">
                      <a:extLst>
                        <a:ext uri="{28A0092B-C50C-407E-A947-70E740481C1C}">
                          <a14:useLocalDpi xmlns:a14="http://schemas.microsoft.com/office/drawing/2010/main" val="0"/>
                        </a:ext>
                      </a:extLst>
                    </a:blip>
                    <a:stretch>
                      <a:fillRect/>
                    </a:stretch>
                  </pic:blipFill>
                  <pic:spPr>
                    <a:xfrm>
                      <a:off x="0" y="0"/>
                      <a:ext cx="5671225" cy="4774611"/>
                    </a:xfrm>
                    <a:prstGeom prst="rect">
                      <a:avLst/>
                    </a:prstGeom>
                  </pic:spPr>
                </pic:pic>
              </a:graphicData>
            </a:graphic>
          </wp:inline>
        </w:drawing>
      </w:r>
    </w:p>
    <w:p w14:paraId="238AB2F1" w14:textId="12C98603" w:rsidR="00CD4736" w:rsidRPr="003F4289" w:rsidRDefault="00CD4736" w:rsidP="00301650">
      <w:pPr>
        <w:spacing w:line="240" w:lineRule="auto"/>
        <w:jc w:val="both"/>
        <w:rPr>
          <w:rFonts w:asciiTheme="majorBidi" w:hAnsiTheme="majorBidi" w:cstheme="majorBidi"/>
        </w:rPr>
        <w:sectPr w:rsidR="00CD4736" w:rsidRPr="003F4289" w:rsidSect="00353CB8">
          <w:pgSz w:w="11906" w:h="16838"/>
          <w:pgMar w:top="1440" w:right="1440" w:bottom="1440" w:left="1440" w:header="708" w:footer="708" w:gutter="0"/>
          <w:lnNumType w:countBy="1" w:restart="continuous"/>
          <w:cols w:space="708"/>
          <w:docGrid w:linePitch="360"/>
        </w:sectPr>
      </w:pPr>
      <w:r w:rsidRPr="003F4289">
        <w:rPr>
          <w:rStyle w:val="Strong"/>
          <w:rFonts w:asciiTheme="majorBidi" w:hAnsiTheme="majorBidi" w:cstheme="majorBidi"/>
        </w:rPr>
        <w:t>Figure S9.</w:t>
      </w:r>
      <w:r w:rsidRPr="003F4289">
        <w:rPr>
          <w:rFonts w:asciiTheme="majorBidi" w:hAnsiTheme="majorBidi" w:cstheme="majorBidi"/>
        </w:rPr>
        <w:t xml:space="preserve"> High-resolution gamma-ray (GR) record and cyclostratigraphic interpretation of the Tithonian–Berriasian interval in the BH-02 core, central Saudi Arabia. From left to right: optical borehole image, raw gamma-ray (GR) log acquired at 1-cm resolution, detrended GR record with the interpreted long-eccentricity (405-kyr) cycles (E1–E30; red curve), and high-pass filtered GR record highlighting short-eccentricity variability. Blue tie lines correlate successive 405-kyr cycle boundaries between the two filtered records. Calcareous nannofossil bioevents, including the first occurrences of </w:t>
      </w:r>
      <w:r w:rsidRPr="003F4289">
        <w:rPr>
          <w:rStyle w:val="Emphasis"/>
          <w:rFonts w:asciiTheme="majorBidi" w:hAnsiTheme="majorBidi" w:cstheme="majorBidi"/>
        </w:rPr>
        <w:t>Conusphaera mexicana minor</w:t>
      </w:r>
      <w:r w:rsidRPr="003F4289">
        <w:rPr>
          <w:rFonts w:asciiTheme="majorBidi" w:hAnsiTheme="majorBidi" w:cstheme="majorBidi"/>
        </w:rPr>
        <w:t xml:space="preserve">, </w:t>
      </w:r>
      <w:r w:rsidRPr="003F4289">
        <w:rPr>
          <w:rStyle w:val="Emphasis"/>
          <w:rFonts w:asciiTheme="majorBidi" w:hAnsiTheme="majorBidi" w:cstheme="majorBidi"/>
        </w:rPr>
        <w:t>Nannoconus wintereri</w:t>
      </w:r>
      <w:r w:rsidRPr="003F4289">
        <w:rPr>
          <w:rFonts w:asciiTheme="majorBidi" w:hAnsiTheme="majorBidi" w:cstheme="majorBidi"/>
        </w:rPr>
        <w:t xml:space="preserve">, </w:t>
      </w:r>
      <w:r w:rsidRPr="003F4289">
        <w:rPr>
          <w:rStyle w:val="Emphasis"/>
          <w:rFonts w:asciiTheme="majorBidi" w:hAnsiTheme="majorBidi" w:cstheme="majorBidi"/>
        </w:rPr>
        <w:t>N. steinmannii minor</w:t>
      </w:r>
      <w:r w:rsidRPr="003F4289">
        <w:rPr>
          <w:rFonts w:asciiTheme="majorBidi" w:hAnsiTheme="majorBidi" w:cstheme="majorBidi"/>
        </w:rPr>
        <w:t xml:space="preserve">, and </w:t>
      </w:r>
      <w:r w:rsidRPr="003F4289">
        <w:rPr>
          <w:rStyle w:val="Emphasis"/>
          <w:rFonts w:asciiTheme="majorBidi" w:hAnsiTheme="majorBidi" w:cstheme="majorBidi"/>
        </w:rPr>
        <w:t>N. steinmannii steinmannii</w:t>
      </w:r>
      <w:r w:rsidRPr="003F4289">
        <w:rPr>
          <w:rFonts w:asciiTheme="majorBidi" w:hAnsiTheme="majorBidi" w:cstheme="majorBidi"/>
        </w:rPr>
        <w:t xml:space="preserve">, provide independent biostratigraphic constraints on the astronomical interpretation. The integrated framework places the studied interval between </w:t>
      </w:r>
      <w:r w:rsidRPr="003F4289">
        <w:rPr>
          <w:rStyle w:val="Strong"/>
          <w:rFonts w:asciiTheme="majorBidi" w:hAnsiTheme="majorBidi" w:cstheme="majorBidi"/>
        </w:rPr>
        <w:t>149.8 ± 0.1 Ma</w:t>
      </w:r>
      <w:r w:rsidRPr="003F4289">
        <w:rPr>
          <w:rFonts w:asciiTheme="majorBidi" w:hAnsiTheme="majorBidi" w:cstheme="majorBidi"/>
        </w:rPr>
        <w:t xml:space="preserve"> and </w:t>
      </w:r>
      <w:r w:rsidRPr="003F4289">
        <w:rPr>
          <w:rStyle w:val="Strong"/>
          <w:rFonts w:asciiTheme="majorBidi" w:hAnsiTheme="majorBidi" w:cstheme="majorBidi"/>
        </w:rPr>
        <w:t>137.9 ± 0.1 Ma</w:t>
      </w:r>
      <w:r w:rsidRPr="003F4289">
        <w:rPr>
          <w:rFonts w:asciiTheme="majorBidi" w:hAnsiTheme="majorBidi" w:cstheme="majorBidi"/>
        </w:rPr>
        <w:t xml:space="preserve">, spanning the Tithonian–Berriasian succession of the Sulaiy Formation. The first appearance of </w:t>
      </w:r>
      <w:r w:rsidRPr="003F4289">
        <w:rPr>
          <w:rStyle w:val="Emphasis"/>
          <w:rFonts w:asciiTheme="majorBidi" w:hAnsiTheme="majorBidi" w:cstheme="majorBidi"/>
        </w:rPr>
        <w:t>Nannoconus wintereri</w:t>
      </w:r>
      <w:r w:rsidRPr="003F4289">
        <w:rPr>
          <w:rFonts w:asciiTheme="majorBidi" w:hAnsiTheme="majorBidi" w:cstheme="majorBidi"/>
        </w:rPr>
        <w:t xml:space="preserve"> marks the position adopted for the Jurassic–Cretaceous boundary in this study, following </w:t>
      </w:r>
      <w:r w:rsidRPr="003F4289">
        <w:rPr>
          <w:rStyle w:val="Strong"/>
          <w:rFonts w:asciiTheme="majorBidi" w:hAnsiTheme="majorBidi" w:cstheme="majorBidi"/>
        </w:rPr>
        <w:t>Option 2</w:t>
      </w:r>
      <w:r w:rsidRPr="003F4289">
        <w:rPr>
          <w:rFonts w:asciiTheme="majorBidi" w:hAnsiTheme="majorBidi" w:cstheme="majorBidi"/>
        </w:rPr>
        <w:t xml:space="preserve"> of the Berriasian Working Group.</w:t>
      </w:r>
    </w:p>
    <w:p w14:paraId="02D833FC" w14:textId="74548EFF" w:rsidR="00F400D5" w:rsidRPr="003F4289" w:rsidRDefault="00F400D5" w:rsidP="00301650">
      <w:pPr>
        <w:spacing w:line="240" w:lineRule="auto"/>
        <w:jc w:val="both"/>
        <w:rPr>
          <w:rFonts w:asciiTheme="majorBidi" w:hAnsiTheme="majorBidi" w:cstheme="majorBidi"/>
        </w:rPr>
      </w:pPr>
      <w:r w:rsidRPr="003F4289">
        <w:rPr>
          <w:rFonts w:asciiTheme="majorBidi" w:hAnsiTheme="majorBidi" w:cstheme="majorBidi"/>
          <w:noProof/>
          <w:lang w:val="en-US"/>
        </w:rPr>
        <w:drawing>
          <wp:inline distT="0" distB="0" distL="0" distR="0" wp14:anchorId="0BB8139E" wp14:editId="2FD55849">
            <wp:extent cx="5731510" cy="6408759"/>
            <wp:effectExtent l="0" t="0" r="2540" b="0"/>
            <wp:docPr id="30" name="Picture 30" descr="F:\Jurassic cretaceous\Figute 3 in depth cyc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Jurassic cretaceous\Figute 3 in depth cycles.png"/>
                    <pic:cNvPicPr>
                      <a:picLocks noChangeAspect="1" noChangeArrowheads="1"/>
                    </pic:cNvPicPr>
                  </pic:nvPicPr>
                  <pic:blipFill>
                    <a:blip r:embed="rId17" cstate="hqprint">
                      <a:extLst>
                        <a:ext uri="{28A0092B-C50C-407E-A947-70E740481C1C}">
                          <a14:useLocalDpi xmlns:a14="http://schemas.microsoft.com/office/drawing/2010/main" val="0"/>
                        </a:ext>
                      </a:extLst>
                    </a:blip>
                    <a:srcRect/>
                    <a:stretch>
                      <a:fillRect/>
                    </a:stretch>
                  </pic:blipFill>
                  <pic:spPr bwMode="auto">
                    <a:xfrm>
                      <a:off x="0" y="0"/>
                      <a:ext cx="5731510" cy="6408759"/>
                    </a:xfrm>
                    <a:prstGeom prst="rect">
                      <a:avLst/>
                    </a:prstGeom>
                    <a:noFill/>
                    <a:ln>
                      <a:noFill/>
                    </a:ln>
                  </pic:spPr>
                </pic:pic>
              </a:graphicData>
            </a:graphic>
          </wp:inline>
        </w:drawing>
      </w:r>
    </w:p>
    <w:p w14:paraId="6AFEBEC1" w14:textId="57532A1E" w:rsidR="00CD4736" w:rsidRPr="003F4289" w:rsidRDefault="00301650" w:rsidP="00301650">
      <w:pPr>
        <w:spacing w:line="240" w:lineRule="auto"/>
        <w:jc w:val="both"/>
        <w:rPr>
          <w:rFonts w:asciiTheme="majorBidi" w:hAnsiTheme="majorBidi" w:cstheme="majorBidi"/>
        </w:rPr>
      </w:pPr>
      <w:r w:rsidRPr="003F4289">
        <w:rPr>
          <w:rStyle w:val="Strong"/>
          <w:rFonts w:asciiTheme="majorBidi" w:hAnsiTheme="majorBidi" w:cstheme="majorBidi"/>
        </w:rPr>
        <w:t>Figure S10.</w:t>
      </w:r>
      <w:r w:rsidRPr="003F4289">
        <w:rPr>
          <w:rFonts w:asciiTheme="majorBidi" w:hAnsiTheme="majorBidi" w:cstheme="majorBidi"/>
        </w:rPr>
        <w:t xml:space="preserve"> Spectral characteristics of the BH-02 gamma-ray (GR) and potassium (K) records across the Tithonian–Berriasian succession. </w:t>
      </w:r>
      <w:r w:rsidRPr="003F4289">
        <w:rPr>
          <w:rStyle w:val="Strong"/>
          <w:rFonts w:asciiTheme="majorBidi" w:hAnsiTheme="majorBidi" w:cstheme="majorBidi"/>
        </w:rPr>
        <w:t>(A)</w:t>
      </w:r>
      <w:r w:rsidRPr="003F4289">
        <w:rPr>
          <w:rFonts w:asciiTheme="majorBidi" w:hAnsiTheme="majorBidi" w:cstheme="majorBidi"/>
        </w:rPr>
        <w:t xml:space="preserve"> Composite stratigraphic framework showing the optical borehole image, depth, lithostratigraphy, chronostratigraphy, and calcareous nannofossil biozonation. </w:t>
      </w:r>
      <w:r w:rsidRPr="003F4289">
        <w:rPr>
          <w:rStyle w:val="Strong"/>
          <w:rFonts w:asciiTheme="majorBidi" w:hAnsiTheme="majorBidi" w:cstheme="majorBidi"/>
        </w:rPr>
        <w:t>(B)</w:t>
      </w:r>
      <w:r w:rsidRPr="003F4289">
        <w:rPr>
          <w:rFonts w:asciiTheme="majorBidi" w:hAnsiTheme="majorBidi" w:cstheme="majorBidi"/>
        </w:rPr>
        <w:t xml:space="preserve"> Evolutive harmonic analysis (EHA) of the gamma-ray (GR) record. The upper panel shows the multitaper method (MTM) power spectrum with significant spectral peaks and their corresponding wavelengths, while the lower panel presents the EHA spectrogram highlighting the vertical evolution of orbital cyclicity. Significant spectral bands corresponding to long eccentricity (~405 kyr; E), short eccentricity (~100 kyr; e), obliquity (~33 kyr; O), and precession (~23 kyr; P) are indicated. Dashed and solid lines represent the expected orbital frequencies based on the tuned sedimentation-rate model and the 90%, 95%, and 99% robust AR(1) confidence levels. </w:t>
      </w:r>
      <w:r w:rsidRPr="003F4289">
        <w:rPr>
          <w:rStyle w:val="Strong"/>
          <w:rFonts w:asciiTheme="majorBidi" w:hAnsiTheme="majorBidi" w:cstheme="majorBidi"/>
        </w:rPr>
        <w:t>(C)</w:t>
      </w:r>
      <w:r w:rsidRPr="003F4289">
        <w:rPr>
          <w:rFonts w:asciiTheme="majorBidi" w:hAnsiTheme="majorBidi" w:cstheme="majorBidi"/>
        </w:rPr>
        <w:t xml:space="preserve"> Equivalent MTM spectrum and EHA spectrogram for the potassium (K) record, showing a spectral structure closely matching that of the GR record. The strong agreement between the GR and K datasets demonstrates that both proxies preserve the same astronomically forced cyclicity, supporting the use of the GR record as the primary cyclostratigraphic proxy and confirming the robustness of the orbital interpretation.</w:t>
      </w:r>
    </w:p>
    <w:p w14:paraId="38B42D05" w14:textId="2DCCF36C" w:rsidR="00F400D5" w:rsidRPr="003F4289" w:rsidRDefault="00F400D5" w:rsidP="00301650">
      <w:pPr>
        <w:spacing w:line="240" w:lineRule="auto"/>
        <w:jc w:val="both"/>
        <w:rPr>
          <w:rFonts w:asciiTheme="majorBidi" w:hAnsiTheme="majorBidi" w:cstheme="majorBidi"/>
        </w:rPr>
      </w:pPr>
      <w:bookmarkStart w:id="1" w:name="_Hlk48480280"/>
      <w:r w:rsidRPr="003F4289">
        <w:rPr>
          <w:rFonts w:asciiTheme="majorBidi" w:hAnsiTheme="majorBidi" w:cstheme="majorBidi"/>
          <w:i/>
          <w:iCs/>
          <w:noProof/>
          <w:color w:val="FF0000"/>
          <w:lang w:val="en-US"/>
        </w:rPr>
        <w:drawing>
          <wp:inline distT="0" distB="0" distL="0" distR="0" wp14:anchorId="26A8B1BA" wp14:editId="30B6F1CE">
            <wp:extent cx="5731510" cy="3764280"/>
            <wp:effectExtent l="0" t="0" r="254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Imeopt.png"/>
                    <pic:cNvPicPr/>
                  </pic:nvPicPr>
                  <pic:blipFill>
                    <a:blip r:embed="rId18" cstate="hqprint">
                      <a:extLst>
                        <a:ext uri="{28A0092B-C50C-407E-A947-70E740481C1C}">
                          <a14:useLocalDpi xmlns:a14="http://schemas.microsoft.com/office/drawing/2010/main" val="0"/>
                        </a:ext>
                      </a:extLst>
                    </a:blip>
                    <a:stretch>
                      <a:fillRect/>
                    </a:stretch>
                  </pic:blipFill>
                  <pic:spPr>
                    <a:xfrm>
                      <a:off x="0" y="0"/>
                      <a:ext cx="5731510" cy="3764280"/>
                    </a:xfrm>
                    <a:prstGeom prst="rect">
                      <a:avLst/>
                    </a:prstGeom>
                  </pic:spPr>
                </pic:pic>
              </a:graphicData>
            </a:graphic>
          </wp:inline>
        </w:drawing>
      </w:r>
      <w:r w:rsidR="00301650" w:rsidRPr="003F4289">
        <w:rPr>
          <w:rFonts w:asciiTheme="majorBidi" w:hAnsiTheme="majorBidi" w:cstheme="majorBidi"/>
          <w:b/>
          <w:bCs/>
        </w:rPr>
        <w:t>Figure S11</w:t>
      </w:r>
      <w:r w:rsidRPr="003F4289">
        <w:rPr>
          <w:rFonts w:asciiTheme="majorBidi" w:hAnsiTheme="majorBidi" w:cstheme="majorBidi"/>
          <w:b/>
          <w:bCs/>
        </w:rPr>
        <w:t>.</w:t>
      </w:r>
      <w:r w:rsidRPr="003F4289">
        <w:rPr>
          <w:rFonts w:asciiTheme="majorBidi" w:hAnsiTheme="majorBidi" w:cstheme="majorBidi"/>
        </w:rPr>
        <w:t xml:space="preserve"> </w:t>
      </w:r>
      <w:r w:rsidR="00301650" w:rsidRPr="003F4289">
        <w:rPr>
          <w:rFonts w:asciiTheme="majorBidi" w:hAnsiTheme="majorBidi" w:cstheme="majorBidi"/>
        </w:rPr>
        <w:t xml:space="preserve">Statistical evaluation and spectral characterization of the tuned gamma-ray (GR) record used for astronomical calibration. </w:t>
      </w:r>
      <w:r w:rsidR="00301650" w:rsidRPr="003F4289">
        <w:rPr>
          <w:rStyle w:val="Strong"/>
          <w:rFonts w:asciiTheme="majorBidi" w:hAnsiTheme="majorBidi" w:cstheme="majorBidi"/>
        </w:rPr>
        <w:t>(a)</w:t>
      </w:r>
      <w:r w:rsidR="00301650" w:rsidRPr="003F4289">
        <w:rPr>
          <w:rFonts w:asciiTheme="majorBidi" w:hAnsiTheme="majorBidi" w:cstheme="majorBidi"/>
        </w:rPr>
        <w:t xml:space="preserve"> Correlation coefficient (R²) as a function of tested sedimentation rates, identifying an optimal mean sedimentation rate of </w:t>
      </w:r>
      <w:r w:rsidR="00301650" w:rsidRPr="003F4289">
        <w:rPr>
          <w:rStyle w:val="Strong"/>
          <w:rFonts w:asciiTheme="majorBidi" w:hAnsiTheme="majorBidi" w:cstheme="majorBidi"/>
        </w:rPr>
        <w:t>1.6 cm kyr⁻¹</w:t>
      </w:r>
      <w:r w:rsidR="00301650" w:rsidRPr="003F4289">
        <w:rPr>
          <w:rFonts w:asciiTheme="majorBidi" w:hAnsiTheme="majorBidi" w:cstheme="majorBidi"/>
        </w:rPr>
        <w:t xml:space="preserve"> for tuning to the 405-kyr eccentricity cycle. </w:t>
      </w:r>
      <w:r w:rsidR="00301650" w:rsidRPr="003F4289">
        <w:rPr>
          <w:rStyle w:val="Strong"/>
          <w:rFonts w:asciiTheme="majorBidi" w:hAnsiTheme="majorBidi" w:cstheme="majorBidi"/>
        </w:rPr>
        <w:t>(b)</w:t>
      </w:r>
      <w:r w:rsidR="00301650" w:rsidRPr="003F4289">
        <w:rPr>
          <w:rFonts w:asciiTheme="majorBidi" w:hAnsiTheme="majorBidi" w:cstheme="majorBidi"/>
        </w:rPr>
        <w:t xml:space="preserve"> Comparison between the band-pass filtered GR signal (black) and the target 405-kyr eccentricity solution (red), illustrating the close agreement between the sedimentary record and the astronomical target. </w:t>
      </w:r>
      <w:r w:rsidR="00301650" w:rsidRPr="003F4289">
        <w:rPr>
          <w:rStyle w:val="Strong"/>
          <w:rFonts w:asciiTheme="majorBidi" w:hAnsiTheme="majorBidi" w:cstheme="majorBidi"/>
        </w:rPr>
        <w:t>(c)</w:t>
      </w:r>
      <w:r w:rsidR="00301650" w:rsidRPr="003F4289">
        <w:rPr>
          <w:rFonts w:asciiTheme="majorBidi" w:hAnsiTheme="majorBidi" w:cstheme="majorBidi"/>
        </w:rPr>
        <w:t xml:space="preserve"> Evolution of the correlation coefficient (R²; grey line) and statistical significance (red circles) across the range of tested sedimentation rates, with the vertical dashed line indicating the optimum solution adopted for the astrochronological framework. </w:t>
      </w:r>
      <w:r w:rsidR="00301650" w:rsidRPr="003F4289">
        <w:rPr>
          <w:rStyle w:val="Strong"/>
          <w:rFonts w:asciiTheme="majorBidi" w:hAnsiTheme="majorBidi" w:cstheme="majorBidi"/>
        </w:rPr>
        <w:t>(d)</w:t>
      </w:r>
      <w:r w:rsidR="00301650" w:rsidRPr="003F4289">
        <w:rPr>
          <w:rFonts w:asciiTheme="majorBidi" w:hAnsiTheme="majorBidi" w:cstheme="majorBidi"/>
        </w:rPr>
        <w:t xml:space="preserve"> Residual analysis comparing the astronomical target (red) and the tuned GR signal (blue), demonstrating generally low residuals and a robust fit throughout the record. </w:t>
      </w:r>
      <w:r w:rsidR="00301650" w:rsidRPr="003F4289">
        <w:rPr>
          <w:rStyle w:val="Strong"/>
          <w:rFonts w:asciiTheme="majorBidi" w:hAnsiTheme="majorBidi" w:cstheme="majorBidi"/>
        </w:rPr>
        <w:t>(e)</w:t>
      </w:r>
      <w:r w:rsidR="00301650" w:rsidRPr="003F4289">
        <w:rPr>
          <w:rFonts w:asciiTheme="majorBidi" w:hAnsiTheme="majorBidi" w:cstheme="majorBidi"/>
        </w:rPr>
        <w:t xml:space="preserve"> Phase-space (attractor) plot of the tuned signal showing the regularity and continuity of the extracted orbital cyclicity. </w:t>
      </w:r>
      <w:r w:rsidR="00301650" w:rsidRPr="003F4289">
        <w:rPr>
          <w:rStyle w:val="Strong"/>
          <w:rFonts w:asciiTheme="majorBidi" w:hAnsiTheme="majorBidi" w:cstheme="majorBidi"/>
        </w:rPr>
        <w:t>(f)</w:t>
      </w:r>
      <w:r w:rsidR="00301650" w:rsidRPr="003F4289">
        <w:rPr>
          <w:rFonts w:asciiTheme="majorBidi" w:hAnsiTheme="majorBidi" w:cstheme="majorBidi"/>
        </w:rPr>
        <w:t xml:space="preserve"> Multitaper Method (MTM) power spectrum of the astronomically tuned GR record, showing significant spectral peaks corresponding to the 405-kyr long eccentricity cycle and the ~100-, ~40-, ~23-, and ~20-kyr Milankovitch periodicities, confirming preservation of the complete hierarchy of orbital forcing in the BH-02 succession.</w:t>
      </w:r>
    </w:p>
    <w:p w14:paraId="732FF846" w14:textId="58BFA965" w:rsidR="00F400D5" w:rsidRPr="003F4289" w:rsidRDefault="00F400D5" w:rsidP="00301650">
      <w:pPr>
        <w:spacing w:before="100" w:beforeAutospacing="1" w:after="100" w:afterAutospacing="1" w:line="240" w:lineRule="auto"/>
        <w:ind w:firstLine="284"/>
        <w:jc w:val="both"/>
        <w:rPr>
          <w:rFonts w:asciiTheme="majorBidi" w:hAnsiTheme="majorBidi" w:cstheme="majorBidi"/>
          <w:i/>
          <w:iCs/>
          <w:color w:val="FF0000"/>
          <w:lang w:val="en-GB"/>
        </w:rPr>
      </w:pPr>
      <w:r w:rsidRPr="003F4289">
        <w:rPr>
          <w:rFonts w:asciiTheme="majorBidi" w:hAnsiTheme="majorBidi" w:cstheme="majorBidi"/>
          <w:i/>
          <w:iCs/>
          <w:noProof/>
          <w:color w:val="FF0000"/>
          <w:lang w:val="en-US"/>
        </w:rPr>
        <w:drawing>
          <wp:inline distT="0" distB="0" distL="0" distR="0" wp14:anchorId="75673F61" wp14:editId="14F75A63">
            <wp:extent cx="5731510" cy="4144645"/>
            <wp:effectExtent l="0" t="0" r="254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png"/>
                    <pic:cNvPicPr/>
                  </pic:nvPicPr>
                  <pic:blipFill>
                    <a:blip r:embed="rId19" cstate="hqprint">
                      <a:extLst>
                        <a:ext uri="{28A0092B-C50C-407E-A947-70E740481C1C}">
                          <a14:useLocalDpi xmlns:a14="http://schemas.microsoft.com/office/drawing/2010/main" val="0"/>
                        </a:ext>
                      </a:extLst>
                    </a:blip>
                    <a:stretch>
                      <a:fillRect/>
                    </a:stretch>
                  </pic:blipFill>
                  <pic:spPr>
                    <a:xfrm>
                      <a:off x="0" y="0"/>
                      <a:ext cx="5731510" cy="4144645"/>
                    </a:xfrm>
                    <a:prstGeom prst="rect">
                      <a:avLst/>
                    </a:prstGeom>
                  </pic:spPr>
                </pic:pic>
              </a:graphicData>
            </a:graphic>
          </wp:inline>
        </w:drawing>
      </w:r>
    </w:p>
    <w:p w14:paraId="4BD25DEF" w14:textId="54D30E9C" w:rsidR="00301650" w:rsidRPr="003F4289" w:rsidRDefault="00301650" w:rsidP="00301650">
      <w:pPr>
        <w:spacing w:before="100" w:beforeAutospacing="1" w:after="100" w:afterAutospacing="1" w:line="240" w:lineRule="auto"/>
        <w:ind w:firstLine="284"/>
        <w:jc w:val="both"/>
        <w:rPr>
          <w:rFonts w:asciiTheme="majorBidi" w:hAnsiTheme="majorBidi" w:cstheme="majorBidi"/>
          <w:i/>
          <w:iCs/>
          <w:color w:val="FF0000"/>
          <w:lang w:val="en-GB"/>
        </w:rPr>
      </w:pPr>
      <w:r w:rsidRPr="003F4289">
        <w:rPr>
          <w:rStyle w:val="Strong"/>
          <w:rFonts w:asciiTheme="majorBidi" w:hAnsiTheme="majorBidi" w:cstheme="majorBidi"/>
        </w:rPr>
        <w:t>Figure S12.</w:t>
      </w:r>
      <w:r w:rsidRPr="003F4289">
        <w:rPr>
          <w:rFonts w:asciiTheme="majorBidi" w:hAnsiTheme="majorBidi" w:cstheme="majorBidi"/>
        </w:rPr>
        <w:t xml:space="preserve"> Average Spectral Misfit (ASM) analysis used to evaluate the astronomical tuning of the BH-02 gamma-ray record. The three panels show the statistical significance of the tuning based on different ASM metrics. </w:t>
      </w:r>
      <w:r w:rsidRPr="003F4289">
        <w:rPr>
          <w:rStyle w:val="Strong"/>
          <w:rFonts w:asciiTheme="majorBidi" w:hAnsiTheme="majorBidi" w:cstheme="majorBidi"/>
        </w:rPr>
        <w:t>(Top)</w:t>
      </w:r>
      <w:r w:rsidRPr="003F4289">
        <w:rPr>
          <w:rFonts w:asciiTheme="majorBidi" w:hAnsiTheme="majorBidi" w:cstheme="majorBidi"/>
        </w:rPr>
        <w:t xml:space="preserve"> Envelope ASM test (red), comparing the modulation of the sedimentary record with the expected astronomical eccentricity envelope. The relatively high coefficient of determination (</w:t>
      </w:r>
      <w:r w:rsidRPr="003F4289">
        <w:rPr>
          <w:rStyle w:val="Strong"/>
          <w:rFonts w:asciiTheme="majorBidi" w:hAnsiTheme="majorBidi" w:cstheme="majorBidi"/>
        </w:rPr>
        <w:t>R² = 0.672</w:t>
      </w:r>
      <w:r w:rsidRPr="003F4289">
        <w:rPr>
          <w:rFonts w:asciiTheme="majorBidi" w:hAnsiTheme="majorBidi" w:cstheme="majorBidi"/>
        </w:rPr>
        <w:t xml:space="preserve">) and significant </w:t>
      </w:r>
      <w:r w:rsidRPr="003F4289">
        <w:rPr>
          <w:rStyle w:val="Strong"/>
          <w:rFonts w:asciiTheme="majorBidi" w:hAnsiTheme="majorBidi" w:cstheme="majorBidi"/>
        </w:rPr>
        <w:t>p-value = 0.012</w:t>
      </w:r>
      <w:r w:rsidRPr="003F4289">
        <w:rPr>
          <w:rFonts w:asciiTheme="majorBidi" w:hAnsiTheme="majorBidi" w:cstheme="majorBidi"/>
        </w:rPr>
        <w:t xml:space="preserve"> indicate that the amplitude modulation of the tuned record is consistent with orbital forcing. </w:t>
      </w:r>
      <w:r w:rsidRPr="003F4289">
        <w:rPr>
          <w:rStyle w:val="Strong"/>
          <w:rFonts w:asciiTheme="majorBidi" w:hAnsiTheme="majorBidi" w:cstheme="majorBidi"/>
        </w:rPr>
        <w:t>(Middle)</w:t>
      </w:r>
      <w:r w:rsidRPr="003F4289">
        <w:rPr>
          <w:rFonts w:asciiTheme="majorBidi" w:hAnsiTheme="majorBidi" w:cstheme="majorBidi"/>
        </w:rPr>
        <w:t xml:space="preserve"> Power ASM test (grey), evaluating the agreement between the observed and expected spectral power distribution. The low coefficient of determination (</w:t>
      </w:r>
      <w:r w:rsidRPr="003F4289">
        <w:rPr>
          <w:rStyle w:val="Strong"/>
          <w:rFonts w:asciiTheme="majorBidi" w:hAnsiTheme="majorBidi" w:cstheme="majorBidi"/>
        </w:rPr>
        <w:t>R² = 0.144</w:t>
      </w:r>
      <w:r w:rsidRPr="003F4289">
        <w:rPr>
          <w:rFonts w:asciiTheme="majorBidi" w:hAnsiTheme="majorBidi" w:cstheme="majorBidi"/>
        </w:rPr>
        <w:t xml:space="preserve">) and non-significant </w:t>
      </w:r>
      <w:r w:rsidRPr="003F4289">
        <w:rPr>
          <w:rStyle w:val="Strong"/>
          <w:rFonts w:asciiTheme="majorBidi" w:hAnsiTheme="majorBidi" w:cstheme="majorBidi"/>
        </w:rPr>
        <w:t>p-value = 0.916</w:t>
      </w:r>
      <w:r w:rsidRPr="003F4289">
        <w:rPr>
          <w:rFonts w:asciiTheme="majorBidi" w:hAnsiTheme="majorBidi" w:cstheme="majorBidi"/>
        </w:rPr>
        <w:t xml:space="preserve"> indicate that spectral power alone provides little discriminatory support for the tuning solution. </w:t>
      </w:r>
      <w:r w:rsidRPr="003F4289">
        <w:rPr>
          <w:rStyle w:val="Strong"/>
          <w:rFonts w:asciiTheme="majorBidi" w:hAnsiTheme="majorBidi" w:cstheme="majorBidi"/>
        </w:rPr>
        <w:t>(Bottom)</w:t>
      </w:r>
      <w:r w:rsidRPr="003F4289">
        <w:rPr>
          <w:rFonts w:asciiTheme="majorBidi" w:hAnsiTheme="majorBidi" w:cstheme="majorBidi"/>
        </w:rPr>
        <w:t xml:space="preserve"> Optimal ASM test (black), assessing the overall tuning performance using the combined optimal metric. The low </w:t>
      </w:r>
      <w:r w:rsidRPr="003F4289">
        <w:rPr>
          <w:rStyle w:val="Strong"/>
          <w:rFonts w:asciiTheme="majorBidi" w:hAnsiTheme="majorBidi" w:cstheme="majorBidi"/>
        </w:rPr>
        <w:t>R² = 0.093</w:t>
      </w:r>
      <w:r w:rsidRPr="003F4289">
        <w:rPr>
          <w:rFonts w:asciiTheme="majorBidi" w:hAnsiTheme="majorBidi" w:cstheme="majorBidi"/>
        </w:rPr>
        <w:t xml:space="preserve"> and non-significant </w:t>
      </w:r>
      <w:r w:rsidRPr="003F4289">
        <w:rPr>
          <w:rStyle w:val="Strong"/>
          <w:rFonts w:asciiTheme="majorBidi" w:hAnsiTheme="majorBidi" w:cstheme="majorBidi"/>
        </w:rPr>
        <w:t>p-value = 0.455</w:t>
      </w:r>
      <w:r w:rsidRPr="003F4289">
        <w:rPr>
          <w:rFonts w:asciiTheme="majorBidi" w:hAnsiTheme="majorBidi" w:cstheme="majorBidi"/>
        </w:rPr>
        <w:t xml:space="preserve"> suggest that, despite weaker support from the power-based metrics, the statistically significant envelope test provides the primary evidence supporting the astronomical calibration of the BH-02 record. Vertical dashed lines indicate the values obtained for the preferred tuning solution relative to the Monte Carlo distributions generated by the ASM analysis.</w:t>
      </w:r>
    </w:p>
    <w:bookmarkEnd w:id="1"/>
    <w:p w14:paraId="67A75D9A" w14:textId="239AAB87" w:rsidR="00F400D5" w:rsidRPr="003F4289" w:rsidRDefault="00F400D5" w:rsidP="00301650">
      <w:pPr>
        <w:spacing w:line="240" w:lineRule="auto"/>
        <w:jc w:val="both"/>
        <w:rPr>
          <w:rFonts w:asciiTheme="majorBidi" w:hAnsiTheme="majorBidi" w:cstheme="majorBidi"/>
        </w:rPr>
      </w:pPr>
      <w:r w:rsidRPr="003F4289">
        <w:rPr>
          <w:rFonts w:asciiTheme="majorBidi" w:hAnsiTheme="majorBidi" w:cstheme="majorBidi"/>
          <w:noProof/>
          <w:lang w:val="en-US"/>
        </w:rPr>
        <w:drawing>
          <wp:inline distT="0" distB="0" distL="0" distR="0" wp14:anchorId="70533C0A" wp14:editId="44C85CBA">
            <wp:extent cx="5233768" cy="638810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dimentation rates maps.png"/>
                    <pic:cNvPicPr/>
                  </pic:nvPicPr>
                  <pic:blipFill>
                    <a:blip r:embed="rId20" cstate="hqprint">
                      <a:extLst>
                        <a:ext uri="{28A0092B-C50C-407E-A947-70E740481C1C}">
                          <a14:useLocalDpi xmlns:a14="http://schemas.microsoft.com/office/drawing/2010/main" val="0"/>
                        </a:ext>
                      </a:extLst>
                    </a:blip>
                    <a:stretch>
                      <a:fillRect/>
                    </a:stretch>
                  </pic:blipFill>
                  <pic:spPr>
                    <a:xfrm>
                      <a:off x="0" y="0"/>
                      <a:ext cx="5242913" cy="6399262"/>
                    </a:xfrm>
                    <a:prstGeom prst="rect">
                      <a:avLst/>
                    </a:prstGeom>
                  </pic:spPr>
                </pic:pic>
              </a:graphicData>
            </a:graphic>
          </wp:inline>
        </w:drawing>
      </w:r>
      <w:r w:rsidR="00301650" w:rsidRPr="003F4289">
        <w:rPr>
          <w:rStyle w:val="Strong"/>
          <w:rFonts w:asciiTheme="majorBidi" w:hAnsiTheme="majorBidi" w:cstheme="majorBidi"/>
        </w:rPr>
        <w:t>Figure S13.</w:t>
      </w:r>
      <w:r w:rsidR="00301650" w:rsidRPr="003F4289">
        <w:rPr>
          <w:rFonts w:asciiTheme="majorBidi" w:hAnsiTheme="majorBidi" w:cstheme="majorBidi"/>
        </w:rPr>
        <w:t xml:space="preserve"> Sedimentation-rate estimates derived from spectral analyses of the BH-02 gamma-ray (GR) and potassium (K) records. </w:t>
      </w:r>
      <w:r w:rsidR="00301650" w:rsidRPr="003F4289">
        <w:rPr>
          <w:rStyle w:val="Strong"/>
          <w:rFonts w:asciiTheme="majorBidi" w:hAnsiTheme="majorBidi" w:cstheme="majorBidi"/>
        </w:rPr>
        <w:t>(A)</w:t>
      </w:r>
      <w:r w:rsidR="00301650" w:rsidRPr="003F4289">
        <w:rPr>
          <w:rFonts w:asciiTheme="majorBidi" w:hAnsiTheme="majorBidi" w:cstheme="majorBidi"/>
        </w:rPr>
        <w:t xml:space="preserve"> Evolutive Average Spectral Misfit (eASM) analysis of the gamma-ray (GR) record. The upper panels show the mean sedimentation-rate estimates obtained from the spectral optimization, while the lower panels illustrate the corresponding depth-dependent sedimentation-rate evolution. The white stepped curve represents the optimal sedimentation-rate model, indicating relatively stable accumulation rates averaging </w:t>
      </w:r>
      <w:r w:rsidR="00301650" w:rsidRPr="003F4289">
        <w:rPr>
          <w:rStyle w:val="Strong"/>
          <w:rFonts w:asciiTheme="majorBidi" w:hAnsiTheme="majorBidi" w:cstheme="majorBidi"/>
        </w:rPr>
        <w:t>~1.8 cm kyr⁻¹</w:t>
      </w:r>
      <w:r w:rsidR="00301650" w:rsidRPr="003F4289">
        <w:rPr>
          <w:rFonts w:asciiTheme="majorBidi" w:hAnsiTheme="majorBidi" w:cstheme="majorBidi"/>
        </w:rPr>
        <w:t xml:space="preserve"> throughout most of the Tithonian–Berriasian succession, with localized intervals of higher and lower sedimentation rates. </w:t>
      </w:r>
      <w:r w:rsidR="00301650" w:rsidRPr="003F4289">
        <w:rPr>
          <w:rStyle w:val="Strong"/>
          <w:rFonts w:asciiTheme="majorBidi" w:hAnsiTheme="majorBidi" w:cstheme="majorBidi"/>
        </w:rPr>
        <w:t>(B)</w:t>
      </w:r>
      <w:r w:rsidR="00301650" w:rsidRPr="003F4289">
        <w:rPr>
          <w:rFonts w:asciiTheme="majorBidi" w:hAnsiTheme="majorBidi" w:cstheme="majorBidi"/>
        </w:rPr>
        <w:t xml:space="preserve"> Equivalent eASM results obtained from the potassium (K) record. The K-derived model yields a mean sedimentation rate of </w:t>
      </w:r>
      <w:r w:rsidR="00301650" w:rsidRPr="003F4289">
        <w:rPr>
          <w:rStyle w:val="Strong"/>
          <w:rFonts w:asciiTheme="majorBidi" w:hAnsiTheme="majorBidi" w:cstheme="majorBidi"/>
        </w:rPr>
        <w:t>~2.2 cm kyr⁻¹</w:t>
      </w:r>
      <w:r w:rsidR="00301650" w:rsidRPr="003F4289">
        <w:rPr>
          <w:rFonts w:asciiTheme="majorBidi" w:hAnsiTheme="majorBidi" w:cstheme="majorBidi"/>
        </w:rPr>
        <w:t xml:space="preserve">, displaying a stratigraphic pattern comparable to that derived from the GR record and confirming the consistency of both proxies for astrochronological analysis. </w:t>
      </w:r>
      <w:r w:rsidR="00301650" w:rsidRPr="003F4289">
        <w:rPr>
          <w:rStyle w:val="Strong"/>
          <w:rFonts w:asciiTheme="majorBidi" w:hAnsiTheme="majorBidi" w:cstheme="majorBidi"/>
        </w:rPr>
        <w:t>(C–D)</w:t>
      </w:r>
      <w:r w:rsidR="00301650" w:rsidRPr="003F4289">
        <w:rPr>
          <w:rFonts w:asciiTheme="majorBidi" w:hAnsiTheme="majorBidi" w:cstheme="majorBidi"/>
        </w:rPr>
        <w:t xml:space="preserve"> Correlation Coefficient (COCO) analyses performed at </w:t>
      </w:r>
      <w:r w:rsidR="00301650" w:rsidRPr="003F4289">
        <w:rPr>
          <w:rStyle w:val="Strong"/>
          <w:rFonts w:asciiTheme="majorBidi" w:hAnsiTheme="majorBidi" w:cstheme="majorBidi"/>
        </w:rPr>
        <w:t>145 Ma</w:t>
      </w:r>
      <w:r w:rsidR="00301650" w:rsidRPr="003F4289">
        <w:rPr>
          <w:rFonts w:asciiTheme="majorBidi" w:hAnsiTheme="majorBidi" w:cstheme="majorBidi"/>
        </w:rPr>
        <w:t xml:space="preserve"> using the Hilbert-transform sedimentation-length (HSL) method for the GR (</w:t>
      </w:r>
      <w:r w:rsidR="00301650" w:rsidRPr="003F4289">
        <w:rPr>
          <w:rStyle w:val="Strong"/>
          <w:rFonts w:asciiTheme="majorBidi" w:hAnsiTheme="majorBidi" w:cstheme="majorBidi"/>
        </w:rPr>
        <w:t>C</w:t>
      </w:r>
      <w:r w:rsidR="00301650" w:rsidRPr="003F4289">
        <w:rPr>
          <w:rFonts w:asciiTheme="majorBidi" w:hAnsiTheme="majorBidi" w:cstheme="majorBidi"/>
        </w:rPr>
        <w:t>) and K (</w:t>
      </w:r>
      <w:r w:rsidR="00301650" w:rsidRPr="003F4289">
        <w:rPr>
          <w:rStyle w:val="Strong"/>
          <w:rFonts w:asciiTheme="majorBidi" w:hAnsiTheme="majorBidi" w:cstheme="majorBidi"/>
        </w:rPr>
        <w:t>D</w:t>
      </w:r>
      <w:r w:rsidR="00301650" w:rsidRPr="003F4289">
        <w:rPr>
          <w:rFonts w:asciiTheme="majorBidi" w:hAnsiTheme="majorBidi" w:cstheme="majorBidi"/>
        </w:rPr>
        <w:t xml:space="preserve">) records. Both analyses identify sedimentation rates predominantly between </w:t>
      </w:r>
      <w:r w:rsidR="00301650" w:rsidRPr="003F4289">
        <w:rPr>
          <w:rStyle w:val="Strong"/>
          <w:rFonts w:asciiTheme="majorBidi" w:hAnsiTheme="majorBidi" w:cstheme="majorBidi"/>
        </w:rPr>
        <w:t>~1.5 and 2.5 cm kyr⁻¹</w:t>
      </w:r>
      <w:r w:rsidR="00301650" w:rsidRPr="003F4289">
        <w:rPr>
          <w:rFonts w:asciiTheme="majorBidi" w:hAnsiTheme="majorBidi" w:cstheme="majorBidi"/>
        </w:rPr>
        <w:t>, with similar down-core trends, providing independent support for the sedimentation-rate model adopted for the astronomical tuning. The convergence of eASM and COCO results from both GR and K records demonstrates the robustness of the inferred accumulation history and the cyclostratigraphic interpretation of the BH-02 succession.</w:t>
      </w:r>
      <w:r w:rsidRPr="003F4289">
        <w:rPr>
          <w:rFonts w:asciiTheme="majorBidi" w:hAnsiTheme="majorBidi" w:cstheme="majorBidi"/>
          <w:noProof/>
          <w:color w:val="000000"/>
          <w:lang w:val="en-US"/>
        </w:rPr>
        <w:drawing>
          <wp:inline distT="0" distB="0" distL="0" distR="0" wp14:anchorId="7A92F4DE" wp14:editId="430F4306">
            <wp:extent cx="5382260" cy="4857511"/>
            <wp:effectExtent l="0" t="0" r="889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MTM.png"/>
                    <pic:cNvPicPr/>
                  </pic:nvPicPr>
                  <pic:blipFill>
                    <a:blip r:embed="rId21" cstate="hqprint">
                      <a:extLst>
                        <a:ext uri="{28A0092B-C50C-407E-A947-70E740481C1C}">
                          <a14:useLocalDpi xmlns:a14="http://schemas.microsoft.com/office/drawing/2010/main" val="0"/>
                        </a:ext>
                      </a:extLst>
                    </a:blip>
                    <a:stretch>
                      <a:fillRect/>
                    </a:stretch>
                  </pic:blipFill>
                  <pic:spPr>
                    <a:xfrm>
                      <a:off x="0" y="0"/>
                      <a:ext cx="5383929" cy="4859017"/>
                    </a:xfrm>
                    <a:prstGeom prst="rect">
                      <a:avLst/>
                    </a:prstGeom>
                  </pic:spPr>
                </pic:pic>
              </a:graphicData>
            </a:graphic>
          </wp:inline>
        </w:drawing>
      </w:r>
    </w:p>
    <w:p w14:paraId="62B22C47" w14:textId="7CAA178F" w:rsidR="00301650" w:rsidRPr="003F4289" w:rsidRDefault="00301650" w:rsidP="00301650">
      <w:pPr>
        <w:spacing w:before="100" w:beforeAutospacing="1" w:after="100" w:afterAutospacing="1" w:line="240" w:lineRule="auto"/>
        <w:rPr>
          <w:rFonts w:asciiTheme="majorBidi" w:eastAsia="Times New Roman" w:hAnsiTheme="majorBidi" w:cstheme="majorBidi"/>
          <w:kern w:val="0"/>
          <w:lang w:val="en-US"/>
          <w14:ligatures w14:val="none"/>
        </w:rPr>
      </w:pPr>
      <w:r w:rsidRPr="003F4289">
        <w:rPr>
          <w:rFonts w:asciiTheme="majorBidi" w:eastAsia="Times New Roman" w:hAnsiTheme="majorBidi" w:cstheme="majorBidi"/>
          <w:b/>
          <w:bCs/>
          <w:kern w:val="0"/>
          <w:lang w:val="en-US"/>
          <w14:ligatures w14:val="none"/>
        </w:rPr>
        <w:t>Figure S14.</w:t>
      </w:r>
      <w:r w:rsidRPr="003F4289">
        <w:rPr>
          <w:rFonts w:asciiTheme="majorBidi" w:eastAsia="Times New Roman" w:hAnsiTheme="majorBidi" w:cstheme="majorBidi"/>
          <w:kern w:val="0"/>
          <w:lang w:val="en-US"/>
          <w14:ligatures w14:val="none"/>
        </w:rPr>
        <w:t xml:space="preserve"> Multitaper Method (MTM) spectral analyses of the BH-02 gamma-ray (GR) and potassium (K) records before and after astronomical tuning. Black curves represent the power spectra of the analyzed records, whereas the coloured lines denote the robust AR(1) confidence levels (90%, 95%, 99%, and 99.9%). Grey bars indicate the expected frequency ranges of the principal Milankovitch cycles: long eccentricity (E; ~405 kyr), short eccentricity (e; ~100 kyr), obliquity (O; ~40 kyr), and precession (P; ~23–20 kyr). Shaded vertical bands highlight the statistically significant orbital frequencies identified in each analysis. The untuned depth-domain spectra display dominant wavelengths corresponding to the 405-kyr and ~100-kyr eccentricity cycles, with weaker expressions of obliquity and precession. Following astronomical calibration, the time-domain spectra exhibit significant peaks at the expected orbital periods (~405, ~100, ~40, ~23, and ~20 kyr), confirming that the tuning accurately recovers the complete hierarchy of Milankovitch forcing. Comparable spectral signatures obtained from both the GR and K records further demonstrate that the orbital signal is robust and reproducible across independent downhole proxies.</w:t>
      </w:r>
    </w:p>
    <w:p w14:paraId="1ABED954" w14:textId="6E39F2F0" w:rsidR="00F400D5" w:rsidRPr="003F4289" w:rsidRDefault="00F400D5" w:rsidP="00301650">
      <w:pPr>
        <w:spacing w:line="240" w:lineRule="auto"/>
        <w:jc w:val="both"/>
        <w:rPr>
          <w:rFonts w:asciiTheme="majorBidi" w:hAnsiTheme="majorBidi" w:cstheme="majorBidi"/>
        </w:rPr>
      </w:pPr>
      <w:r w:rsidRPr="003F4289">
        <w:rPr>
          <w:rFonts w:asciiTheme="majorBidi" w:hAnsiTheme="majorBidi" w:cstheme="majorBidi"/>
          <w:noProof/>
          <w:lang w:val="en-US"/>
        </w:rPr>
        <w:drawing>
          <wp:inline distT="0" distB="0" distL="0" distR="0" wp14:anchorId="2165DBD6" wp14:editId="22B7D0D4">
            <wp:extent cx="5234179" cy="8702641"/>
            <wp:effectExtent l="0" t="0" r="508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10.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45287" cy="8721110"/>
                    </a:xfrm>
                    <a:prstGeom prst="rect">
                      <a:avLst/>
                    </a:prstGeom>
                  </pic:spPr>
                </pic:pic>
              </a:graphicData>
            </a:graphic>
          </wp:inline>
        </w:drawing>
      </w:r>
    </w:p>
    <w:p w14:paraId="4029E669" w14:textId="708F4AEA" w:rsidR="00301650" w:rsidRPr="003F4289" w:rsidRDefault="00301650" w:rsidP="00301650">
      <w:pPr>
        <w:spacing w:line="240" w:lineRule="auto"/>
        <w:jc w:val="both"/>
        <w:rPr>
          <w:rFonts w:asciiTheme="majorBidi" w:hAnsiTheme="majorBidi" w:cstheme="majorBidi"/>
        </w:rPr>
      </w:pPr>
      <w:r w:rsidRPr="003F4289">
        <w:rPr>
          <w:rStyle w:val="Strong"/>
          <w:rFonts w:asciiTheme="majorBidi" w:hAnsiTheme="majorBidi" w:cstheme="majorBidi"/>
        </w:rPr>
        <w:t>Figure S15.</w:t>
      </w:r>
      <w:r w:rsidRPr="003F4289">
        <w:rPr>
          <w:rFonts w:asciiTheme="majorBidi" w:hAnsiTheme="majorBidi" w:cstheme="majorBidi"/>
        </w:rPr>
        <w:t xml:space="preserve"> Wavelet and Fast Fourier Transform (FFT) analyses of the BH-02 gamma-ray (GR) and potassium (K) records in the depth domain. The upper row presents results for the </w:t>
      </w:r>
      <w:r w:rsidRPr="003F4289">
        <w:rPr>
          <w:rStyle w:val="Strong"/>
          <w:rFonts w:asciiTheme="majorBidi" w:hAnsiTheme="majorBidi" w:cstheme="majorBidi"/>
        </w:rPr>
        <w:t>gamma-ray (GR)</w:t>
      </w:r>
      <w:r w:rsidRPr="003F4289">
        <w:rPr>
          <w:rFonts w:asciiTheme="majorBidi" w:hAnsiTheme="majorBidi" w:cstheme="majorBidi"/>
        </w:rPr>
        <w:t xml:space="preserve"> record, whereas the lower row shows the corresponding analyses for the </w:t>
      </w:r>
      <w:r w:rsidRPr="003F4289">
        <w:rPr>
          <w:rStyle w:val="Strong"/>
          <w:rFonts w:asciiTheme="majorBidi" w:hAnsiTheme="majorBidi" w:cstheme="majorBidi"/>
        </w:rPr>
        <w:t>potassium (K)</w:t>
      </w:r>
      <w:r w:rsidRPr="003F4289">
        <w:rPr>
          <w:rFonts w:asciiTheme="majorBidi" w:hAnsiTheme="majorBidi" w:cstheme="majorBidi"/>
        </w:rPr>
        <w:t xml:space="preserve"> record. For each proxy, panels from left to right show the original record, the detrended signal used for spectral analysis, the evolutive Fast Fourier Transform (FFT) spectrogram, and the continuous wavelet transform (CWT) power spectrum. The FFT spectrograms reveal persistent cyclicities with dominant wavelengths of approximately </w:t>
      </w:r>
      <w:r w:rsidRPr="003F4289">
        <w:rPr>
          <w:rStyle w:val="Strong"/>
          <w:rFonts w:asciiTheme="majorBidi" w:hAnsiTheme="majorBidi" w:cstheme="majorBidi"/>
        </w:rPr>
        <w:t>7 m</w:t>
      </w:r>
      <w:r w:rsidRPr="003F4289">
        <w:rPr>
          <w:rFonts w:asciiTheme="majorBidi" w:hAnsiTheme="majorBidi" w:cstheme="majorBidi"/>
        </w:rPr>
        <w:t xml:space="preserve">, </w:t>
      </w:r>
      <w:r w:rsidRPr="003F4289">
        <w:rPr>
          <w:rStyle w:val="Strong"/>
          <w:rFonts w:asciiTheme="majorBidi" w:hAnsiTheme="majorBidi" w:cstheme="majorBidi"/>
        </w:rPr>
        <w:t>3 m</w:t>
      </w:r>
      <w:r w:rsidRPr="003F4289">
        <w:rPr>
          <w:rFonts w:asciiTheme="majorBidi" w:hAnsiTheme="majorBidi" w:cstheme="majorBidi"/>
        </w:rPr>
        <w:t xml:space="preserve">, and </w:t>
      </w:r>
      <w:r w:rsidRPr="003F4289">
        <w:rPr>
          <w:rStyle w:val="Strong"/>
          <w:rFonts w:asciiTheme="majorBidi" w:hAnsiTheme="majorBidi" w:cstheme="majorBidi"/>
        </w:rPr>
        <w:t>1.2–1.8 m</w:t>
      </w:r>
      <w:r w:rsidRPr="003F4289">
        <w:rPr>
          <w:rFonts w:asciiTheme="majorBidi" w:hAnsiTheme="majorBidi" w:cstheme="majorBidi"/>
        </w:rPr>
        <w:t xml:space="preserve">, interpreted respectively as expressions of the </w:t>
      </w:r>
      <w:r w:rsidRPr="003F4289">
        <w:rPr>
          <w:rStyle w:val="Strong"/>
          <w:rFonts w:asciiTheme="majorBidi" w:hAnsiTheme="majorBidi" w:cstheme="majorBidi"/>
        </w:rPr>
        <w:t>405-kyr long eccentricity</w:t>
      </w:r>
      <w:r w:rsidRPr="003F4289">
        <w:rPr>
          <w:rFonts w:asciiTheme="majorBidi" w:hAnsiTheme="majorBidi" w:cstheme="majorBidi"/>
        </w:rPr>
        <w:t xml:space="preserve">, </w:t>
      </w:r>
      <w:r w:rsidRPr="003F4289">
        <w:rPr>
          <w:rStyle w:val="Strong"/>
          <w:rFonts w:asciiTheme="majorBidi" w:hAnsiTheme="majorBidi" w:cstheme="majorBidi"/>
        </w:rPr>
        <w:t>~100-kyr short eccentricity</w:t>
      </w:r>
      <w:r w:rsidRPr="003F4289">
        <w:rPr>
          <w:rFonts w:asciiTheme="majorBidi" w:hAnsiTheme="majorBidi" w:cstheme="majorBidi"/>
        </w:rPr>
        <w:t xml:space="preserve">, and </w:t>
      </w:r>
      <w:r w:rsidRPr="003F4289">
        <w:rPr>
          <w:rStyle w:val="Strong"/>
          <w:rFonts w:asciiTheme="majorBidi" w:hAnsiTheme="majorBidi" w:cstheme="majorBidi"/>
        </w:rPr>
        <w:t>precession-scale</w:t>
      </w:r>
      <w:r w:rsidRPr="003F4289">
        <w:rPr>
          <w:rFonts w:asciiTheme="majorBidi" w:hAnsiTheme="majorBidi" w:cstheme="majorBidi"/>
        </w:rPr>
        <w:t xml:space="preserve"> orbital forcing under the preferred sedimentation-rate model. The wavelet spectra confirm that these cyclicities are maintained throughout most of the studied interval, with the strongest and most continuous power concentrated in the long- and short-eccentricity bands. The close correspondence between the GR and K spectral patterns demonstrates that both proxies preserve the same hierarchy of orbital cycles, providing independent support for the cyclostratigraphic interpretation and the astronomical calibration of the BH-02 succession.</w:t>
      </w:r>
    </w:p>
    <w:p w14:paraId="61F3FD6E" w14:textId="77777777" w:rsidR="00301650" w:rsidRPr="003F4289" w:rsidRDefault="00301650" w:rsidP="00301650">
      <w:pPr>
        <w:spacing w:line="240" w:lineRule="auto"/>
        <w:jc w:val="both"/>
        <w:rPr>
          <w:rFonts w:asciiTheme="majorBidi" w:hAnsiTheme="majorBidi" w:cstheme="majorBidi"/>
          <w:color w:val="1F1F1F"/>
          <w:highlight w:val="yellow"/>
        </w:rPr>
      </w:pPr>
    </w:p>
    <w:p w14:paraId="684E4684" w14:textId="12973A88" w:rsidR="00301650" w:rsidRPr="003F4289" w:rsidRDefault="00301650" w:rsidP="00301650">
      <w:pPr>
        <w:spacing w:line="240" w:lineRule="auto"/>
        <w:ind w:firstLine="284"/>
        <w:jc w:val="both"/>
        <w:rPr>
          <w:rFonts w:asciiTheme="majorBidi" w:hAnsiTheme="majorBidi" w:cstheme="majorBidi"/>
          <w:lang w:val="en-US"/>
        </w:rPr>
      </w:pPr>
      <w:r w:rsidRPr="003F4289">
        <w:rPr>
          <w:rFonts w:asciiTheme="majorBidi" w:hAnsiTheme="majorBidi" w:cstheme="majorBidi"/>
          <w:b/>
          <w:bCs/>
          <w:lang w:val="en-US"/>
        </w:rPr>
        <w:t xml:space="preserve">Table S1. </w:t>
      </w:r>
      <w:r w:rsidRPr="003F4289">
        <w:rPr>
          <w:rFonts w:asciiTheme="majorBidi" w:hAnsiTheme="majorBidi" w:cstheme="majorBidi"/>
          <w:lang w:val="en-US"/>
        </w:rPr>
        <w:t>Summary of age model and main event for the Tithonian –Berriasian Sulaiy Formation</w:t>
      </w:r>
    </w:p>
    <w:p w14:paraId="26A43313" w14:textId="09F89301" w:rsidR="00F400D5" w:rsidRPr="003F4289" w:rsidRDefault="00F400D5" w:rsidP="00301650">
      <w:pPr>
        <w:spacing w:line="240" w:lineRule="auto"/>
        <w:jc w:val="both"/>
        <w:rPr>
          <w:rFonts w:asciiTheme="majorBidi" w:hAnsiTheme="majorBidi" w:cstheme="majorBidi"/>
          <w:color w:val="1F1F1F"/>
          <w:highlight w:val="yellow"/>
          <w:lang w:val="en-US"/>
        </w:rPr>
      </w:pPr>
    </w:p>
    <w:tbl>
      <w:tblPr>
        <w:tblStyle w:val="TableGrid"/>
        <w:tblW w:w="11216" w:type="dxa"/>
        <w:jc w:val="center"/>
        <w:tblLayout w:type="fixed"/>
        <w:tblLook w:val="04A0" w:firstRow="1" w:lastRow="0" w:firstColumn="1" w:lastColumn="0" w:noHBand="0" w:noVBand="1"/>
      </w:tblPr>
      <w:tblGrid>
        <w:gridCol w:w="1795"/>
        <w:gridCol w:w="830"/>
        <w:gridCol w:w="1420"/>
        <w:gridCol w:w="1440"/>
        <w:gridCol w:w="1665"/>
        <w:gridCol w:w="1784"/>
        <w:gridCol w:w="1141"/>
        <w:gridCol w:w="1141"/>
      </w:tblGrid>
      <w:tr w:rsidR="00943C29" w:rsidRPr="003F4289" w14:paraId="5C296DB0" w14:textId="77777777" w:rsidTr="002B4F60">
        <w:trPr>
          <w:trHeight w:val="980"/>
          <w:jc w:val="center"/>
        </w:trPr>
        <w:tc>
          <w:tcPr>
            <w:tcW w:w="1795" w:type="dxa"/>
          </w:tcPr>
          <w:p w14:paraId="287F9F5F" w14:textId="77777777" w:rsidR="00943C29" w:rsidRPr="003F4289" w:rsidRDefault="00943C29" w:rsidP="00301650">
            <w:pPr>
              <w:pStyle w:val="NormalWeb"/>
              <w:ind w:firstLine="360"/>
              <w:jc w:val="both"/>
              <w:rPr>
                <w:rFonts w:asciiTheme="majorBidi" w:eastAsiaTheme="minorHAnsi" w:hAnsiTheme="majorBidi" w:cstheme="majorBidi"/>
                <w:b/>
                <w:bCs/>
                <w:color w:val="000000"/>
                <w:sz w:val="22"/>
                <w:szCs w:val="22"/>
              </w:rPr>
            </w:pPr>
            <w:r w:rsidRPr="003F4289">
              <w:rPr>
                <w:rFonts w:asciiTheme="majorBidi" w:eastAsiaTheme="minorHAnsi" w:hAnsiTheme="majorBidi" w:cstheme="majorBidi"/>
                <w:b/>
                <w:bCs/>
                <w:color w:val="000000"/>
                <w:sz w:val="22"/>
                <w:szCs w:val="22"/>
              </w:rPr>
              <w:t>Events</w:t>
            </w:r>
          </w:p>
        </w:tc>
        <w:tc>
          <w:tcPr>
            <w:tcW w:w="830" w:type="dxa"/>
          </w:tcPr>
          <w:p w14:paraId="4311C5CB" w14:textId="77777777" w:rsidR="00943C29" w:rsidRPr="003F4289" w:rsidRDefault="00943C29" w:rsidP="00301650">
            <w:pPr>
              <w:pStyle w:val="NormalWeb"/>
              <w:jc w:val="both"/>
              <w:rPr>
                <w:rFonts w:asciiTheme="majorBidi" w:eastAsiaTheme="minorHAnsi" w:hAnsiTheme="majorBidi" w:cstheme="majorBidi"/>
                <w:b/>
                <w:bCs/>
                <w:color w:val="000000"/>
                <w:sz w:val="22"/>
                <w:szCs w:val="22"/>
              </w:rPr>
            </w:pPr>
            <w:r w:rsidRPr="003F4289">
              <w:rPr>
                <w:rFonts w:asciiTheme="majorBidi" w:eastAsiaTheme="minorHAnsi" w:hAnsiTheme="majorBidi" w:cstheme="majorBidi"/>
                <w:b/>
                <w:bCs/>
                <w:color w:val="000000"/>
                <w:sz w:val="22"/>
                <w:szCs w:val="22"/>
              </w:rPr>
              <w:t>Depth (m)</w:t>
            </w:r>
          </w:p>
        </w:tc>
        <w:tc>
          <w:tcPr>
            <w:tcW w:w="1420" w:type="dxa"/>
          </w:tcPr>
          <w:p w14:paraId="1BDDE520" w14:textId="77777777" w:rsidR="00943C29" w:rsidRPr="003F4289" w:rsidRDefault="00943C29" w:rsidP="00301650">
            <w:pPr>
              <w:pStyle w:val="NormalWeb"/>
              <w:ind w:firstLine="360"/>
              <w:jc w:val="both"/>
              <w:rPr>
                <w:rFonts w:asciiTheme="majorBidi" w:eastAsiaTheme="minorHAnsi" w:hAnsiTheme="majorBidi" w:cstheme="majorBidi"/>
                <w:b/>
                <w:bCs/>
                <w:color w:val="000000"/>
                <w:sz w:val="22"/>
                <w:szCs w:val="22"/>
              </w:rPr>
            </w:pPr>
            <w:r w:rsidRPr="003F4289">
              <w:rPr>
                <w:rFonts w:asciiTheme="majorBidi" w:eastAsiaTheme="minorHAnsi" w:hAnsiTheme="majorBidi" w:cstheme="majorBidi"/>
                <w:b/>
                <w:bCs/>
                <w:color w:val="000000"/>
                <w:sz w:val="22"/>
                <w:szCs w:val="22"/>
              </w:rPr>
              <w:t>Depth error (m)</w:t>
            </w:r>
          </w:p>
        </w:tc>
        <w:tc>
          <w:tcPr>
            <w:tcW w:w="1440" w:type="dxa"/>
          </w:tcPr>
          <w:p w14:paraId="2AABB114" w14:textId="77777777" w:rsidR="00943C29" w:rsidRPr="003F4289" w:rsidRDefault="00943C29" w:rsidP="00301650">
            <w:pPr>
              <w:pStyle w:val="NormalWeb"/>
              <w:jc w:val="both"/>
              <w:rPr>
                <w:rFonts w:asciiTheme="majorBidi" w:eastAsiaTheme="minorHAnsi" w:hAnsiTheme="majorBidi" w:cstheme="majorBidi"/>
                <w:b/>
                <w:bCs/>
                <w:color w:val="000000"/>
                <w:sz w:val="22"/>
                <w:szCs w:val="22"/>
              </w:rPr>
            </w:pPr>
            <w:r w:rsidRPr="003F4289">
              <w:rPr>
                <w:rFonts w:asciiTheme="majorBidi" w:eastAsiaTheme="minorHAnsi" w:hAnsiTheme="majorBidi" w:cstheme="majorBidi"/>
                <w:b/>
                <w:bCs/>
                <w:color w:val="000000"/>
                <w:sz w:val="22"/>
                <w:szCs w:val="22"/>
              </w:rPr>
              <w:t>Age (Ma)</w:t>
            </w:r>
          </w:p>
          <w:p w14:paraId="17B50570" w14:textId="77777777" w:rsidR="00943C29" w:rsidRPr="003F4289" w:rsidRDefault="00943C29" w:rsidP="00301650">
            <w:pPr>
              <w:pStyle w:val="NormalWeb"/>
              <w:jc w:val="both"/>
              <w:rPr>
                <w:rFonts w:asciiTheme="majorBidi" w:eastAsiaTheme="minorHAnsi" w:hAnsiTheme="majorBidi" w:cstheme="majorBidi"/>
                <w:b/>
                <w:bCs/>
                <w:color w:val="000000"/>
                <w:sz w:val="22"/>
                <w:szCs w:val="22"/>
              </w:rPr>
            </w:pPr>
            <w:r w:rsidRPr="003F4289">
              <w:rPr>
                <w:rFonts w:asciiTheme="majorBidi" w:eastAsiaTheme="minorHAnsi" w:hAnsiTheme="majorBidi" w:cstheme="majorBidi"/>
                <w:b/>
                <w:bCs/>
                <w:color w:val="000000"/>
                <w:sz w:val="22"/>
                <w:szCs w:val="22"/>
              </w:rPr>
              <w:t>GTS 2020</w:t>
            </w:r>
          </w:p>
        </w:tc>
        <w:tc>
          <w:tcPr>
            <w:tcW w:w="1665" w:type="dxa"/>
            <w:hideMark/>
          </w:tcPr>
          <w:p w14:paraId="169E63DF" w14:textId="77777777" w:rsidR="00943C29" w:rsidRPr="003F4289" w:rsidRDefault="00943C29" w:rsidP="00301650">
            <w:pPr>
              <w:pStyle w:val="NormalWeb"/>
              <w:jc w:val="both"/>
              <w:rPr>
                <w:rFonts w:asciiTheme="majorBidi" w:eastAsiaTheme="minorHAnsi" w:hAnsiTheme="majorBidi" w:cstheme="majorBidi"/>
                <w:b/>
                <w:bCs/>
                <w:color w:val="000000"/>
                <w:sz w:val="22"/>
                <w:szCs w:val="22"/>
              </w:rPr>
            </w:pPr>
            <w:r w:rsidRPr="003F4289">
              <w:rPr>
                <w:rFonts w:asciiTheme="majorBidi" w:eastAsiaTheme="minorHAnsi" w:hAnsiTheme="majorBidi" w:cstheme="majorBidi"/>
                <w:b/>
                <w:bCs/>
                <w:color w:val="000000"/>
                <w:sz w:val="22"/>
                <w:szCs w:val="22"/>
              </w:rPr>
              <w:t>Error (myr)</w:t>
            </w:r>
          </w:p>
          <w:p w14:paraId="556A0EBE" w14:textId="77777777" w:rsidR="00943C29" w:rsidRPr="003F4289" w:rsidRDefault="00943C29" w:rsidP="00301650">
            <w:pPr>
              <w:pStyle w:val="NormalWeb"/>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GTS2020 and Casellato and Erba, 2021</w:t>
            </w:r>
          </w:p>
        </w:tc>
        <w:tc>
          <w:tcPr>
            <w:tcW w:w="1784" w:type="dxa"/>
            <w:hideMark/>
          </w:tcPr>
          <w:p w14:paraId="60C479B8" w14:textId="77777777" w:rsidR="00943C29" w:rsidRPr="003F4289" w:rsidRDefault="00943C29" w:rsidP="00301650">
            <w:pPr>
              <w:pStyle w:val="NormalWeb"/>
              <w:ind w:firstLine="360"/>
              <w:jc w:val="both"/>
              <w:rPr>
                <w:rFonts w:asciiTheme="majorBidi" w:eastAsiaTheme="minorHAnsi" w:hAnsiTheme="majorBidi" w:cstheme="majorBidi"/>
                <w:b/>
                <w:bCs/>
                <w:color w:val="000000"/>
                <w:sz w:val="22"/>
                <w:szCs w:val="22"/>
              </w:rPr>
            </w:pPr>
            <w:r w:rsidRPr="003F4289">
              <w:rPr>
                <w:rFonts w:asciiTheme="majorBidi" w:eastAsiaTheme="minorHAnsi" w:hAnsiTheme="majorBidi" w:cstheme="majorBidi"/>
                <w:b/>
                <w:bCs/>
                <w:color w:val="000000"/>
                <w:sz w:val="22"/>
                <w:szCs w:val="22"/>
              </w:rPr>
              <w:t>Magnetic  polarity</w:t>
            </w:r>
          </w:p>
        </w:tc>
        <w:tc>
          <w:tcPr>
            <w:tcW w:w="1141" w:type="dxa"/>
          </w:tcPr>
          <w:p w14:paraId="6C7E7ADB" w14:textId="77777777" w:rsidR="00943C29" w:rsidRPr="003F4289" w:rsidRDefault="00943C29" w:rsidP="00301650">
            <w:pPr>
              <w:pStyle w:val="NormalWeb"/>
              <w:jc w:val="both"/>
              <w:rPr>
                <w:rFonts w:asciiTheme="majorBidi" w:eastAsiaTheme="minorHAnsi" w:hAnsiTheme="majorBidi" w:cstheme="majorBidi"/>
                <w:b/>
                <w:bCs/>
                <w:color w:val="000000"/>
                <w:sz w:val="22"/>
                <w:szCs w:val="22"/>
              </w:rPr>
            </w:pPr>
            <w:r w:rsidRPr="003F4289">
              <w:rPr>
                <w:rFonts w:asciiTheme="majorBidi" w:eastAsiaTheme="minorHAnsi" w:hAnsiTheme="majorBidi" w:cstheme="majorBidi"/>
                <w:b/>
                <w:bCs/>
                <w:color w:val="000000"/>
                <w:sz w:val="22"/>
                <w:szCs w:val="22"/>
              </w:rPr>
              <w:t>This study</w:t>
            </w:r>
          </w:p>
        </w:tc>
        <w:tc>
          <w:tcPr>
            <w:tcW w:w="1141" w:type="dxa"/>
          </w:tcPr>
          <w:p w14:paraId="4B3C1CCB" w14:textId="77777777" w:rsidR="00943C29" w:rsidRPr="003F4289" w:rsidRDefault="00943C29" w:rsidP="00301650">
            <w:pPr>
              <w:pStyle w:val="NormalWeb"/>
              <w:jc w:val="both"/>
              <w:rPr>
                <w:rFonts w:asciiTheme="majorBidi" w:eastAsiaTheme="minorHAnsi" w:hAnsiTheme="majorBidi" w:cstheme="majorBidi"/>
                <w:b/>
                <w:bCs/>
                <w:color w:val="000000"/>
                <w:sz w:val="22"/>
                <w:szCs w:val="22"/>
              </w:rPr>
            </w:pPr>
            <w:r w:rsidRPr="003F4289">
              <w:rPr>
                <w:rFonts w:asciiTheme="majorBidi" w:eastAsiaTheme="minorHAnsi" w:hAnsiTheme="majorBidi" w:cstheme="majorBidi"/>
                <w:b/>
                <w:bCs/>
                <w:color w:val="000000"/>
                <w:sz w:val="22"/>
                <w:szCs w:val="22"/>
              </w:rPr>
              <w:t>Error</w:t>
            </w:r>
          </w:p>
        </w:tc>
      </w:tr>
      <w:tr w:rsidR="00943C29" w:rsidRPr="003F4289" w14:paraId="7FB92990" w14:textId="77777777" w:rsidTr="002B4F60">
        <w:trPr>
          <w:trHeight w:val="341"/>
          <w:jc w:val="center"/>
        </w:trPr>
        <w:tc>
          <w:tcPr>
            <w:tcW w:w="1795" w:type="dxa"/>
          </w:tcPr>
          <w:p w14:paraId="3C61DFE4" w14:textId="77777777" w:rsidR="00943C29" w:rsidRPr="003F4289" w:rsidRDefault="00943C29" w:rsidP="00301650">
            <w:pPr>
              <w:pStyle w:val="NormalWeb"/>
              <w:jc w:val="both"/>
              <w:rPr>
                <w:rFonts w:asciiTheme="majorBidi" w:eastAsiaTheme="minorHAnsi" w:hAnsiTheme="majorBidi" w:cstheme="majorBidi"/>
                <w:b/>
                <w:bCs/>
                <w:color w:val="000000"/>
                <w:sz w:val="22"/>
                <w:szCs w:val="22"/>
              </w:rPr>
            </w:pPr>
            <w:r w:rsidRPr="003F4289">
              <w:rPr>
                <w:rFonts w:asciiTheme="majorBidi" w:eastAsiaTheme="minorHAnsi" w:hAnsiTheme="majorBidi" w:cstheme="majorBidi"/>
                <w:b/>
                <w:bCs/>
                <w:color w:val="00B0F0"/>
                <w:sz w:val="22"/>
                <w:szCs w:val="22"/>
              </w:rPr>
              <w:t>Middle Berriasian CIE</w:t>
            </w:r>
          </w:p>
        </w:tc>
        <w:tc>
          <w:tcPr>
            <w:tcW w:w="830" w:type="dxa"/>
          </w:tcPr>
          <w:p w14:paraId="11D6F756" w14:textId="77777777" w:rsidR="00943C29" w:rsidRPr="003F4289" w:rsidRDefault="00943C29" w:rsidP="00301650">
            <w:pPr>
              <w:pStyle w:val="NormalWeb"/>
              <w:jc w:val="both"/>
              <w:rPr>
                <w:rFonts w:asciiTheme="majorBidi" w:eastAsiaTheme="minorHAnsi" w:hAnsiTheme="majorBidi" w:cstheme="majorBidi"/>
                <w:b/>
                <w:bCs/>
                <w:color w:val="000000"/>
                <w:sz w:val="22"/>
                <w:szCs w:val="22"/>
              </w:rPr>
            </w:pPr>
          </w:p>
        </w:tc>
        <w:tc>
          <w:tcPr>
            <w:tcW w:w="1420" w:type="dxa"/>
          </w:tcPr>
          <w:p w14:paraId="7EDB58FC" w14:textId="77777777" w:rsidR="00943C29" w:rsidRPr="003F4289" w:rsidRDefault="00943C29" w:rsidP="00301650">
            <w:pPr>
              <w:pStyle w:val="NormalWeb"/>
              <w:ind w:firstLine="360"/>
              <w:jc w:val="both"/>
              <w:rPr>
                <w:rFonts w:asciiTheme="majorBidi" w:eastAsiaTheme="minorHAnsi" w:hAnsiTheme="majorBidi" w:cstheme="majorBidi"/>
                <w:b/>
                <w:bCs/>
                <w:color w:val="000000"/>
                <w:sz w:val="22"/>
                <w:szCs w:val="22"/>
              </w:rPr>
            </w:pPr>
          </w:p>
        </w:tc>
        <w:tc>
          <w:tcPr>
            <w:tcW w:w="1440" w:type="dxa"/>
          </w:tcPr>
          <w:p w14:paraId="3FF1A4F9" w14:textId="77777777" w:rsidR="00943C29" w:rsidRPr="003F4289" w:rsidRDefault="00943C29" w:rsidP="00301650">
            <w:pPr>
              <w:pStyle w:val="NormalWeb"/>
              <w:jc w:val="both"/>
              <w:rPr>
                <w:rFonts w:asciiTheme="majorBidi" w:eastAsiaTheme="minorHAnsi" w:hAnsiTheme="majorBidi" w:cstheme="majorBidi"/>
                <w:b/>
                <w:bCs/>
                <w:color w:val="000000"/>
                <w:sz w:val="22"/>
                <w:szCs w:val="22"/>
              </w:rPr>
            </w:pPr>
          </w:p>
        </w:tc>
        <w:tc>
          <w:tcPr>
            <w:tcW w:w="1665" w:type="dxa"/>
          </w:tcPr>
          <w:p w14:paraId="3452ADD0" w14:textId="77777777" w:rsidR="00943C29" w:rsidRPr="003F4289" w:rsidRDefault="00943C29" w:rsidP="00301650">
            <w:pPr>
              <w:pStyle w:val="NormalWeb"/>
              <w:jc w:val="both"/>
              <w:rPr>
                <w:rFonts w:asciiTheme="majorBidi" w:eastAsiaTheme="minorHAnsi" w:hAnsiTheme="majorBidi" w:cstheme="majorBidi"/>
                <w:b/>
                <w:bCs/>
                <w:color w:val="000000"/>
                <w:sz w:val="22"/>
                <w:szCs w:val="22"/>
              </w:rPr>
            </w:pPr>
          </w:p>
        </w:tc>
        <w:tc>
          <w:tcPr>
            <w:tcW w:w="1784" w:type="dxa"/>
          </w:tcPr>
          <w:p w14:paraId="62E2D7BB" w14:textId="77777777" w:rsidR="00943C29" w:rsidRPr="003F4289" w:rsidRDefault="00943C29" w:rsidP="00301650">
            <w:pPr>
              <w:pStyle w:val="NormalWeb"/>
              <w:ind w:firstLine="360"/>
              <w:jc w:val="both"/>
              <w:rPr>
                <w:rFonts w:asciiTheme="majorBidi" w:eastAsiaTheme="minorHAnsi" w:hAnsiTheme="majorBidi" w:cstheme="majorBidi"/>
                <w:b/>
                <w:bCs/>
                <w:color w:val="000000"/>
                <w:sz w:val="22"/>
                <w:szCs w:val="22"/>
              </w:rPr>
            </w:pPr>
          </w:p>
        </w:tc>
        <w:tc>
          <w:tcPr>
            <w:tcW w:w="1141" w:type="dxa"/>
          </w:tcPr>
          <w:p w14:paraId="337B129A" w14:textId="77777777" w:rsidR="00943C29" w:rsidRPr="003F4289" w:rsidRDefault="00943C29" w:rsidP="00301650">
            <w:pPr>
              <w:pStyle w:val="NormalWeb"/>
              <w:jc w:val="both"/>
              <w:rPr>
                <w:rFonts w:asciiTheme="majorBidi" w:eastAsiaTheme="minorHAnsi" w:hAnsiTheme="majorBidi" w:cstheme="majorBidi"/>
                <w:b/>
                <w:bCs/>
                <w:color w:val="000000"/>
                <w:sz w:val="22"/>
                <w:szCs w:val="22"/>
              </w:rPr>
            </w:pPr>
          </w:p>
        </w:tc>
        <w:tc>
          <w:tcPr>
            <w:tcW w:w="1141" w:type="dxa"/>
          </w:tcPr>
          <w:p w14:paraId="1385667B" w14:textId="77777777" w:rsidR="00943C29" w:rsidRPr="003F4289" w:rsidRDefault="00943C29" w:rsidP="00301650">
            <w:pPr>
              <w:pStyle w:val="NormalWeb"/>
              <w:jc w:val="both"/>
              <w:rPr>
                <w:rFonts w:asciiTheme="majorBidi" w:eastAsiaTheme="minorHAnsi" w:hAnsiTheme="majorBidi" w:cstheme="majorBidi"/>
                <w:b/>
                <w:bCs/>
                <w:color w:val="000000"/>
                <w:sz w:val="22"/>
                <w:szCs w:val="22"/>
              </w:rPr>
            </w:pPr>
          </w:p>
        </w:tc>
      </w:tr>
      <w:tr w:rsidR="00943C29" w:rsidRPr="003F4289" w14:paraId="1FD9FFCE" w14:textId="77777777" w:rsidTr="002B4F60">
        <w:trPr>
          <w:jc w:val="center"/>
        </w:trPr>
        <w:tc>
          <w:tcPr>
            <w:tcW w:w="1795" w:type="dxa"/>
          </w:tcPr>
          <w:p w14:paraId="7D7C71F2" w14:textId="77777777" w:rsidR="00943C29" w:rsidRPr="003F4289" w:rsidRDefault="00943C29" w:rsidP="00301650">
            <w:pPr>
              <w:pStyle w:val="NormalWeb"/>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 xml:space="preserve">FO </w:t>
            </w:r>
            <w:r w:rsidRPr="003F4289">
              <w:rPr>
                <w:rFonts w:asciiTheme="majorBidi" w:eastAsiaTheme="minorHAnsi" w:hAnsiTheme="majorBidi" w:cstheme="majorBidi"/>
                <w:i/>
                <w:iCs/>
                <w:color w:val="000000"/>
                <w:sz w:val="22"/>
                <w:szCs w:val="22"/>
              </w:rPr>
              <w:t>N. steinmannii</w:t>
            </w:r>
          </w:p>
        </w:tc>
        <w:tc>
          <w:tcPr>
            <w:tcW w:w="830" w:type="dxa"/>
          </w:tcPr>
          <w:p w14:paraId="2A2C3BD7" w14:textId="77777777" w:rsidR="00943C29" w:rsidRPr="003F4289" w:rsidRDefault="00943C29" w:rsidP="00301650">
            <w:pPr>
              <w:pStyle w:val="NormalWeb"/>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84.6</w:t>
            </w:r>
          </w:p>
        </w:tc>
        <w:tc>
          <w:tcPr>
            <w:tcW w:w="1420" w:type="dxa"/>
          </w:tcPr>
          <w:p w14:paraId="7E00625F"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0.3</w:t>
            </w:r>
          </w:p>
        </w:tc>
        <w:tc>
          <w:tcPr>
            <w:tcW w:w="1440" w:type="dxa"/>
          </w:tcPr>
          <w:p w14:paraId="6FCACA59"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141.4</w:t>
            </w:r>
          </w:p>
        </w:tc>
        <w:tc>
          <w:tcPr>
            <w:tcW w:w="1665" w:type="dxa"/>
            <w:hideMark/>
          </w:tcPr>
          <w:p w14:paraId="51C1B1A4"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1.1</w:t>
            </w:r>
          </w:p>
        </w:tc>
        <w:tc>
          <w:tcPr>
            <w:tcW w:w="1784" w:type="dxa"/>
            <w:hideMark/>
          </w:tcPr>
          <w:p w14:paraId="0EC8BD6B" w14:textId="77777777" w:rsidR="00943C29" w:rsidRPr="003F4289" w:rsidRDefault="00943C29" w:rsidP="00301650">
            <w:pPr>
              <w:pStyle w:val="NormalWeb"/>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CM18n–CM17r</w:t>
            </w:r>
          </w:p>
        </w:tc>
        <w:tc>
          <w:tcPr>
            <w:tcW w:w="1141" w:type="dxa"/>
          </w:tcPr>
          <w:p w14:paraId="4617675F" w14:textId="77777777" w:rsidR="00943C29" w:rsidRPr="003F4289" w:rsidRDefault="00943C29" w:rsidP="00301650">
            <w:pPr>
              <w:pStyle w:val="NormalWeb"/>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140-140.3</w:t>
            </w:r>
          </w:p>
        </w:tc>
        <w:tc>
          <w:tcPr>
            <w:tcW w:w="1141" w:type="dxa"/>
          </w:tcPr>
          <w:p w14:paraId="0AE57584"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w:t>
            </w:r>
          </w:p>
        </w:tc>
      </w:tr>
      <w:tr w:rsidR="00943C29" w:rsidRPr="003F4289" w14:paraId="204CD7C8" w14:textId="77777777" w:rsidTr="002B4F60">
        <w:trPr>
          <w:jc w:val="center"/>
        </w:trPr>
        <w:tc>
          <w:tcPr>
            <w:tcW w:w="1795" w:type="dxa"/>
          </w:tcPr>
          <w:p w14:paraId="093733D1" w14:textId="77777777" w:rsidR="00943C29" w:rsidRPr="003F4289" w:rsidRDefault="00943C29" w:rsidP="00301650">
            <w:pPr>
              <w:pStyle w:val="NormalWeb"/>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 xml:space="preserve">FO </w:t>
            </w:r>
            <w:r w:rsidRPr="003F4289">
              <w:rPr>
                <w:rFonts w:asciiTheme="majorBidi" w:eastAsiaTheme="minorHAnsi" w:hAnsiTheme="majorBidi" w:cstheme="majorBidi"/>
                <w:i/>
                <w:iCs/>
                <w:color w:val="000000"/>
                <w:sz w:val="22"/>
                <w:szCs w:val="22"/>
              </w:rPr>
              <w:t>N. steinmannii minor</w:t>
            </w:r>
          </w:p>
        </w:tc>
        <w:tc>
          <w:tcPr>
            <w:tcW w:w="830" w:type="dxa"/>
          </w:tcPr>
          <w:p w14:paraId="25CB9253" w14:textId="77777777" w:rsidR="00943C29" w:rsidRPr="003F4289" w:rsidRDefault="00943C29" w:rsidP="00301650">
            <w:pPr>
              <w:pStyle w:val="NormalWeb"/>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89.5</w:t>
            </w:r>
          </w:p>
        </w:tc>
        <w:tc>
          <w:tcPr>
            <w:tcW w:w="1420" w:type="dxa"/>
          </w:tcPr>
          <w:p w14:paraId="0DB932E0"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0.3</w:t>
            </w:r>
          </w:p>
        </w:tc>
        <w:tc>
          <w:tcPr>
            <w:tcW w:w="1440" w:type="dxa"/>
          </w:tcPr>
          <w:p w14:paraId="14E1821C" w14:textId="77777777" w:rsidR="00943C29" w:rsidRPr="003F4289" w:rsidRDefault="00943C29" w:rsidP="00301650">
            <w:pPr>
              <w:pStyle w:val="NormalWeb"/>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141.75-142.31</w:t>
            </w:r>
          </w:p>
        </w:tc>
        <w:tc>
          <w:tcPr>
            <w:tcW w:w="1665" w:type="dxa"/>
            <w:hideMark/>
          </w:tcPr>
          <w:p w14:paraId="2A4931A2"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2.4</w:t>
            </w:r>
          </w:p>
        </w:tc>
        <w:tc>
          <w:tcPr>
            <w:tcW w:w="1784" w:type="dxa"/>
            <w:hideMark/>
          </w:tcPr>
          <w:p w14:paraId="5501D5F0" w14:textId="77777777" w:rsidR="00943C29" w:rsidRPr="003F4289" w:rsidRDefault="00943C29" w:rsidP="00301650">
            <w:pPr>
              <w:pStyle w:val="NormalWeb"/>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CM19n-1n–CM17r</w:t>
            </w:r>
          </w:p>
        </w:tc>
        <w:tc>
          <w:tcPr>
            <w:tcW w:w="1141" w:type="dxa"/>
          </w:tcPr>
          <w:p w14:paraId="427939F8"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p>
        </w:tc>
        <w:tc>
          <w:tcPr>
            <w:tcW w:w="1141" w:type="dxa"/>
          </w:tcPr>
          <w:p w14:paraId="3FB1BA82"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w:t>
            </w:r>
          </w:p>
        </w:tc>
      </w:tr>
      <w:tr w:rsidR="00943C29" w:rsidRPr="003F4289" w14:paraId="7B77B8E1" w14:textId="77777777" w:rsidTr="002B4F60">
        <w:trPr>
          <w:jc w:val="center"/>
        </w:trPr>
        <w:tc>
          <w:tcPr>
            <w:tcW w:w="1795" w:type="dxa"/>
          </w:tcPr>
          <w:p w14:paraId="3EFEE33B" w14:textId="77777777" w:rsidR="00943C29" w:rsidRPr="003F4289" w:rsidRDefault="00943C29" w:rsidP="00301650">
            <w:pPr>
              <w:pStyle w:val="NormalWeb"/>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B0F0"/>
                <w:sz w:val="22"/>
                <w:szCs w:val="22"/>
              </w:rPr>
              <w:t>Carbon isotope negative shift 3</w:t>
            </w:r>
          </w:p>
        </w:tc>
        <w:tc>
          <w:tcPr>
            <w:tcW w:w="830" w:type="dxa"/>
          </w:tcPr>
          <w:p w14:paraId="53602486" w14:textId="77777777" w:rsidR="00943C29" w:rsidRPr="003F4289" w:rsidRDefault="00943C29" w:rsidP="00301650">
            <w:pPr>
              <w:pStyle w:val="NormalWeb"/>
              <w:jc w:val="both"/>
              <w:rPr>
                <w:rFonts w:asciiTheme="majorBidi" w:eastAsiaTheme="minorHAnsi" w:hAnsiTheme="majorBidi" w:cstheme="majorBidi"/>
                <w:color w:val="000000"/>
                <w:sz w:val="22"/>
                <w:szCs w:val="22"/>
              </w:rPr>
            </w:pPr>
          </w:p>
        </w:tc>
        <w:tc>
          <w:tcPr>
            <w:tcW w:w="1420" w:type="dxa"/>
          </w:tcPr>
          <w:p w14:paraId="2A661D92"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p>
        </w:tc>
        <w:tc>
          <w:tcPr>
            <w:tcW w:w="1440" w:type="dxa"/>
          </w:tcPr>
          <w:p w14:paraId="2A892B4E" w14:textId="77777777" w:rsidR="00943C29" w:rsidRPr="003F4289" w:rsidRDefault="00943C29" w:rsidP="00301650">
            <w:pPr>
              <w:pStyle w:val="NormalWeb"/>
              <w:jc w:val="both"/>
              <w:rPr>
                <w:rFonts w:asciiTheme="majorBidi" w:eastAsiaTheme="minorHAnsi" w:hAnsiTheme="majorBidi" w:cstheme="majorBidi"/>
                <w:color w:val="000000"/>
                <w:sz w:val="22"/>
                <w:szCs w:val="22"/>
              </w:rPr>
            </w:pPr>
          </w:p>
        </w:tc>
        <w:tc>
          <w:tcPr>
            <w:tcW w:w="1665" w:type="dxa"/>
          </w:tcPr>
          <w:p w14:paraId="6B4F0AD4"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p>
        </w:tc>
        <w:tc>
          <w:tcPr>
            <w:tcW w:w="1784" w:type="dxa"/>
          </w:tcPr>
          <w:p w14:paraId="525F4965"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p>
        </w:tc>
        <w:tc>
          <w:tcPr>
            <w:tcW w:w="1141" w:type="dxa"/>
          </w:tcPr>
          <w:p w14:paraId="2C8F9490" w14:textId="77777777" w:rsidR="00943C29" w:rsidRPr="003F4289" w:rsidRDefault="00943C29" w:rsidP="00301650">
            <w:pPr>
              <w:pStyle w:val="NormalWeb"/>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142.2-141.65</w:t>
            </w:r>
          </w:p>
        </w:tc>
        <w:tc>
          <w:tcPr>
            <w:tcW w:w="1141" w:type="dxa"/>
          </w:tcPr>
          <w:p w14:paraId="1B432F3B"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p>
        </w:tc>
      </w:tr>
      <w:tr w:rsidR="00943C29" w:rsidRPr="003F4289" w14:paraId="1942AC71" w14:textId="77777777" w:rsidTr="002B4F60">
        <w:trPr>
          <w:jc w:val="center"/>
        </w:trPr>
        <w:tc>
          <w:tcPr>
            <w:tcW w:w="1795" w:type="dxa"/>
          </w:tcPr>
          <w:p w14:paraId="3AFC96C2" w14:textId="77777777" w:rsidR="00943C29" w:rsidRPr="003F4289" w:rsidRDefault="00943C29" w:rsidP="00301650">
            <w:pPr>
              <w:pStyle w:val="NormalWeb"/>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B0F0"/>
                <w:sz w:val="22"/>
                <w:szCs w:val="22"/>
              </w:rPr>
              <w:t>Carbon isotope negative shift 2</w:t>
            </w:r>
          </w:p>
        </w:tc>
        <w:tc>
          <w:tcPr>
            <w:tcW w:w="830" w:type="dxa"/>
          </w:tcPr>
          <w:p w14:paraId="0730769C" w14:textId="77777777" w:rsidR="00943C29" w:rsidRPr="003F4289" w:rsidRDefault="00943C29" w:rsidP="00301650">
            <w:pPr>
              <w:pStyle w:val="NormalWeb"/>
              <w:jc w:val="both"/>
              <w:rPr>
                <w:rFonts w:asciiTheme="majorBidi" w:eastAsiaTheme="minorHAnsi" w:hAnsiTheme="majorBidi" w:cstheme="majorBidi"/>
                <w:color w:val="000000"/>
                <w:sz w:val="22"/>
                <w:szCs w:val="22"/>
              </w:rPr>
            </w:pPr>
          </w:p>
        </w:tc>
        <w:tc>
          <w:tcPr>
            <w:tcW w:w="1420" w:type="dxa"/>
          </w:tcPr>
          <w:p w14:paraId="6942E1E3"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p>
        </w:tc>
        <w:tc>
          <w:tcPr>
            <w:tcW w:w="1440" w:type="dxa"/>
          </w:tcPr>
          <w:p w14:paraId="45E0A98A" w14:textId="77777777" w:rsidR="00943C29" w:rsidRPr="003F4289" w:rsidRDefault="00943C29" w:rsidP="00301650">
            <w:pPr>
              <w:pStyle w:val="NormalWeb"/>
              <w:jc w:val="both"/>
              <w:rPr>
                <w:rFonts w:asciiTheme="majorBidi" w:eastAsiaTheme="minorHAnsi" w:hAnsiTheme="majorBidi" w:cstheme="majorBidi"/>
                <w:color w:val="000000"/>
                <w:sz w:val="22"/>
                <w:szCs w:val="22"/>
              </w:rPr>
            </w:pPr>
          </w:p>
        </w:tc>
        <w:tc>
          <w:tcPr>
            <w:tcW w:w="1665" w:type="dxa"/>
          </w:tcPr>
          <w:p w14:paraId="56D4F86F"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p>
        </w:tc>
        <w:tc>
          <w:tcPr>
            <w:tcW w:w="1784" w:type="dxa"/>
          </w:tcPr>
          <w:p w14:paraId="434BAA58"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p>
        </w:tc>
        <w:tc>
          <w:tcPr>
            <w:tcW w:w="1141" w:type="dxa"/>
          </w:tcPr>
          <w:p w14:paraId="48D2BAA6" w14:textId="77777777" w:rsidR="00943C29" w:rsidRPr="003F4289" w:rsidRDefault="00943C29" w:rsidP="00301650">
            <w:pPr>
              <w:pStyle w:val="NormalWeb"/>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142.84</w:t>
            </w:r>
          </w:p>
        </w:tc>
        <w:tc>
          <w:tcPr>
            <w:tcW w:w="1141" w:type="dxa"/>
          </w:tcPr>
          <w:p w14:paraId="574F537C"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p>
        </w:tc>
      </w:tr>
      <w:tr w:rsidR="00943C29" w:rsidRPr="003F4289" w14:paraId="1C10B79E" w14:textId="77777777" w:rsidTr="002B4F60">
        <w:trPr>
          <w:jc w:val="center"/>
        </w:trPr>
        <w:tc>
          <w:tcPr>
            <w:tcW w:w="1795" w:type="dxa"/>
          </w:tcPr>
          <w:p w14:paraId="2DDE3036" w14:textId="77777777" w:rsidR="00943C29" w:rsidRPr="003F4289" w:rsidRDefault="00943C29" w:rsidP="00301650">
            <w:pPr>
              <w:pStyle w:val="NormalWeb"/>
              <w:jc w:val="both"/>
              <w:rPr>
                <w:rFonts w:asciiTheme="majorBidi" w:eastAsiaTheme="minorHAnsi" w:hAnsiTheme="majorBidi" w:cstheme="majorBidi"/>
                <w:b/>
                <w:bCs/>
                <w:color w:val="000000"/>
                <w:sz w:val="22"/>
                <w:szCs w:val="22"/>
              </w:rPr>
            </w:pPr>
            <w:r w:rsidRPr="003F4289">
              <w:rPr>
                <w:rFonts w:asciiTheme="majorBidi" w:eastAsiaTheme="minorHAnsi" w:hAnsiTheme="majorBidi" w:cstheme="majorBidi"/>
                <w:b/>
                <w:bCs/>
                <w:color w:val="FF0000"/>
                <w:sz w:val="22"/>
                <w:szCs w:val="22"/>
              </w:rPr>
              <w:t>Jurassic Cretaceous boundary</w:t>
            </w:r>
          </w:p>
        </w:tc>
        <w:tc>
          <w:tcPr>
            <w:tcW w:w="830" w:type="dxa"/>
          </w:tcPr>
          <w:p w14:paraId="3FEC5432" w14:textId="77777777" w:rsidR="00943C29" w:rsidRPr="003F4289" w:rsidRDefault="00943C29" w:rsidP="00301650">
            <w:pPr>
              <w:pStyle w:val="NormalWeb"/>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96</w:t>
            </w:r>
          </w:p>
        </w:tc>
        <w:tc>
          <w:tcPr>
            <w:tcW w:w="1420" w:type="dxa"/>
          </w:tcPr>
          <w:p w14:paraId="6866CE10"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0.1</w:t>
            </w:r>
          </w:p>
        </w:tc>
        <w:tc>
          <w:tcPr>
            <w:tcW w:w="1440" w:type="dxa"/>
          </w:tcPr>
          <w:p w14:paraId="4AFC3C17" w14:textId="77777777" w:rsidR="00943C29" w:rsidRPr="003F4289" w:rsidRDefault="00943C29" w:rsidP="00301650">
            <w:pPr>
              <w:pStyle w:val="NormalWeb"/>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141.17</w:t>
            </w:r>
          </w:p>
        </w:tc>
        <w:tc>
          <w:tcPr>
            <w:tcW w:w="1665" w:type="dxa"/>
          </w:tcPr>
          <w:p w14:paraId="499A16FF"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0.6</w:t>
            </w:r>
          </w:p>
        </w:tc>
        <w:tc>
          <w:tcPr>
            <w:tcW w:w="1784" w:type="dxa"/>
          </w:tcPr>
          <w:p w14:paraId="377109E8"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p>
        </w:tc>
        <w:tc>
          <w:tcPr>
            <w:tcW w:w="1141" w:type="dxa"/>
          </w:tcPr>
          <w:p w14:paraId="0695D7E3"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p>
        </w:tc>
        <w:tc>
          <w:tcPr>
            <w:tcW w:w="1141" w:type="dxa"/>
          </w:tcPr>
          <w:p w14:paraId="3D87C155"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p>
        </w:tc>
      </w:tr>
      <w:tr w:rsidR="00943C29" w:rsidRPr="003F4289" w14:paraId="1088DE3E" w14:textId="77777777" w:rsidTr="002B4F60">
        <w:trPr>
          <w:jc w:val="center"/>
        </w:trPr>
        <w:tc>
          <w:tcPr>
            <w:tcW w:w="1795" w:type="dxa"/>
          </w:tcPr>
          <w:p w14:paraId="4860E4CA" w14:textId="77777777" w:rsidR="00943C29" w:rsidRPr="003F4289" w:rsidRDefault="00943C29" w:rsidP="00301650">
            <w:pPr>
              <w:pStyle w:val="NormalWeb"/>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 xml:space="preserve">FO </w:t>
            </w:r>
            <w:r w:rsidRPr="003F4289">
              <w:rPr>
                <w:rFonts w:asciiTheme="majorBidi" w:eastAsiaTheme="minorHAnsi" w:hAnsiTheme="majorBidi" w:cstheme="majorBidi"/>
                <w:i/>
                <w:iCs/>
                <w:color w:val="000000"/>
                <w:sz w:val="22"/>
                <w:szCs w:val="22"/>
              </w:rPr>
              <w:t>N. wintereri</w:t>
            </w:r>
          </w:p>
        </w:tc>
        <w:tc>
          <w:tcPr>
            <w:tcW w:w="830" w:type="dxa"/>
          </w:tcPr>
          <w:p w14:paraId="483602A8" w14:textId="77777777" w:rsidR="00943C29" w:rsidRPr="003F4289" w:rsidRDefault="00943C29" w:rsidP="00301650">
            <w:pPr>
              <w:pStyle w:val="NormalWeb"/>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96</w:t>
            </w:r>
          </w:p>
        </w:tc>
        <w:tc>
          <w:tcPr>
            <w:tcW w:w="1420" w:type="dxa"/>
          </w:tcPr>
          <w:p w14:paraId="5B10C8BD"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0.1</w:t>
            </w:r>
          </w:p>
        </w:tc>
        <w:tc>
          <w:tcPr>
            <w:tcW w:w="1440" w:type="dxa"/>
          </w:tcPr>
          <w:p w14:paraId="2DF1CF1B" w14:textId="77777777" w:rsidR="00943C29" w:rsidRPr="003F4289" w:rsidRDefault="00943C29" w:rsidP="00301650">
            <w:pPr>
              <w:pStyle w:val="NormalWeb"/>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141.4-143.6</w:t>
            </w:r>
          </w:p>
        </w:tc>
        <w:tc>
          <w:tcPr>
            <w:tcW w:w="1665" w:type="dxa"/>
            <w:hideMark/>
          </w:tcPr>
          <w:p w14:paraId="30A30D7C"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1.8</w:t>
            </w:r>
          </w:p>
        </w:tc>
        <w:tc>
          <w:tcPr>
            <w:tcW w:w="1784" w:type="dxa"/>
            <w:hideMark/>
          </w:tcPr>
          <w:p w14:paraId="7A491D3E" w14:textId="77777777" w:rsidR="00943C29" w:rsidRPr="003F4289" w:rsidRDefault="00943C29" w:rsidP="00301650">
            <w:pPr>
              <w:pStyle w:val="NormalWeb"/>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CM19n-1n–CM18r</w:t>
            </w:r>
          </w:p>
        </w:tc>
        <w:tc>
          <w:tcPr>
            <w:tcW w:w="1141" w:type="dxa"/>
          </w:tcPr>
          <w:p w14:paraId="61F3D380"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p>
        </w:tc>
        <w:tc>
          <w:tcPr>
            <w:tcW w:w="1141" w:type="dxa"/>
          </w:tcPr>
          <w:p w14:paraId="6205B8A1"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w:t>
            </w:r>
          </w:p>
        </w:tc>
      </w:tr>
      <w:tr w:rsidR="00943C29" w:rsidRPr="003F4289" w14:paraId="3FEEE748" w14:textId="77777777" w:rsidTr="002B4F60">
        <w:trPr>
          <w:jc w:val="center"/>
        </w:trPr>
        <w:tc>
          <w:tcPr>
            <w:tcW w:w="1795" w:type="dxa"/>
          </w:tcPr>
          <w:p w14:paraId="6DC2BD9F"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 xml:space="preserve">FO </w:t>
            </w:r>
            <w:r w:rsidRPr="003F4289">
              <w:rPr>
                <w:rFonts w:asciiTheme="majorBidi" w:eastAsiaTheme="minorHAnsi" w:hAnsiTheme="majorBidi" w:cstheme="majorBidi"/>
                <w:i/>
                <w:iCs/>
                <w:color w:val="000000"/>
                <w:sz w:val="22"/>
                <w:szCs w:val="22"/>
              </w:rPr>
              <w:t>C. mexicana mexicana</w:t>
            </w:r>
          </w:p>
        </w:tc>
        <w:tc>
          <w:tcPr>
            <w:tcW w:w="830" w:type="dxa"/>
          </w:tcPr>
          <w:p w14:paraId="62F17971" w14:textId="77777777" w:rsidR="00943C29" w:rsidRPr="003F4289" w:rsidRDefault="00943C29" w:rsidP="00301650">
            <w:pPr>
              <w:pStyle w:val="NormalWeb"/>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158</w:t>
            </w:r>
          </w:p>
        </w:tc>
        <w:tc>
          <w:tcPr>
            <w:tcW w:w="1420" w:type="dxa"/>
          </w:tcPr>
          <w:p w14:paraId="64CCC77B"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0.9</w:t>
            </w:r>
          </w:p>
        </w:tc>
        <w:tc>
          <w:tcPr>
            <w:tcW w:w="1440" w:type="dxa"/>
          </w:tcPr>
          <w:p w14:paraId="1F0D94F3"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147.7</w:t>
            </w:r>
          </w:p>
        </w:tc>
        <w:tc>
          <w:tcPr>
            <w:tcW w:w="1665" w:type="dxa"/>
          </w:tcPr>
          <w:p w14:paraId="6717EAE4"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1.5</w:t>
            </w:r>
          </w:p>
        </w:tc>
        <w:tc>
          <w:tcPr>
            <w:tcW w:w="1784" w:type="dxa"/>
          </w:tcPr>
          <w:p w14:paraId="1B9B2B03" w14:textId="77777777" w:rsidR="00943C29" w:rsidRPr="003F4289" w:rsidRDefault="00943C29" w:rsidP="00301650">
            <w:pPr>
              <w:pStyle w:val="NormalWeb"/>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CM22n–CM21r</w:t>
            </w:r>
          </w:p>
        </w:tc>
        <w:tc>
          <w:tcPr>
            <w:tcW w:w="1141" w:type="dxa"/>
          </w:tcPr>
          <w:p w14:paraId="2ACDC112"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p>
        </w:tc>
        <w:tc>
          <w:tcPr>
            <w:tcW w:w="1141" w:type="dxa"/>
          </w:tcPr>
          <w:p w14:paraId="3274A51C"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w:t>
            </w:r>
          </w:p>
        </w:tc>
      </w:tr>
      <w:tr w:rsidR="00943C29" w:rsidRPr="003F4289" w14:paraId="796D10BC" w14:textId="77777777" w:rsidTr="002B4F60">
        <w:trPr>
          <w:jc w:val="center"/>
        </w:trPr>
        <w:tc>
          <w:tcPr>
            <w:tcW w:w="1795" w:type="dxa"/>
          </w:tcPr>
          <w:p w14:paraId="4B2B9344"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B0F0"/>
                <w:sz w:val="22"/>
                <w:szCs w:val="22"/>
              </w:rPr>
              <w:t>Early Tithonian CIE</w:t>
            </w:r>
          </w:p>
        </w:tc>
        <w:tc>
          <w:tcPr>
            <w:tcW w:w="830" w:type="dxa"/>
          </w:tcPr>
          <w:p w14:paraId="61BD76EF" w14:textId="77777777" w:rsidR="00943C29" w:rsidRPr="003F4289" w:rsidRDefault="00943C29" w:rsidP="00301650">
            <w:pPr>
              <w:pStyle w:val="NormalWeb"/>
              <w:jc w:val="both"/>
              <w:rPr>
                <w:rFonts w:asciiTheme="majorBidi" w:eastAsiaTheme="minorHAnsi" w:hAnsiTheme="majorBidi" w:cstheme="majorBidi"/>
                <w:color w:val="000000"/>
                <w:sz w:val="22"/>
                <w:szCs w:val="22"/>
              </w:rPr>
            </w:pPr>
          </w:p>
        </w:tc>
        <w:tc>
          <w:tcPr>
            <w:tcW w:w="1420" w:type="dxa"/>
          </w:tcPr>
          <w:p w14:paraId="3C88A9DB"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p>
        </w:tc>
        <w:tc>
          <w:tcPr>
            <w:tcW w:w="1440" w:type="dxa"/>
          </w:tcPr>
          <w:p w14:paraId="61E91A23"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p>
        </w:tc>
        <w:tc>
          <w:tcPr>
            <w:tcW w:w="1665" w:type="dxa"/>
          </w:tcPr>
          <w:p w14:paraId="469C99EA"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p>
        </w:tc>
        <w:tc>
          <w:tcPr>
            <w:tcW w:w="1784" w:type="dxa"/>
          </w:tcPr>
          <w:p w14:paraId="00C980C0"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p>
        </w:tc>
        <w:tc>
          <w:tcPr>
            <w:tcW w:w="1141" w:type="dxa"/>
          </w:tcPr>
          <w:p w14:paraId="4D5CF7F4"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p>
        </w:tc>
        <w:tc>
          <w:tcPr>
            <w:tcW w:w="1141" w:type="dxa"/>
          </w:tcPr>
          <w:p w14:paraId="02A119F2"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p>
        </w:tc>
      </w:tr>
      <w:tr w:rsidR="00943C29" w:rsidRPr="003F4289" w14:paraId="3DAD2165" w14:textId="77777777" w:rsidTr="002B4F60">
        <w:trPr>
          <w:jc w:val="center"/>
        </w:trPr>
        <w:tc>
          <w:tcPr>
            <w:tcW w:w="1795" w:type="dxa"/>
          </w:tcPr>
          <w:p w14:paraId="6827E280"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 xml:space="preserve">FO </w:t>
            </w:r>
            <w:r w:rsidRPr="003F4289">
              <w:rPr>
                <w:rFonts w:asciiTheme="majorBidi" w:eastAsiaTheme="minorHAnsi" w:hAnsiTheme="majorBidi" w:cstheme="majorBidi"/>
                <w:i/>
                <w:iCs/>
                <w:color w:val="000000"/>
                <w:sz w:val="22"/>
                <w:szCs w:val="22"/>
              </w:rPr>
              <w:t>C. mexicana minor</w:t>
            </w:r>
          </w:p>
        </w:tc>
        <w:tc>
          <w:tcPr>
            <w:tcW w:w="830" w:type="dxa"/>
          </w:tcPr>
          <w:p w14:paraId="5D293020" w14:textId="77777777" w:rsidR="00943C29" w:rsidRPr="003F4289" w:rsidRDefault="00943C29" w:rsidP="00301650">
            <w:pPr>
              <w:pStyle w:val="NormalWeb"/>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169.7</w:t>
            </w:r>
          </w:p>
        </w:tc>
        <w:tc>
          <w:tcPr>
            <w:tcW w:w="1420" w:type="dxa"/>
          </w:tcPr>
          <w:p w14:paraId="10281D7C"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0.5</w:t>
            </w:r>
          </w:p>
        </w:tc>
        <w:tc>
          <w:tcPr>
            <w:tcW w:w="1440" w:type="dxa"/>
          </w:tcPr>
          <w:p w14:paraId="6DFFDA10"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148.2</w:t>
            </w:r>
          </w:p>
        </w:tc>
        <w:tc>
          <w:tcPr>
            <w:tcW w:w="1665" w:type="dxa"/>
          </w:tcPr>
          <w:p w14:paraId="0B5D849D"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1.6</w:t>
            </w:r>
          </w:p>
        </w:tc>
        <w:tc>
          <w:tcPr>
            <w:tcW w:w="1784" w:type="dxa"/>
          </w:tcPr>
          <w:p w14:paraId="1DB5249F" w14:textId="77777777" w:rsidR="00943C29" w:rsidRPr="003F4289" w:rsidRDefault="00943C29" w:rsidP="00301650">
            <w:pPr>
              <w:pStyle w:val="NormalWeb"/>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CM22n–CM21r</w:t>
            </w:r>
          </w:p>
        </w:tc>
        <w:tc>
          <w:tcPr>
            <w:tcW w:w="1141" w:type="dxa"/>
          </w:tcPr>
          <w:p w14:paraId="494ABA55"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p>
        </w:tc>
        <w:tc>
          <w:tcPr>
            <w:tcW w:w="1141" w:type="dxa"/>
          </w:tcPr>
          <w:p w14:paraId="52DB2F29"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w:t>
            </w:r>
          </w:p>
        </w:tc>
      </w:tr>
      <w:tr w:rsidR="00943C29" w:rsidRPr="003F4289" w14:paraId="775A39A1" w14:textId="77777777" w:rsidTr="002B4F60">
        <w:trPr>
          <w:jc w:val="center"/>
        </w:trPr>
        <w:tc>
          <w:tcPr>
            <w:tcW w:w="1795" w:type="dxa"/>
          </w:tcPr>
          <w:p w14:paraId="35E6EFF1"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 xml:space="preserve">FO </w:t>
            </w:r>
            <w:r w:rsidRPr="003F4289">
              <w:rPr>
                <w:rFonts w:asciiTheme="majorBidi" w:eastAsiaTheme="minorHAnsi" w:hAnsiTheme="majorBidi" w:cstheme="majorBidi"/>
                <w:i/>
                <w:iCs/>
                <w:color w:val="000000"/>
                <w:sz w:val="22"/>
                <w:szCs w:val="22"/>
              </w:rPr>
              <w:t>Z. embergeri</w:t>
            </w:r>
          </w:p>
        </w:tc>
        <w:tc>
          <w:tcPr>
            <w:tcW w:w="830" w:type="dxa"/>
          </w:tcPr>
          <w:p w14:paraId="778FB8A1" w14:textId="77777777" w:rsidR="00943C29" w:rsidRPr="003F4289" w:rsidRDefault="00943C29" w:rsidP="00301650">
            <w:pPr>
              <w:pStyle w:val="NormalWeb"/>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173</w:t>
            </w:r>
          </w:p>
        </w:tc>
        <w:tc>
          <w:tcPr>
            <w:tcW w:w="1420" w:type="dxa"/>
          </w:tcPr>
          <w:p w14:paraId="5FAAEEA6"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1.6</w:t>
            </w:r>
          </w:p>
        </w:tc>
        <w:tc>
          <w:tcPr>
            <w:tcW w:w="1440" w:type="dxa"/>
          </w:tcPr>
          <w:p w14:paraId="3B924161"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148.7</w:t>
            </w:r>
          </w:p>
        </w:tc>
        <w:tc>
          <w:tcPr>
            <w:tcW w:w="1665" w:type="dxa"/>
          </w:tcPr>
          <w:p w14:paraId="74E2EF5E"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5.5</w:t>
            </w:r>
          </w:p>
        </w:tc>
        <w:tc>
          <w:tcPr>
            <w:tcW w:w="1784" w:type="dxa"/>
          </w:tcPr>
          <w:p w14:paraId="4105CDC7" w14:textId="77777777" w:rsidR="00943C29" w:rsidRPr="003F4289" w:rsidRDefault="00943C29" w:rsidP="00301650">
            <w:pPr>
              <w:pStyle w:val="NormalWeb"/>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CM22r–CM20n-2n</w:t>
            </w:r>
          </w:p>
        </w:tc>
        <w:tc>
          <w:tcPr>
            <w:tcW w:w="1141" w:type="dxa"/>
          </w:tcPr>
          <w:p w14:paraId="16B42309"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p>
        </w:tc>
        <w:tc>
          <w:tcPr>
            <w:tcW w:w="1141" w:type="dxa"/>
          </w:tcPr>
          <w:p w14:paraId="17B0DEA6"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w:t>
            </w:r>
          </w:p>
        </w:tc>
      </w:tr>
      <w:tr w:rsidR="00943C29" w:rsidRPr="003F4289" w14:paraId="195BB262" w14:textId="77777777" w:rsidTr="002B4F60">
        <w:trPr>
          <w:jc w:val="center"/>
        </w:trPr>
        <w:tc>
          <w:tcPr>
            <w:tcW w:w="1795" w:type="dxa"/>
          </w:tcPr>
          <w:p w14:paraId="5B61BF96" w14:textId="77777777" w:rsidR="00943C29" w:rsidRPr="003F4289" w:rsidRDefault="00943C29" w:rsidP="00301650">
            <w:pPr>
              <w:pStyle w:val="NormalWeb"/>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Base Tithonian</w:t>
            </w:r>
          </w:p>
        </w:tc>
        <w:tc>
          <w:tcPr>
            <w:tcW w:w="830" w:type="dxa"/>
          </w:tcPr>
          <w:p w14:paraId="4FFFBF20" w14:textId="77777777" w:rsidR="00943C29" w:rsidRPr="003F4289" w:rsidRDefault="00943C29" w:rsidP="00301650">
            <w:pPr>
              <w:pStyle w:val="NormalWeb"/>
              <w:jc w:val="both"/>
              <w:rPr>
                <w:rFonts w:asciiTheme="majorBidi" w:eastAsiaTheme="minorHAnsi" w:hAnsiTheme="majorBidi" w:cstheme="majorBidi"/>
                <w:color w:val="000000"/>
                <w:sz w:val="22"/>
                <w:szCs w:val="22"/>
              </w:rPr>
            </w:pPr>
          </w:p>
        </w:tc>
        <w:tc>
          <w:tcPr>
            <w:tcW w:w="1420" w:type="dxa"/>
          </w:tcPr>
          <w:p w14:paraId="2153FC1A"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p>
        </w:tc>
        <w:tc>
          <w:tcPr>
            <w:tcW w:w="1440" w:type="dxa"/>
          </w:tcPr>
          <w:p w14:paraId="2DFB443E" w14:textId="77777777" w:rsidR="00943C29" w:rsidRPr="003F4289" w:rsidRDefault="00943C29" w:rsidP="00301650">
            <w:pPr>
              <w:pStyle w:val="NormalWeb"/>
              <w:jc w:val="both"/>
              <w:rPr>
                <w:rFonts w:asciiTheme="majorBidi" w:eastAsiaTheme="minorHAnsi" w:hAnsiTheme="majorBidi" w:cstheme="majorBidi"/>
                <w:color w:val="000000"/>
                <w:sz w:val="22"/>
                <w:szCs w:val="22"/>
              </w:rPr>
            </w:pPr>
            <w:r w:rsidRPr="003F4289">
              <w:rPr>
                <w:rFonts w:asciiTheme="majorBidi" w:eastAsiaTheme="minorHAnsi" w:hAnsiTheme="majorBidi" w:cstheme="majorBidi"/>
                <w:color w:val="000000"/>
                <w:sz w:val="22"/>
                <w:szCs w:val="22"/>
              </w:rPr>
              <w:t>149.2</w:t>
            </w:r>
          </w:p>
        </w:tc>
        <w:tc>
          <w:tcPr>
            <w:tcW w:w="1665" w:type="dxa"/>
          </w:tcPr>
          <w:p w14:paraId="1B75CD5A"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p>
        </w:tc>
        <w:tc>
          <w:tcPr>
            <w:tcW w:w="1784" w:type="dxa"/>
          </w:tcPr>
          <w:p w14:paraId="1153AC79"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p>
        </w:tc>
        <w:tc>
          <w:tcPr>
            <w:tcW w:w="1141" w:type="dxa"/>
          </w:tcPr>
          <w:p w14:paraId="520C48F7"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p>
        </w:tc>
        <w:tc>
          <w:tcPr>
            <w:tcW w:w="1141" w:type="dxa"/>
          </w:tcPr>
          <w:p w14:paraId="3C580F9C" w14:textId="77777777" w:rsidR="00943C29" w:rsidRPr="003F4289" w:rsidRDefault="00943C29" w:rsidP="00301650">
            <w:pPr>
              <w:pStyle w:val="NormalWeb"/>
              <w:ind w:firstLine="360"/>
              <w:jc w:val="both"/>
              <w:rPr>
                <w:rFonts w:asciiTheme="majorBidi" w:eastAsiaTheme="minorHAnsi" w:hAnsiTheme="majorBidi" w:cstheme="majorBidi"/>
                <w:color w:val="000000"/>
                <w:sz w:val="22"/>
                <w:szCs w:val="22"/>
              </w:rPr>
            </w:pPr>
          </w:p>
        </w:tc>
      </w:tr>
    </w:tbl>
    <w:p w14:paraId="21E21FDA" w14:textId="77777777" w:rsidR="00943C29" w:rsidRPr="003F4289" w:rsidRDefault="00943C29" w:rsidP="00301650">
      <w:pPr>
        <w:spacing w:line="240" w:lineRule="auto"/>
        <w:jc w:val="both"/>
        <w:rPr>
          <w:rFonts w:asciiTheme="majorBidi" w:hAnsiTheme="majorBidi" w:cstheme="majorBidi"/>
          <w:color w:val="1F1F1F"/>
          <w:highlight w:val="yellow"/>
        </w:rPr>
      </w:pPr>
    </w:p>
    <w:p w14:paraId="5ECB4300" w14:textId="2E083454" w:rsidR="00F400D5" w:rsidRPr="003F4289" w:rsidRDefault="00301650" w:rsidP="00301650">
      <w:pPr>
        <w:spacing w:line="240" w:lineRule="auto"/>
        <w:ind w:firstLine="284"/>
        <w:jc w:val="both"/>
        <w:rPr>
          <w:rFonts w:asciiTheme="majorBidi" w:hAnsiTheme="majorBidi" w:cstheme="majorBidi"/>
          <w:lang w:val="en-US"/>
        </w:rPr>
      </w:pPr>
      <w:r w:rsidRPr="003F4289">
        <w:rPr>
          <w:rFonts w:asciiTheme="majorBidi" w:hAnsiTheme="majorBidi" w:cstheme="majorBidi"/>
          <w:b/>
          <w:bCs/>
          <w:lang w:val="en-US"/>
        </w:rPr>
        <w:t>Table S2</w:t>
      </w:r>
      <w:r w:rsidR="00F400D5" w:rsidRPr="003F4289">
        <w:rPr>
          <w:rFonts w:asciiTheme="majorBidi" w:hAnsiTheme="majorBidi" w:cstheme="majorBidi"/>
          <w:b/>
          <w:bCs/>
          <w:lang w:val="en-US"/>
        </w:rPr>
        <w:t xml:space="preserve">. </w:t>
      </w:r>
      <w:r w:rsidRPr="003F4289">
        <w:rPr>
          <w:rFonts w:asciiTheme="majorBidi" w:hAnsiTheme="majorBidi" w:cstheme="majorBidi"/>
          <w:lang w:val="en-US"/>
        </w:rPr>
        <w:t>Astronomical calibration tie points</w:t>
      </w:r>
    </w:p>
    <w:tbl>
      <w:tblPr>
        <w:tblStyle w:val="TableGrid"/>
        <w:tblW w:w="0" w:type="auto"/>
        <w:tblLook w:val="04A0" w:firstRow="1" w:lastRow="0" w:firstColumn="1" w:lastColumn="0" w:noHBand="0" w:noVBand="1"/>
      </w:tblPr>
      <w:tblGrid>
        <w:gridCol w:w="2014"/>
        <w:gridCol w:w="1266"/>
        <w:gridCol w:w="1325"/>
        <w:gridCol w:w="1497"/>
        <w:gridCol w:w="1660"/>
        <w:gridCol w:w="1588"/>
      </w:tblGrid>
      <w:tr w:rsidR="00F400D5" w:rsidRPr="003F4289" w14:paraId="2A2C5630" w14:textId="77777777" w:rsidTr="00426CB1">
        <w:tc>
          <w:tcPr>
            <w:tcW w:w="2014" w:type="dxa"/>
          </w:tcPr>
          <w:p w14:paraId="36D63CE7" w14:textId="77777777" w:rsidR="00F400D5" w:rsidRPr="003F4289" w:rsidRDefault="00F400D5" w:rsidP="00301650">
            <w:pPr>
              <w:spacing w:after="160"/>
              <w:jc w:val="both"/>
              <w:rPr>
                <w:rFonts w:asciiTheme="majorBidi" w:hAnsiTheme="majorBidi" w:cstheme="majorBidi"/>
                <w:lang w:val="en-GB"/>
              </w:rPr>
            </w:pPr>
            <w:r w:rsidRPr="003F4289">
              <w:rPr>
                <w:rFonts w:asciiTheme="majorBidi" w:hAnsiTheme="majorBidi" w:cstheme="majorBidi"/>
              </w:rPr>
              <w:t>Age model</w:t>
            </w:r>
          </w:p>
        </w:tc>
        <w:tc>
          <w:tcPr>
            <w:tcW w:w="1266" w:type="dxa"/>
          </w:tcPr>
          <w:p w14:paraId="53EB44F4" w14:textId="77777777" w:rsidR="00F400D5" w:rsidRPr="003F4289" w:rsidRDefault="00F400D5" w:rsidP="00301650">
            <w:pPr>
              <w:spacing w:after="160"/>
              <w:jc w:val="both"/>
              <w:rPr>
                <w:rFonts w:asciiTheme="majorBidi" w:hAnsiTheme="majorBidi" w:cstheme="majorBidi"/>
                <w:lang w:val="en-GB"/>
              </w:rPr>
            </w:pPr>
            <w:r w:rsidRPr="003F4289">
              <w:rPr>
                <w:rFonts w:asciiTheme="majorBidi" w:hAnsiTheme="majorBidi" w:cstheme="majorBidi"/>
              </w:rPr>
              <w:t>Cycle number</w:t>
            </w:r>
          </w:p>
        </w:tc>
        <w:tc>
          <w:tcPr>
            <w:tcW w:w="1325" w:type="dxa"/>
          </w:tcPr>
          <w:p w14:paraId="03C13915" w14:textId="77777777" w:rsidR="00F400D5" w:rsidRPr="003F4289" w:rsidRDefault="00F400D5" w:rsidP="00301650">
            <w:pPr>
              <w:spacing w:after="160"/>
              <w:jc w:val="both"/>
              <w:rPr>
                <w:rFonts w:asciiTheme="majorBidi" w:hAnsiTheme="majorBidi" w:cstheme="majorBidi"/>
                <w:lang w:val="en-GB"/>
              </w:rPr>
            </w:pPr>
            <w:r w:rsidRPr="003F4289">
              <w:rPr>
                <w:rFonts w:asciiTheme="majorBidi" w:hAnsiTheme="majorBidi" w:cstheme="majorBidi"/>
              </w:rPr>
              <w:t>depth</w:t>
            </w:r>
          </w:p>
        </w:tc>
        <w:tc>
          <w:tcPr>
            <w:tcW w:w="1497" w:type="dxa"/>
          </w:tcPr>
          <w:p w14:paraId="26B79872" w14:textId="77777777" w:rsidR="00F400D5" w:rsidRPr="003F4289" w:rsidRDefault="00F400D5" w:rsidP="00301650">
            <w:pPr>
              <w:spacing w:after="160"/>
              <w:jc w:val="both"/>
              <w:rPr>
                <w:rFonts w:asciiTheme="majorBidi" w:hAnsiTheme="majorBidi" w:cstheme="majorBidi"/>
                <w:lang w:val="en-GB"/>
              </w:rPr>
            </w:pPr>
            <w:r w:rsidRPr="003F4289">
              <w:rPr>
                <w:rFonts w:asciiTheme="majorBidi" w:hAnsiTheme="majorBidi" w:cstheme="majorBidi"/>
              </w:rPr>
              <w:t>Time (kyr)</w:t>
            </w:r>
          </w:p>
        </w:tc>
        <w:tc>
          <w:tcPr>
            <w:tcW w:w="1660" w:type="dxa"/>
          </w:tcPr>
          <w:p w14:paraId="6C6021A2"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La2010b</w:t>
            </w:r>
            <w:r w:rsidR="00D27791" w:rsidRPr="003F4289">
              <w:rPr>
                <w:rFonts w:asciiTheme="majorBidi" w:hAnsiTheme="majorBidi" w:cstheme="majorBidi"/>
              </w:rPr>
              <w:t xml:space="preserve"> target</w:t>
            </w:r>
          </w:p>
        </w:tc>
        <w:tc>
          <w:tcPr>
            <w:tcW w:w="1588" w:type="dxa"/>
          </w:tcPr>
          <w:p w14:paraId="3EF723FC" w14:textId="77777777" w:rsidR="00F400D5" w:rsidRPr="003F4289" w:rsidRDefault="00F400D5" w:rsidP="00301650">
            <w:pPr>
              <w:spacing w:after="160"/>
              <w:jc w:val="both"/>
              <w:rPr>
                <w:rFonts w:asciiTheme="majorBidi" w:hAnsiTheme="majorBidi" w:cstheme="majorBidi"/>
                <w:lang w:val="en-GB"/>
              </w:rPr>
            </w:pPr>
            <w:r w:rsidRPr="003F4289">
              <w:rPr>
                <w:rFonts w:asciiTheme="majorBidi" w:hAnsiTheme="majorBidi" w:cstheme="majorBidi"/>
                <w:lang w:val="en-GB"/>
              </w:rPr>
              <w:t>SR</w:t>
            </w:r>
          </w:p>
        </w:tc>
      </w:tr>
      <w:tr w:rsidR="00F400D5" w:rsidRPr="003F4289" w14:paraId="081A0AEF" w14:textId="77777777" w:rsidTr="00426CB1">
        <w:tc>
          <w:tcPr>
            <w:tcW w:w="2014" w:type="dxa"/>
          </w:tcPr>
          <w:p w14:paraId="01F32889" w14:textId="77777777" w:rsidR="00F400D5" w:rsidRPr="003F4289" w:rsidRDefault="00F400D5" w:rsidP="00301650">
            <w:pPr>
              <w:spacing w:after="160"/>
              <w:jc w:val="both"/>
              <w:rPr>
                <w:rFonts w:asciiTheme="majorBidi" w:hAnsiTheme="majorBidi" w:cstheme="majorBidi"/>
                <w:lang w:val="en-GB"/>
              </w:rPr>
            </w:pPr>
            <w:r w:rsidRPr="003F4289">
              <w:rPr>
                <w:rFonts w:asciiTheme="majorBidi" w:hAnsiTheme="majorBidi" w:cstheme="majorBidi"/>
              </w:rPr>
              <w:t>Max405</w:t>
            </w:r>
          </w:p>
        </w:tc>
        <w:tc>
          <w:tcPr>
            <w:tcW w:w="1266" w:type="dxa"/>
          </w:tcPr>
          <w:p w14:paraId="6866D2FA"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1</w:t>
            </w:r>
          </w:p>
        </w:tc>
        <w:tc>
          <w:tcPr>
            <w:tcW w:w="1325" w:type="dxa"/>
          </w:tcPr>
          <w:p w14:paraId="4BB8BE67" w14:textId="77777777" w:rsidR="00F400D5" w:rsidRPr="003F4289" w:rsidRDefault="00F400D5" w:rsidP="00301650">
            <w:pPr>
              <w:spacing w:after="160"/>
              <w:jc w:val="both"/>
              <w:rPr>
                <w:rFonts w:asciiTheme="majorBidi" w:hAnsiTheme="majorBidi" w:cstheme="majorBidi"/>
                <w:lang w:val="en-GB"/>
              </w:rPr>
            </w:pPr>
            <w:r w:rsidRPr="003F4289">
              <w:rPr>
                <w:rFonts w:asciiTheme="majorBidi" w:hAnsiTheme="majorBidi" w:cstheme="majorBidi"/>
              </w:rPr>
              <w:t>0.8</w:t>
            </w:r>
          </w:p>
        </w:tc>
        <w:tc>
          <w:tcPr>
            <w:tcW w:w="1497" w:type="dxa"/>
          </w:tcPr>
          <w:p w14:paraId="096D5062" w14:textId="77777777" w:rsidR="00F400D5" w:rsidRPr="003F4289" w:rsidRDefault="0083125E" w:rsidP="00301650">
            <w:pPr>
              <w:spacing w:after="160"/>
              <w:jc w:val="both"/>
              <w:rPr>
                <w:rFonts w:asciiTheme="majorBidi" w:hAnsiTheme="majorBidi" w:cstheme="majorBidi"/>
                <w:lang w:val="en-GB"/>
              </w:rPr>
            </w:pPr>
            <w:r w:rsidRPr="003F4289">
              <w:rPr>
                <w:rFonts w:asciiTheme="majorBidi" w:hAnsiTheme="majorBidi" w:cstheme="majorBidi"/>
                <w:lang w:val="en-GB"/>
              </w:rPr>
              <w:t>415</w:t>
            </w:r>
          </w:p>
        </w:tc>
        <w:tc>
          <w:tcPr>
            <w:tcW w:w="1660" w:type="dxa"/>
          </w:tcPr>
          <w:p w14:paraId="41B186B5" w14:textId="77777777" w:rsidR="00F400D5" w:rsidRPr="003F4289" w:rsidRDefault="00572F0B" w:rsidP="00301650">
            <w:pPr>
              <w:spacing w:after="160"/>
              <w:jc w:val="both"/>
              <w:rPr>
                <w:rFonts w:asciiTheme="majorBidi" w:hAnsiTheme="majorBidi" w:cstheme="majorBidi"/>
              </w:rPr>
            </w:pPr>
            <w:r w:rsidRPr="003F4289">
              <w:rPr>
                <w:rFonts w:asciiTheme="majorBidi" w:hAnsiTheme="majorBidi" w:cstheme="majorBidi"/>
              </w:rPr>
              <w:t>138176</w:t>
            </w:r>
          </w:p>
        </w:tc>
        <w:tc>
          <w:tcPr>
            <w:tcW w:w="1588" w:type="dxa"/>
          </w:tcPr>
          <w:p w14:paraId="5289B60E" w14:textId="77777777" w:rsidR="00F400D5" w:rsidRPr="003F4289" w:rsidRDefault="00F400D5" w:rsidP="00301650">
            <w:pPr>
              <w:spacing w:after="160"/>
              <w:jc w:val="both"/>
              <w:rPr>
                <w:rFonts w:asciiTheme="majorBidi" w:hAnsiTheme="majorBidi" w:cstheme="majorBidi"/>
                <w:lang w:val="en-GB"/>
              </w:rPr>
            </w:pPr>
          </w:p>
        </w:tc>
      </w:tr>
      <w:tr w:rsidR="00722C2A" w:rsidRPr="003F4289" w14:paraId="3C9CB8B4" w14:textId="77777777" w:rsidTr="00655500">
        <w:tc>
          <w:tcPr>
            <w:tcW w:w="9350" w:type="dxa"/>
            <w:gridSpan w:val="6"/>
          </w:tcPr>
          <w:p w14:paraId="6A22301D" w14:textId="77777777" w:rsidR="00722C2A" w:rsidRPr="003F4289" w:rsidRDefault="00722C2A" w:rsidP="00301650">
            <w:pPr>
              <w:jc w:val="both"/>
              <w:rPr>
                <w:rFonts w:asciiTheme="majorBidi" w:hAnsiTheme="majorBidi" w:cstheme="majorBidi"/>
                <w:lang w:val="en-GB"/>
              </w:rPr>
            </w:pPr>
            <w:r w:rsidRPr="003F4289">
              <w:rPr>
                <w:rFonts w:asciiTheme="majorBidi" w:hAnsiTheme="majorBidi" w:cstheme="majorBidi"/>
                <w:color w:val="FF0000"/>
                <w:lang w:val="en-GB"/>
              </w:rPr>
              <w:t>3.1 m = 137.91 +- 0.1 Ma</w:t>
            </w:r>
          </w:p>
        </w:tc>
      </w:tr>
      <w:tr w:rsidR="00F400D5" w:rsidRPr="003F4289" w14:paraId="1FBD0AC6" w14:textId="77777777" w:rsidTr="00426CB1">
        <w:tc>
          <w:tcPr>
            <w:tcW w:w="2014" w:type="dxa"/>
          </w:tcPr>
          <w:p w14:paraId="6366A802" w14:textId="77777777" w:rsidR="00F400D5" w:rsidRPr="003F4289" w:rsidRDefault="00F400D5" w:rsidP="00301650">
            <w:pPr>
              <w:spacing w:after="160"/>
              <w:jc w:val="both"/>
              <w:rPr>
                <w:rFonts w:asciiTheme="majorBidi" w:hAnsiTheme="majorBidi" w:cstheme="majorBidi"/>
                <w:lang w:val="en-GB"/>
              </w:rPr>
            </w:pPr>
            <w:r w:rsidRPr="003F4289">
              <w:rPr>
                <w:rFonts w:asciiTheme="majorBidi" w:hAnsiTheme="majorBidi" w:cstheme="majorBidi"/>
              </w:rPr>
              <w:t>Max405</w:t>
            </w:r>
          </w:p>
        </w:tc>
        <w:tc>
          <w:tcPr>
            <w:tcW w:w="1266" w:type="dxa"/>
          </w:tcPr>
          <w:p w14:paraId="74482DAA"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2</w:t>
            </w:r>
          </w:p>
        </w:tc>
        <w:tc>
          <w:tcPr>
            <w:tcW w:w="1325" w:type="dxa"/>
          </w:tcPr>
          <w:p w14:paraId="100CC3E7" w14:textId="77777777" w:rsidR="00F400D5" w:rsidRPr="003F4289" w:rsidRDefault="00F400D5" w:rsidP="00301650">
            <w:pPr>
              <w:spacing w:after="160"/>
              <w:jc w:val="both"/>
              <w:rPr>
                <w:rFonts w:asciiTheme="majorBidi" w:hAnsiTheme="majorBidi" w:cstheme="majorBidi"/>
                <w:lang w:val="en-GB"/>
              </w:rPr>
            </w:pPr>
            <w:r w:rsidRPr="003F4289">
              <w:rPr>
                <w:rFonts w:asciiTheme="majorBidi" w:hAnsiTheme="majorBidi" w:cstheme="majorBidi"/>
              </w:rPr>
              <w:t>7.58</w:t>
            </w:r>
          </w:p>
        </w:tc>
        <w:tc>
          <w:tcPr>
            <w:tcW w:w="1497" w:type="dxa"/>
          </w:tcPr>
          <w:p w14:paraId="54C4332F" w14:textId="77777777" w:rsidR="00F400D5" w:rsidRPr="003F4289" w:rsidRDefault="0083125E" w:rsidP="00301650">
            <w:pPr>
              <w:spacing w:after="160"/>
              <w:jc w:val="both"/>
              <w:rPr>
                <w:rFonts w:asciiTheme="majorBidi" w:hAnsiTheme="majorBidi" w:cstheme="majorBidi"/>
                <w:lang w:val="en-GB"/>
              </w:rPr>
            </w:pPr>
            <w:r w:rsidRPr="003F4289">
              <w:rPr>
                <w:rFonts w:asciiTheme="majorBidi" w:hAnsiTheme="majorBidi" w:cstheme="majorBidi"/>
                <w:lang w:val="en-GB"/>
              </w:rPr>
              <w:t>815</w:t>
            </w:r>
          </w:p>
        </w:tc>
        <w:tc>
          <w:tcPr>
            <w:tcW w:w="1660" w:type="dxa"/>
          </w:tcPr>
          <w:p w14:paraId="05EC69BF" w14:textId="77777777" w:rsidR="00F400D5" w:rsidRPr="003F4289" w:rsidRDefault="00572F0B" w:rsidP="00301650">
            <w:pPr>
              <w:spacing w:after="160"/>
              <w:jc w:val="both"/>
              <w:rPr>
                <w:rFonts w:asciiTheme="majorBidi" w:hAnsiTheme="majorBidi" w:cstheme="majorBidi"/>
                <w:lang w:val="en-GB"/>
              </w:rPr>
            </w:pPr>
            <w:r w:rsidRPr="003F4289">
              <w:rPr>
                <w:rFonts w:asciiTheme="majorBidi" w:hAnsiTheme="majorBidi" w:cstheme="majorBidi"/>
                <w:lang w:val="en-GB"/>
              </w:rPr>
              <w:t>138601</w:t>
            </w:r>
          </w:p>
        </w:tc>
        <w:tc>
          <w:tcPr>
            <w:tcW w:w="1588" w:type="dxa"/>
          </w:tcPr>
          <w:p w14:paraId="59A1656E" w14:textId="77777777" w:rsidR="00F400D5" w:rsidRPr="003F4289" w:rsidRDefault="00F400D5" w:rsidP="00301650">
            <w:pPr>
              <w:spacing w:after="160"/>
              <w:jc w:val="both"/>
              <w:rPr>
                <w:rFonts w:asciiTheme="majorBidi" w:hAnsiTheme="majorBidi" w:cstheme="majorBidi"/>
                <w:lang w:val="en-GB"/>
              </w:rPr>
            </w:pPr>
          </w:p>
        </w:tc>
      </w:tr>
      <w:tr w:rsidR="00F400D5" w:rsidRPr="003F4289" w14:paraId="0F4CAC05" w14:textId="77777777" w:rsidTr="00426CB1">
        <w:tc>
          <w:tcPr>
            <w:tcW w:w="2014" w:type="dxa"/>
          </w:tcPr>
          <w:p w14:paraId="3253114B"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Max405</w:t>
            </w:r>
          </w:p>
        </w:tc>
        <w:tc>
          <w:tcPr>
            <w:tcW w:w="1266" w:type="dxa"/>
          </w:tcPr>
          <w:p w14:paraId="37CB2909"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3</w:t>
            </w:r>
          </w:p>
        </w:tc>
        <w:tc>
          <w:tcPr>
            <w:tcW w:w="1325" w:type="dxa"/>
          </w:tcPr>
          <w:p w14:paraId="07F2205B"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14.4</w:t>
            </w:r>
          </w:p>
        </w:tc>
        <w:tc>
          <w:tcPr>
            <w:tcW w:w="1497" w:type="dxa"/>
          </w:tcPr>
          <w:p w14:paraId="6ECFED9E" w14:textId="77777777" w:rsidR="00F400D5" w:rsidRPr="003F4289" w:rsidRDefault="0083125E" w:rsidP="00301650">
            <w:pPr>
              <w:spacing w:after="160"/>
              <w:jc w:val="both"/>
              <w:rPr>
                <w:rFonts w:asciiTheme="majorBidi" w:hAnsiTheme="majorBidi" w:cstheme="majorBidi"/>
                <w:lang w:val="en-GB"/>
              </w:rPr>
            </w:pPr>
            <w:r w:rsidRPr="003F4289">
              <w:rPr>
                <w:rFonts w:asciiTheme="majorBidi" w:hAnsiTheme="majorBidi" w:cstheme="majorBidi"/>
                <w:lang w:val="en-GB"/>
              </w:rPr>
              <w:t>1215</w:t>
            </w:r>
          </w:p>
        </w:tc>
        <w:tc>
          <w:tcPr>
            <w:tcW w:w="1660" w:type="dxa"/>
          </w:tcPr>
          <w:p w14:paraId="39DBA6D5" w14:textId="77777777" w:rsidR="00F400D5" w:rsidRPr="003F4289" w:rsidRDefault="00572F0B" w:rsidP="00301650">
            <w:pPr>
              <w:spacing w:after="160"/>
              <w:jc w:val="both"/>
              <w:rPr>
                <w:rFonts w:asciiTheme="majorBidi" w:hAnsiTheme="majorBidi" w:cstheme="majorBidi"/>
              </w:rPr>
            </w:pPr>
            <w:r w:rsidRPr="003F4289">
              <w:rPr>
                <w:rFonts w:asciiTheme="majorBidi" w:hAnsiTheme="majorBidi" w:cstheme="majorBidi"/>
              </w:rPr>
              <w:t>139003</w:t>
            </w:r>
          </w:p>
        </w:tc>
        <w:tc>
          <w:tcPr>
            <w:tcW w:w="1588" w:type="dxa"/>
          </w:tcPr>
          <w:p w14:paraId="3A9C0A87" w14:textId="77777777" w:rsidR="00F400D5" w:rsidRPr="003F4289" w:rsidRDefault="00F400D5" w:rsidP="00301650">
            <w:pPr>
              <w:spacing w:after="160"/>
              <w:jc w:val="both"/>
              <w:rPr>
                <w:rFonts w:asciiTheme="majorBidi" w:hAnsiTheme="majorBidi" w:cstheme="majorBidi"/>
                <w:lang w:val="en-GB"/>
              </w:rPr>
            </w:pPr>
          </w:p>
        </w:tc>
      </w:tr>
      <w:tr w:rsidR="00722C2A" w:rsidRPr="003F4289" w14:paraId="62D1042C" w14:textId="77777777" w:rsidTr="00655500">
        <w:tc>
          <w:tcPr>
            <w:tcW w:w="9350" w:type="dxa"/>
            <w:gridSpan w:val="6"/>
          </w:tcPr>
          <w:p w14:paraId="0B700087" w14:textId="77777777" w:rsidR="00722C2A" w:rsidRPr="003F4289" w:rsidRDefault="00722C2A" w:rsidP="00301650">
            <w:pPr>
              <w:jc w:val="both"/>
              <w:rPr>
                <w:rFonts w:asciiTheme="majorBidi" w:hAnsiTheme="majorBidi" w:cstheme="majorBidi"/>
                <w:lang w:val="en-GB"/>
              </w:rPr>
            </w:pPr>
            <w:r w:rsidRPr="003F4289">
              <w:rPr>
                <w:rFonts w:asciiTheme="majorBidi" w:hAnsiTheme="majorBidi" w:cstheme="majorBidi"/>
                <w:color w:val="FF0000"/>
                <w:lang w:val="en-GB"/>
              </w:rPr>
              <w:t>21.1 m = 138.64 +- 0.03 Ma</w:t>
            </w:r>
          </w:p>
        </w:tc>
      </w:tr>
      <w:tr w:rsidR="00F400D5" w:rsidRPr="003F4289" w14:paraId="3AE10018" w14:textId="77777777" w:rsidTr="00426CB1">
        <w:tc>
          <w:tcPr>
            <w:tcW w:w="2014" w:type="dxa"/>
          </w:tcPr>
          <w:p w14:paraId="0799F09E"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Max405</w:t>
            </w:r>
          </w:p>
        </w:tc>
        <w:tc>
          <w:tcPr>
            <w:tcW w:w="1266" w:type="dxa"/>
          </w:tcPr>
          <w:p w14:paraId="37B08EB4"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4</w:t>
            </w:r>
          </w:p>
        </w:tc>
        <w:tc>
          <w:tcPr>
            <w:tcW w:w="1325" w:type="dxa"/>
          </w:tcPr>
          <w:p w14:paraId="0B5F56CD"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21.7</w:t>
            </w:r>
          </w:p>
        </w:tc>
        <w:tc>
          <w:tcPr>
            <w:tcW w:w="1497" w:type="dxa"/>
          </w:tcPr>
          <w:p w14:paraId="6391ADEB" w14:textId="77777777" w:rsidR="00F400D5" w:rsidRPr="003F4289" w:rsidRDefault="0083125E" w:rsidP="00301650">
            <w:pPr>
              <w:spacing w:after="160"/>
              <w:jc w:val="both"/>
              <w:rPr>
                <w:rFonts w:asciiTheme="majorBidi" w:hAnsiTheme="majorBidi" w:cstheme="majorBidi"/>
                <w:lang w:val="en-GB"/>
              </w:rPr>
            </w:pPr>
            <w:r w:rsidRPr="003F4289">
              <w:rPr>
                <w:rFonts w:asciiTheme="majorBidi" w:hAnsiTheme="majorBidi" w:cstheme="majorBidi"/>
                <w:lang w:val="en-GB"/>
              </w:rPr>
              <w:t>1617</w:t>
            </w:r>
          </w:p>
        </w:tc>
        <w:tc>
          <w:tcPr>
            <w:tcW w:w="1660" w:type="dxa"/>
          </w:tcPr>
          <w:p w14:paraId="66C9FA18" w14:textId="77777777" w:rsidR="00F400D5" w:rsidRPr="003F4289" w:rsidRDefault="00572F0B" w:rsidP="00301650">
            <w:pPr>
              <w:spacing w:after="160"/>
              <w:jc w:val="both"/>
              <w:rPr>
                <w:rFonts w:asciiTheme="majorBidi" w:hAnsiTheme="majorBidi" w:cstheme="majorBidi"/>
              </w:rPr>
            </w:pPr>
            <w:r w:rsidRPr="003F4289">
              <w:rPr>
                <w:rFonts w:asciiTheme="majorBidi" w:hAnsiTheme="majorBidi" w:cstheme="majorBidi"/>
              </w:rPr>
              <w:t>139417</w:t>
            </w:r>
          </w:p>
        </w:tc>
        <w:tc>
          <w:tcPr>
            <w:tcW w:w="1588" w:type="dxa"/>
          </w:tcPr>
          <w:p w14:paraId="6D8C4FDF" w14:textId="77777777" w:rsidR="00F400D5" w:rsidRPr="003F4289" w:rsidRDefault="00F400D5" w:rsidP="00301650">
            <w:pPr>
              <w:spacing w:after="160"/>
              <w:jc w:val="both"/>
              <w:rPr>
                <w:rFonts w:asciiTheme="majorBidi" w:hAnsiTheme="majorBidi" w:cstheme="majorBidi"/>
                <w:lang w:val="en-GB"/>
              </w:rPr>
            </w:pPr>
          </w:p>
        </w:tc>
      </w:tr>
      <w:tr w:rsidR="00F400D5" w:rsidRPr="003F4289" w14:paraId="2DB1D5FC" w14:textId="77777777" w:rsidTr="00426CB1">
        <w:tc>
          <w:tcPr>
            <w:tcW w:w="2014" w:type="dxa"/>
          </w:tcPr>
          <w:p w14:paraId="64CD69B7"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Max405</w:t>
            </w:r>
          </w:p>
        </w:tc>
        <w:tc>
          <w:tcPr>
            <w:tcW w:w="1266" w:type="dxa"/>
          </w:tcPr>
          <w:p w14:paraId="375D78E2"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5</w:t>
            </w:r>
          </w:p>
        </w:tc>
        <w:tc>
          <w:tcPr>
            <w:tcW w:w="1325" w:type="dxa"/>
          </w:tcPr>
          <w:p w14:paraId="17F3430E"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29.3</w:t>
            </w:r>
          </w:p>
        </w:tc>
        <w:tc>
          <w:tcPr>
            <w:tcW w:w="1497" w:type="dxa"/>
          </w:tcPr>
          <w:p w14:paraId="6A603877" w14:textId="77777777" w:rsidR="00F400D5" w:rsidRPr="003F4289" w:rsidRDefault="0083125E" w:rsidP="00301650">
            <w:pPr>
              <w:spacing w:after="160"/>
              <w:jc w:val="both"/>
              <w:rPr>
                <w:rFonts w:asciiTheme="majorBidi" w:hAnsiTheme="majorBidi" w:cstheme="majorBidi"/>
                <w:lang w:val="en-GB"/>
              </w:rPr>
            </w:pPr>
            <w:r w:rsidRPr="003F4289">
              <w:rPr>
                <w:rFonts w:asciiTheme="majorBidi" w:hAnsiTheme="majorBidi" w:cstheme="majorBidi"/>
                <w:lang w:val="en-GB"/>
              </w:rPr>
              <w:t>2024</w:t>
            </w:r>
          </w:p>
        </w:tc>
        <w:tc>
          <w:tcPr>
            <w:tcW w:w="1660" w:type="dxa"/>
          </w:tcPr>
          <w:p w14:paraId="086318E8" w14:textId="77777777" w:rsidR="00F400D5" w:rsidRPr="003F4289" w:rsidRDefault="00572F0B" w:rsidP="00301650">
            <w:pPr>
              <w:spacing w:after="160"/>
              <w:jc w:val="both"/>
              <w:rPr>
                <w:rFonts w:asciiTheme="majorBidi" w:hAnsiTheme="majorBidi" w:cstheme="majorBidi"/>
              </w:rPr>
            </w:pPr>
            <w:r w:rsidRPr="003F4289">
              <w:rPr>
                <w:rFonts w:asciiTheme="majorBidi" w:hAnsiTheme="majorBidi" w:cstheme="majorBidi"/>
              </w:rPr>
              <w:t>139816</w:t>
            </w:r>
          </w:p>
        </w:tc>
        <w:tc>
          <w:tcPr>
            <w:tcW w:w="1588" w:type="dxa"/>
          </w:tcPr>
          <w:p w14:paraId="5CBF306E" w14:textId="77777777" w:rsidR="00F400D5" w:rsidRPr="003F4289" w:rsidRDefault="00F400D5" w:rsidP="00301650">
            <w:pPr>
              <w:spacing w:after="160"/>
              <w:jc w:val="both"/>
              <w:rPr>
                <w:rFonts w:asciiTheme="majorBidi" w:hAnsiTheme="majorBidi" w:cstheme="majorBidi"/>
                <w:lang w:val="en-GB"/>
              </w:rPr>
            </w:pPr>
          </w:p>
        </w:tc>
      </w:tr>
      <w:tr w:rsidR="00F400D5" w:rsidRPr="003F4289" w14:paraId="0649919E" w14:textId="77777777" w:rsidTr="00426CB1">
        <w:tc>
          <w:tcPr>
            <w:tcW w:w="2014" w:type="dxa"/>
          </w:tcPr>
          <w:p w14:paraId="1A6AFF36" w14:textId="77777777" w:rsidR="00F400D5" w:rsidRPr="003F4289" w:rsidRDefault="00F400D5" w:rsidP="00301650">
            <w:pPr>
              <w:spacing w:after="160"/>
              <w:jc w:val="both"/>
              <w:rPr>
                <w:rFonts w:asciiTheme="majorBidi" w:hAnsiTheme="majorBidi" w:cstheme="majorBidi"/>
                <w:lang w:val="en-GB"/>
              </w:rPr>
            </w:pPr>
            <w:r w:rsidRPr="003F4289">
              <w:rPr>
                <w:rFonts w:asciiTheme="majorBidi" w:hAnsiTheme="majorBidi" w:cstheme="majorBidi"/>
              </w:rPr>
              <w:t>Max405</w:t>
            </w:r>
          </w:p>
        </w:tc>
        <w:tc>
          <w:tcPr>
            <w:tcW w:w="1266" w:type="dxa"/>
          </w:tcPr>
          <w:p w14:paraId="15CD8C38"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6</w:t>
            </w:r>
          </w:p>
        </w:tc>
        <w:tc>
          <w:tcPr>
            <w:tcW w:w="1325" w:type="dxa"/>
          </w:tcPr>
          <w:p w14:paraId="0988EC68" w14:textId="77777777" w:rsidR="00F400D5" w:rsidRPr="003F4289" w:rsidRDefault="00F400D5" w:rsidP="00301650">
            <w:pPr>
              <w:spacing w:after="160"/>
              <w:jc w:val="both"/>
              <w:rPr>
                <w:rFonts w:asciiTheme="majorBidi" w:hAnsiTheme="majorBidi" w:cstheme="majorBidi"/>
                <w:lang w:val="en-GB"/>
              </w:rPr>
            </w:pPr>
            <w:r w:rsidRPr="003F4289">
              <w:rPr>
                <w:rFonts w:asciiTheme="majorBidi" w:hAnsiTheme="majorBidi" w:cstheme="majorBidi"/>
              </w:rPr>
              <w:t>37.13</w:t>
            </w:r>
          </w:p>
        </w:tc>
        <w:tc>
          <w:tcPr>
            <w:tcW w:w="1497" w:type="dxa"/>
          </w:tcPr>
          <w:p w14:paraId="64E1FDC3" w14:textId="77777777" w:rsidR="00F400D5" w:rsidRPr="003F4289" w:rsidRDefault="0083125E" w:rsidP="00301650">
            <w:pPr>
              <w:spacing w:after="160"/>
              <w:jc w:val="both"/>
              <w:rPr>
                <w:rFonts w:asciiTheme="majorBidi" w:hAnsiTheme="majorBidi" w:cstheme="majorBidi"/>
                <w:lang w:val="en-GB"/>
              </w:rPr>
            </w:pPr>
            <w:r w:rsidRPr="003F4289">
              <w:rPr>
                <w:rFonts w:asciiTheme="majorBidi" w:hAnsiTheme="majorBidi" w:cstheme="majorBidi"/>
                <w:lang w:val="en-GB"/>
              </w:rPr>
              <w:t>2430</w:t>
            </w:r>
          </w:p>
        </w:tc>
        <w:tc>
          <w:tcPr>
            <w:tcW w:w="1660" w:type="dxa"/>
          </w:tcPr>
          <w:p w14:paraId="4CD11395" w14:textId="77777777" w:rsidR="00F400D5" w:rsidRPr="003F4289" w:rsidRDefault="00572F0B" w:rsidP="00301650">
            <w:pPr>
              <w:spacing w:after="160"/>
              <w:jc w:val="both"/>
              <w:rPr>
                <w:rFonts w:asciiTheme="majorBidi" w:hAnsiTheme="majorBidi" w:cstheme="majorBidi"/>
                <w:lang w:val="en-GB"/>
              </w:rPr>
            </w:pPr>
            <w:r w:rsidRPr="003F4289">
              <w:rPr>
                <w:rFonts w:asciiTheme="majorBidi" w:hAnsiTheme="majorBidi" w:cstheme="majorBidi"/>
                <w:lang w:val="en-GB"/>
              </w:rPr>
              <w:t>140223</w:t>
            </w:r>
          </w:p>
        </w:tc>
        <w:tc>
          <w:tcPr>
            <w:tcW w:w="1588" w:type="dxa"/>
          </w:tcPr>
          <w:p w14:paraId="0BE90AA2" w14:textId="77777777" w:rsidR="00F400D5" w:rsidRPr="003F4289" w:rsidRDefault="00F400D5" w:rsidP="00301650">
            <w:pPr>
              <w:spacing w:after="160"/>
              <w:jc w:val="both"/>
              <w:rPr>
                <w:rFonts w:asciiTheme="majorBidi" w:hAnsiTheme="majorBidi" w:cstheme="majorBidi"/>
                <w:lang w:val="en-GB"/>
              </w:rPr>
            </w:pPr>
          </w:p>
        </w:tc>
      </w:tr>
      <w:tr w:rsidR="00F400D5" w:rsidRPr="003F4289" w14:paraId="4576544B" w14:textId="77777777" w:rsidTr="00426CB1">
        <w:tc>
          <w:tcPr>
            <w:tcW w:w="2014" w:type="dxa"/>
          </w:tcPr>
          <w:p w14:paraId="4F6406AE" w14:textId="77777777" w:rsidR="00F400D5" w:rsidRPr="003F4289" w:rsidRDefault="00F400D5" w:rsidP="00301650">
            <w:pPr>
              <w:spacing w:after="160"/>
              <w:jc w:val="both"/>
              <w:rPr>
                <w:rFonts w:asciiTheme="majorBidi" w:hAnsiTheme="majorBidi" w:cstheme="majorBidi"/>
                <w:lang w:val="en-GB"/>
              </w:rPr>
            </w:pPr>
            <w:r w:rsidRPr="003F4289">
              <w:rPr>
                <w:rFonts w:asciiTheme="majorBidi" w:hAnsiTheme="majorBidi" w:cstheme="majorBidi"/>
              </w:rPr>
              <w:t>Max405</w:t>
            </w:r>
          </w:p>
        </w:tc>
        <w:tc>
          <w:tcPr>
            <w:tcW w:w="1266" w:type="dxa"/>
          </w:tcPr>
          <w:p w14:paraId="4B612876"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7</w:t>
            </w:r>
          </w:p>
        </w:tc>
        <w:tc>
          <w:tcPr>
            <w:tcW w:w="1325" w:type="dxa"/>
          </w:tcPr>
          <w:p w14:paraId="695A1C3E" w14:textId="77777777" w:rsidR="00F400D5" w:rsidRPr="003F4289" w:rsidRDefault="00F400D5" w:rsidP="00301650">
            <w:pPr>
              <w:spacing w:after="160"/>
              <w:jc w:val="both"/>
              <w:rPr>
                <w:rFonts w:asciiTheme="majorBidi" w:hAnsiTheme="majorBidi" w:cstheme="majorBidi"/>
                <w:lang w:val="en-GB"/>
              </w:rPr>
            </w:pPr>
            <w:r w:rsidRPr="003F4289">
              <w:rPr>
                <w:rFonts w:asciiTheme="majorBidi" w:hAnsiTheme="majorBidi" w:cstheme="majorBidi"/>
              </w:rPr>
              <w:t>44.99</w:t>
            </w:r>
          </w:p>
        </w:tc>
        <w:tc>
          <w:tcPr>
            <w:tcW w:w="1497" w:type="dxa"/>
          </w:tcPr>
          <w:p w14:paraId="40FA6D83" w14:textId="77777777" w:rsidR="00F400D5" w:rsidRPr="003F4289" w:rsidRDefault="0083125E" w:rsidP="00301650">
            <w:pPr>
              <w:spacing w:after="160"/>
              <w:jc w:val="both"/>
              <w:rPr>
                <w:rFonts w:asciiTheme="majorBidi" w:hAnsiTheme="majorBidi" w:cstheme="majorBidi"/>
                <w:lang w:val="en-GB"/>
              </w:rPr>
            </w:pPr>
            <w:r w:rsidRPr="003F4289">
              <w:rPr>
                <w:rFonts w:asciiTheme="majorBidi" w:hAnsiTheme="majorBidi" w:cstheme="majorBidi"/>
                <w:lang w:val="en-GB"/>
              </w:rPr>
              <w:t>2827</w:t>
            </w:r>
          </w:p>
        </w:tc>
        <w:tc>
          <w:tcPr>
            <w:tcW w:w="1660" w:type="dxa"/>
          </w:tcPr>
          <w:p w14:paraId="6247FF26" w14:textId="77777777" w:rsidR="00F400D5" w:rsidRPr="003F4289" w:rsidRDefault="00572F0B" w:rsidP="00301650">
            <w:pPr>
              <w:spacing w:after="160"/>
              <w:jc w:val="both"/>
              <w:rPr>
                <w:rFonts w:asciiTheme="majorBidi" w:hAnsiTheme="majorBidi" w:cstheme="majorBidi"/>
                <w:color w:val="000000"/>
              </w:rPr>
            </w:pPr>
            <w:r w:rsidRPr="003F4289">
              <w:rPr>
                <w:rFonts w:asciiTheme="majorBidi" w:hAnsiTheme="majorBidi" w:cstheme="majorBidi"/>
                <w:color w:val="000000"/>
              </w:rPr>
              <w:t>140630</w:t>
            </w:r>
          </w:p>
        </w:tc>
        <w:tc>
          <w:tcPr>
            <w:tcW w:w="1588" w:type="dxa"/>
          </w:tcPr>
          <w:p w14:paraId="7F14365C" w14:textId="77777777" w:rsidR="00F400D5" w:rsidRPr="003F4289" w:rsidRDefault="00F400D5" w:rsidP="00301650">
            <w:pPr>
              <w:spacing w:after="160"/>
              <w:jc w:val="both"/>
              <w:rPr>
                <w:rFonts w:asciiTheme="majorBidi" w:hAnsiTheme="majorBidi" w:cstheme="majorBidi"/>
                <w:lang w:val="en-GB"/>
              </w:rPr>
            </w:pPr>
            <w:r w:rsidRPr="003F4289">
              <w:rPr>
                <w:rFonts w:asciiTheme="majorBidi" w:hAnsiTheme="majorBidi" w:cstheme="majorBidi"/>
                <w:color w:val="000000"/>
              </w:rPr>
              <w:t>2.72</w:t>
            </w:r>
          </w:p>
        </w:tc>
      </w:tr>
      <w:tr w:rsidR="00F400D5" w:rsidRPr="003F4289" w14:paraId="5BE98786" w14:textId="77777777" w:rsidTr="00426CB1">
        <w:tc>
          <w:tcPr>
            <w:tcW w:w="2014" w:type="dxa"/>
          </w:tcPr>
          <w:p w14:paraId="678C983C" w14:textId="77777777" w:rsidR="00F400D5" w:rsidRPr="003F4289" w:rsidRDefault="00F400D5" w:rsidP="00301650">
            <w:pPr>
              <w:spacing w:after="160"/>
              <w:jc w:val="both"/>
              <w:rPr>
                <w:rFonts w:asciiTheme="majorBidi" w:hAnsiTheme="majorBidi" w:cstheme="majorBidi"/>
                <w:lang w:val="en-GB"/>
              </w:rPr>
            </w:pPr>
            <w:r w:rsidRPr="003F4289">
              <w:rPr>
                <w:rFonts w:asciiTheme="majorBidi" w:hAnsiTheme="majorBidi" w:cstheme="majorBidi"/>
              </w:rPr>
              <w:t>Max405</w:t>
            </w:r>
          </w:p>
        </w:tc>
        <w:tc>
          <w:tcPr>
            <w:tcW w:w="1266" w:type="dxa"/>
          </w:tcPr>
          <w:p w14:paraId="17B93195"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8</w:t>
            </w:r>
          </w:p>
        </w:tc>
        <w:tc>
          <w:tcPr>
            <w:tcW w:w="1325" w:type="dxa"/>
          </w:tcPr>
          <w:p w14:paraId="36AFD74E" w14:textId="77777777" w:rsidR="00F400D5" w:rsidRPr="003F4289" w:rsidRDefault="00F400D5" w:rsidP="00301650">
            <w:pPr>
              <w:spacing w:after="160"/>
              <w:jc w:val="both"/>
              <w:rPr>
                <w:rFonts w:asciiTheme="majorBidi" w:hAnsiTheme="majorBidi" w:cstheme="majorBidi"/>
                <w:lang w:val="en-GB"/>
              </w:rPr>
            </w:pPr>
            <w:r w:rsidRPr="003F4289">
              <w:rPr>
                <w:rFonts w:asciiTheme="majorBidi" w:hAnsiTheme="majorBidi" w:cstheme="majorBidi"/>
              </w:rPr>
              <w:t>52.95</w:t>
            </w:r>
          </w:p>
        </w:tc>
        <w:tc>
          <w:tcPr>
            <w:tcW w:w="1497" w:type="dxa"/>
          </w:tcPr>
          <w:p w14:paraId="12E38B54" w14:textId="77777777" w:rsidR="00F400D5" w:rsidRPr="003F4289" w:rsidRDefault="0083125E" w:rsidP="00301650">
            <w:pPr>
              <w:spacing w:after="160"/>
              <w:jc w:val="both"/>
              <w:rPr>
                <w:rFonts w:asciiTheme="majorBidi" w:hAnsiTheme="majorBidi" w:cstheme="majorBidi"/>
                <w:lang w:val="en-GB"/>
              </w:rPr>
            </w:pPr>
            <w:r w:rsidRPr="003F4289">
              <w:rPr>
                <w:rFonts w:asciiTheme="majorBidi" w:hAnsiTheme="majorBidi" w:cstheme="majorBidi"/>
                <w:lang w:val="en-GB"/>
              </w:rPr>
              <w:t>3230</w:t>
            </w:r>
          </w:p>
        </w:tc>
        <w:tc>
          <w:tcPr>
            <w:tcW w:w="1660" w:type="dxa"/>
          </w:tcPr>
          <w:p w14:paraId="3E64CDA3" w14:textId="77777777" w:rsidR="00F400D5" w:rsidRPr="003F4289" w:rsidRDefault="00572F0B" w:rsidP="00301650">
            <w:pPr>
              <w:spacing w:after="160"/>
              <w:jc w:val="both"/>
              <w:rPr>
                <w:rFonts w:asciiTheme="majorBidi" w:hAnsiTheme="majorBidi" w:cstheme="majorBidi"/>
                <w:color w:val="000000"/>
              </w:rPr>
            </w:pPr>
            <w:r w:rsidRPr="003F4289">
              <w:rPr>
                <w:rFonts w:asciiTheme="majorBidi" w:hAnsiTheme="majorBidi" w:cstheme="majorBidi"/>
                <w:color w:val="000000"/>
              </w:rPr>
              <w:t>141033</w:t>
            </w:r>
          </w:p>
        </w:tc>
        <w:tc>
          <w:tcPr>
            <w:tcW w:w="1588" w:type="dxa"/>
          </w:tcPr>
          <w:p w14:paraId="3C31C1ED" w14:textId="77777777" w:rsidR="00F400D5" w:rsidRPr="003F4289" w:rsidRDefault="00F400D5" w:rsidP="00301650">
            <w:pPr>
              <w:spacing w:after="160"/>
              <w:jc w:val="both"/>
              <w:rPr>
                <w:rFonts w:asciiTheme="majorBidi" w:hAnsiTheme="majorBidi" w:cstheme="majorBidi"/>
                <w:lang w:val="en-GB"/>
              </w:rPr>
            </w:pPr>
            <w:r w:rsidRPr="003F4289">
              <w:rPr>
                <w:rFonts w:asciiTheme="majorBidi" w:hAnsiTheme="majorBidi" w:cstheme="majorBidi"/>
                <w:color w:val="000000"/>
              </w:rPr>
              <w:t>3.41</w:t>
            </w:r>
          </w:p>
        </w:tc>
      </w:tr>
      <w:tr w:rsidR="00722C2A" w:rsidRPr="003F4289" w14:paraId="272EC0F2" w14:textId="77777777" w:rsidTr="00655500">
        <w:tc>
          <w:tcPr>
            <w:tcW w:w="9350" w:type="dxa"/>
            <w:gridSpan w:val="6"/>
          </w:tcPr>
          <w:p w14:paraId="29010522" w14:textId="77777777" w:rsidR="00722C2A" w:rsidRPr="003F4289" w:rsidRDefault="00722C2A" w:rsidP="00301650">
            <w:pPr>
              <w:jc w:val="both"/>
              <w:rPr>
                <w:rFonts w:asciiTheme="majorBidi" w:hAnsiTheme="majorBidi" w:cstheme="majorBidi"/>
                <w:color w:val="000000"/>
              </w:rPr>
            </w:pPr>
            <w:r w:rsidRPr="003F4289">
              <w:rPr>
                <w:rFonts w:asciiTheme="majorBidi" w:hAnsiTheme="majorBidi" w:cstheme="majorBidi"/>
                <w:color w:val="FF0000"/>
              </w:rPr>
              <w:t>57.1 m = 141.19 +- 0.3 ma</w:t>
            </w:r>
          </w:p>
        </w:tc>
      </w:tr>
      <w:tr w:rsidR="00F400D5" w:rsidRPr="003F4289" w14:paraId="12F275A0" w14:textId="77777777" w:rsidTr="00426CB1">
        <w:tc>
          <w:tcPr>
            <w:tcW w:w="2014" w:type="dxa"/>
          </w:tcPr>
          <w:p w14:paraId="47ACC45A" w14:textId="77777777" w:rsidR="00F400D5" w:rsidRPr="003F4289" w:rsidRDefault="00F400D5" w:rsidP="00301650">
            <w:pPr>
              <w:spacing w:after="160"/>
              <w:jc w:val="both"/>
              <w:rPr>
                <w:rFonts w:asciiTheme="majorBidi" w:hAnsiTheme="majorBidi" w:cstheme="majorBidi"/>
                <w:lang w:val="en-GB"/>
              </w:rPr>
            </w:pPr>
            <w:r w:rsidRPr="003F4289">
              <w:rPr>
                <w:rFonts w:asciiTheme="majorBidi" w:hAnsiTheme="majorBidi" w:cstheme="majorBidi"/>
              </w:rPr>
              <w:t>Max405</w:t>
            </w:r>
          </w:p>
        </w:tc>
        <w:tc>
          <w:tcPr>
            <w:tcW w:w="1266" w:type="dxa"/>
          </w:tcPr>
          <w:p w14:paraId="49F592A0"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9</w:t>
            </w:r>
          </w:p>
        </w:tc>
        <w:tc>
          <w:tcPr>
            <w:tcW w:w="1325" w:type="dxa"/>
          </w:tcPr>
          <w:p w14:paraId="6D06ED79" w14:textId="77777777" w:rsidR="00F400D5" w:rsidRPr="003F4289" w:rsidRDefault="00F400D5" w:rsidP="00301650">
            <w:pPr>
              <w:spacing w:after="160"/>
              <w:jc w:val="both"/>
              <w:rPr>
                <w:rFonts w:asciiTheme="majorBidi" w:hAnsiTheme="majorBidi" w:cstheme="majorBidi"/>
                <w:lang w:val="en-GB"/>
              </w:rPr>
            </w:pPr>
            <w:r w:rsidRPr="003F4289">
              <w:rPr>
                <w:rFonts w:asciiTheme="majorBidi" w:hAnsiTheme="majorBidi" w:cstheme="majorBidi"/>
              </w:rPr>
              <w:t>60.87</w:t>
            </w:r>
          </w:p>
        </w:tc>
        <w:tc>
          <w:tcPr>
            <w:tcW w:w="1497" w:type="dxa"/>
          </w:tcPr>
          <w:p w14:paraId="3DD123A2" w14:textId="77777777" w:rsidR="00F400D5" w:rsidRPr="003F4289" w:rsidRDefault="0083125E" w:rsidP="00301650">
            <w:pPr>
              <w:spacing w:after="160"/>
              <w:jc w:val="both"/>
              <w:rPr>
                <w:rFonts w:asciiTheme="majorBidi" w:hAnsiTheme="majorBidi" w:cstheme="majorBidi"/>
                <w:lang w:val="en-GB"/>
              </w:rPr>
            </w:pPr>
            <w:r w:rsidRPr="003F4289">
              <w:rPr>
                <w:rFonts w:asciiTheme="majorBidi" w:hAnsiTheme="majorBidi" w:cstheme="majorBidi"/>
                <w:lang w:val="en-GB"/>
              </w:rPr>
              <w:t>3654</w:t>
            </w:r>
          </w:p>
        </w:tc>
        <w:tc>
          <w:tcPr>
            <w:tcW w:w="1660" w:type="dxa"/>
          </w:tcPr>
          <w:p w14:paraId="1B50CE41" w14:textId="77777777" w:rsidR="00F400D5" w:rsidRPr="003F4289" w:rsidRDefault="00572F0B" w:rsidP="00301650">
            <w:pPr>
              <w:spacing w:after="160"/>
              <w:jc w:val="both"/>
              <w:rPr>
                <w:rFonts w:asciiTheme="majorBidi" w:hAnsiTheme="majorBidi" w:cstheme="majorBidi"/>
                <w:color w:val="000000"/>
              </w:rPr>
            </w:pPr>
            <w:r w:rsidRPr="003F4289">
              <w:rPr>
                <w:rFonts w:asciiTheme="majorBidi" w:hAnsiTheme="majorBidi" w:cstheme="majorBidi"/>
                <w:color w:val="000000"/>
              </w:rPr>
              <w:t>141435</w:t>
            </w:r>
          </w:p>
        </w:tc>
        <w:tc>
          <w:tcPr>
            <w:tcW w:w="1588" w:type="dxa"/>
          </w:tcPr>
          <w:p w14:paraId="06054346" w14:textId="77777777" w:rsidR="00F400D5" w:rsidRPr="003F4289" w:rsidRDefault="00F400D5" w:rsidP="00301650">
            <w:pPr>
              <w:spacing w:after="160"/>
              <w:jc w:val="both"/>
              <w:rPr>
                <w:rFonts w:asciiTheme="majorBidi" w:hAnsiTheme="majorBidi" w:cstheme="majorBidi"/>
                <w:lang w:val="en-GB"/>
              </w:rPr>
            </w:pPr>
            <w:r w:rsidRPr="003F4289">
              <w:rPr>
                <w:rFonts w:asciiTheme="majorBidi" w:hAnsiTheme="majorBidi" w:cstheme="majorBidi"/>
                <w:color w:val="000000"/>
              </w:rPr>
              <w:t>2.2</w:t>
            </w:r>
          </w:p>
        </w:tc>
      </w:tr>
      <w:tr w:rsidR="00F400D5" w:rsidRPr="003F4289" w14:paraId="5775F191" w14:textId="77777777" w:rsidTr="00426CB1">
        <w:tc>
          <w:tcPr>
            <w:tcW w:w="2014" w:type="dxa"/>
          </w:tcPr>
          <w:p w14:paraId="7A974081" w14:textId="77777777" w:rsidR="00F400D5" w:rsidRPr="003F4289" w:rsidRDefault="00F400D5" w:rsidP="00301650">
            <w:pPr>
              <w:spacing w:after="160"/>
              <w:jc w:val="both"/>
              <w:rPr>
                <w:rFonts w:asciiTheme="majorBidi" w:hAnsiTheme="majorBidi" w:cstheme="majorBidi"/>
                <w:lang w:val="en-GB"/>
              </w:rPr>
            </w:pPr>
            <w:r w:rsidRPr="003F4289">
              <w:rPr>
                <w:rFonts w:asciiTheme="majorBidi" w:hAnsiTheme="majorBidi" w:cstheme="majorBidi"/>
              </w:rPr>
              <w:t>Max405</w:t>
            </w:r>
          </w:p>
        </w:tc>
        <w:tc>
          <w:tcPr>
            <w:tcW w:w="1266" w:type="dxa"/>
          </w:tcPr>
          <w:p w14:paraId="17929CB6"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10</w:t>
            </w:r>
          </w:p>
        </w:tc>
        <w:tc>
          <w:tcPr>
            <w:tcW w:w="1325" w:type="dxa"/>
          </w:tcPr>
          <w:p w14:paraId="6E92B1BB" w14:textId="77777777" w:rsidR="00F400D5" w:rsidRPr="003F4289" w:rsidRDefault="00F400D5" w:rsidP="00301650">
            <w:pPr>
              <w:spacing w:after="160"/>
              <w:jc w:val="both"/>
              <w:rPr>
                <w:rFonts w:asciiTheme="majorBidi" w:hAnsiTheme="majorBidi" w:cstheme="majorBidi"/>
                <w:lang w:val="en-GB"/>
              </w:rPr>
            </w:pPr>
            <w:r w:rsidRPr="003F4289">
              <w:rPr>
                <w:rFonts w:asciiTheme="majorBidi" w:hAnsiTheme="majorBidi" w:cstheme="majorBidi"/>
              </w:rPr>
              <w:t>68.37</w:t>
            </w:r>
          </w:p>
        </w:tc>
        <w:tc>
          <w:tcPr>
            <w:tcW w:w="1497" w:type="dxa"/>
          </w:tcPr>
          <w:p w14:paraId="0CB934F1" w14:textId="77777777" w:rsidR="00F400D5" w:rsidRPr="003F4289" w:rsidRDefault="0083125E" w:rsidP="00301650">
            <w:pPr>
              <w:spacing w:after="160"/>
              <w:jc w:val="both"/>
              <w:rPr>
                <w:rFonts w:asciiTheme="majorBidi" w:hAnsiTheme="majorBidi" w:cstheme="majorBidi"/>
                <w:lang w:val="en-GB"/>
              </w:rPr>
            </w:pPr>
            <w:r w:rsidRPr="003F4289">
              <w:rPr>
                <w:rFonts w:asciiTheme="majorBidi" w:hAnsiTheme="majorBidi" w:cstheme="majorBidi"/>
                <w:lang w:val="en-GB"/>
              </w:rPr>
              <w:t>4051</w:t>
            </w:r>
          </w:p>
        </w:tc>
        <w:tc>
          <w:tcPr>
            <w:tcW w:w="1660" w:type="dxa"/>
          </w:tcPr>
          <w:p w14:paraId="3830CB81" w14:textId="77777777" w:rsidR="00F400D5" w:rsidRPr="003F4289" w:rsidRDefault="00572F0B" w:rsidP="00301650">
            <w:pPr>
              <w:spacing w:after="160"/>
              <w:jc w:val="both"/>
              <w:rPr>
                <w:rFonts w:asciiTheme="majorBidi" w:hAnsiTheme="majorBidi" w:cstheme="majorBidi"/>
                <w:color w:val="000000"/>
              </w:rPr>
            </w:pPr>
            <w:r w:rsidRPr="003F4289">
              <w:rPr>
                <w:rFonts w:asciiTheme="majorBidi" w:hAnsiTheme="majorBidi" w:cstheme="majorBidi"/>
                <w:color w:val="000000"/>
              </w:rPr>
              <w:t>141835</w:t>
            </w:r>
          </w:p>
        </w:tc>
        <w:tc>
          <w:tcPr>
            <w:tcW w:w="1588" w:type="dxa"/>
          </w:tcPr>
          <w:p w14:paraId="42FBF86B" w14:textId="77777777" w:rsidR="00F400D5" w:rsidRPr="003F4289" w:rsidRDefault="00F400D5" w:rsidP="00301650">
            <w:pPr>
              <w:spacing w:after="160"/>
              <w:jc w:val="both"/>
              <w:rPr>
                <w:rFonts w:asciiTheme="majorBidi" w:hAnsiTheme="majorBidi" w:cstheme="majorBidi"/>
                <w:lang w:val="en-GB"/>
              </w:rPr>
            </w:pPr>
            <w:r w:rsidRPr="003F4289">
              <w:rPr>
                <w:rFonts w:asciiTheme="majorBidi" w:hAnsiTheme="majorBidi" w:cstheme="majorBidi"/>
                <w:color w:val="000000"/>
              </w:rPr>
              <w:t>3.19</w:t>
            </w:r>
          </w:p>
        </w:tc>
      </w:tr>
      <w:tr w:rsidR="00F400D5" w:rsidRPr="003F4289" w14:paraId="2A837FB8" w14:textId="77777777" w:rsidTr="00426CB1">
        <w:tc>
          <w:tcPr>
            <w:tcW w:w="2014" w:type="dxa"/>
          </w:tcPr>
          <w:p w14:paraId="62C13991" w14:textId="77777777" w:rsidR="00F400D5" w:rsidRPr="003F4289" w:rsidRDefault="00F400D5" w:rsidP="00301650">
            <w:pPr>
              <w:spacing w:after="160"/>
              <w:jc w:val="both"/>
              <w:rPr>
                <w:rFonts w:asciiTheme="majorBidi" w:hAnsiTheme="majorBidi" w:cstheme="majorBidi"/>
                <w:lang w:val="en-GB"/>
              </w:rPr>
            </w:pPr>
            <w:r w:rsidRPr="003F4289">
              <w:rPr>
                <w:rFonts w:asciiTheme="majorBidi" w:hAnsiTheme="majorBidi" w:cstheme="majorBidi"/>
              </w:rPr>
              <w:t>Max405</w:t>
            </w:r>
          </w:p>
        </w:tc>
        <w:tc>
          <w:tcPr>
            <w:tcW w:w="1266" w:type="dxa"/>
          </w:tcPr>
          <w:p w14:paraId="29CA4D1D"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11</w:t>
            </w:r>
          </w:p>
        </w:tc>
        <w:tc>
          <w:tcPr>
            <w:tcW w:w="1325" w:type="dxa"/>
          </w:tcPr>
          <w:p w14:paraId="50FD186B" w14:textId="77777777" w:rsidR="00F400D5" w:rsidRPr="003F4289" w:rsidRDefault="00F400D5" w:rsidP="00301650">
            <w:pPr>
              <w:spacing w:after="160"/>
              <w:jc w:val="both"/>
              <w:rPr>
                <w:rFonts w:asciiTheme="majorBidi" w:hAnsiTheme="majorBidi" w:cstheme="majorBidi"/>
                <w:lang w:val="en-GB"/>
              </w:rPr>
            </w:pPr>
            <w:r w:rsidRPr="003F4289">
              <w:rPr>
                <w:rFonts w:asciiTheme="majorBidi" w:hAnsiTheme="majorBidi" w:cstheme="majorBidi"/>
              </w:rPr>
              <w:t>75.44</w:t>
            </w:r>
          </w:p>
        </w:tc>
        <w:tc>
          <w:tcPr>
            <w:tcW w:w="1497" w:type="dxa"/>
          </w:tcPr>
          <w:p w14:paraId="189E9445" w14:textId="77777777" w:rsidR="00F400D5" w:rsidRPr="003F4289" w:rsidRDefault="0083125E" w:rsidP="00301650">
            <w:pPr>
              <w:spacing w:after="160"/>
              <w:jc w:val="both"/>
              <w:rPr>
                <w:rFonts w:asciiTheme="majorBidi" w:hAnsiTheme="majorBidi" w:cstheme="majorBidi"/>
                <w:lang w:val="en-GB"/>
              </w:rPr>
            </w:pPr>
            <w:r w:rsidRPr="003F4289">
              <w:rPr>
                <w:rFonts w:asciiTheme="majorBidi" w:hAnsiTheme="majorBidi" w:cstheme="majorBidi"/>
                <w:lang w:val="en-GB"/>
              </w:rPr>
              <w:t>4415</w:t>
            </w:r>
          </w:p>
        </w:tc>
        <w:tc>
          <w:tcPr>
            <w:tcW w:w="1660" w:type="dxa"/>
          </w:tcPr>
          <w:p w14:paraId="16AAD4EA" w14:textId="77777777" w:rsidR="00F400D5" w:rsidRPr="003F4289" w:rsidRDefault="00572F0B" w:rsidP="00301650">
            <w:pPr>
              <w:spacing w:after="160"/>
              <w:jc w:val="both"/>
              <w:rPr>
                <w:rFonts w:asciiTheme="majorBidi" w:hAnsiTheme="majorBidi" w:cstheme="majorBidi"/>
                <w:color w:val="000000"/>
              </w:rPr>
            </w:pPr>
            <w:r w:rsidRPr="003F4289">
              <w:rPr>
                <w:rFonts w:asciiTheme="majorBidi" w:hAnsiTheme="majorBidi" w:cstheme="majorBidi"/>
                <w:color w:val="000000"/>
              </w:rPr>
              <w:t>142251</w:t>
            </w:r>
          </w:p>
        </w:tc>
        <w:tc>
          <w:tcPr>
            <w:tcW w:w="1588" w:type="dxa"/>
          </w:tcPr>
          <w:p w14:paraId="32B6D12D" w14:textId="77777777" w:rsidR="00F400D5" w:rsidRPr="003F4289" w:rsidRDefault="00F400D5" w:rsidP="00301650">
            <w:pPr>
              <w:spacing w:after="160"/>
              <w:jc w:val="both"/>
              <w:rPr>
                <w:rFonts w:asciiTheme="majorBidi" w:hAnsiTheme="majorBidi" w:cstheme="majorBidi"/>
                <w:lang w:val="en-GB"/>
              </w:rPr>
            </w:pPr>
            <w:r w:rsidRPr="003F4289">
              <w:rPr>
                <w:rFonts w:asciiTheme="majorBidi" w:hAnsiTheme="majorBidi" w:cstheme="majorBidi"/>
                <w:color w:val="000000"/>
              </w:rPr>
              <w:t>3.3</w:t>
            </w:r>
          </w:p>
        </w:tc>
      </w:tr>
      <w:tr w:rsidR="00F400D5" w:rsidRPr="003F4289" w14:paraId="4F14D711" w14:textId="77777777" w:rsidTr="00426CB1">
        <w:tc>
          <w:tcPr>
            <w:tcW w:w="2014" w:type="dxa"/>
          </w:tcPr>
          <w:p w14:paraId="11C77D8E" w14:textId="77777777" w:rsidR="00F400D5" w:rsidRPr="003F4289" w:rsidRDefault="00F400D5" w:rsidP="00301650">
            <w:pPr>
              <w:spacing w:after="160"/>
              <w:jc w:val="both"/>
              <w:rPr>
                <w:rFonts w:asciiTheme="majorBidi" w:hAnsiTheme="majorBidi" w:cstheme="majorBidi"/>
                <w:lang w:val="en-GB"/>
              </w:rPr>
            </w:pPr>
            <w:r w:rsidRPr="003F4289">
              <w:rPr>
                <w:rFonts w:asciiTheme="majorBidi" w:hAnsiTheme="majorBidi" w:cstheme="majorBidi"/>
              </w:rPr>
              <w:t>Max405</w:t>
            </w:r>
          </w:p>
        </w:tc>
        <w:tc>
          <w:tcPr>
            <w:tcW w:w="1266" w:type="dxa"/>
          </w:tcPr>
          <w:p w14:paraId="2D285D8B"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12</w:t>
            </w:r>
          </w:p>
        </w:tc>
        <w:tc>
          <w:tcPr>
            <w:tcW w:w="1325" w:type="dxa"/>
          </w:tcPr>
          <w:p w14:paraId="009976BD" w14:textId="77777777" w:rsidR="00F400D5" w:rsidRPr="003F4289" w:rsidRDefault="00F400D5" w:rsidP="00301650">
            <w:pPr>
              <w:spacing w:after="160"/>
              <w:jc w:val="both"/>
              <w:rPr>
                <w:rFonts w:asciiTheme="majorBidi" w:hAnsiTheme="majorBidi" w:cstheme="majorBidi"/>
                <w:lang w:val="en-GB"/>
              </w:rPr>
            </w:pPr>
            <w:r w:rsidRPr="003F4289">
              <w:rPr>
                <w:rFonts w:asciiTheme="majorBidi" w:hAnsiTheme="majorBidi" w:cstheme="majorBidi"/>
              </w:rPr>
              <w:t>79.37</w:t>
            </w:r>
          </w:p>
        </w:tc>
        <w:tc>
          <w:tcPr>
            <w:tcW w:w="1497" w:type="dxa"/>
          </w:tcPr>
          <w:p w14:paraId="1A6CF0F4" w14:textId="77777777" w:rsidR="00F400D5" w:rsidRPr="003F4289" w:rsidRDefault="0083125E" w:rsidP="00301650">
            <w:pPr>
              <w:spacing w:after="160"/>
              <w:jc w:val="both"/>
              <w:rPr>
                <w:rFonts w:asciiTheme="majorBidi" w:hAnsiTheme="majorBidi" w:cstheme="majorBidi"/>
                <w:lang w:val="en-GB"/>
              </w:rPr>
            </w:pPr>
            <w:r w:rsidRPr="003F4289">
              <w:rPr>
                <w:rFonts w:asciiTheme="majorBidi" w:hAnsiTheme="majorBidi" w:cstheme="majorBidi"/>
                <w:lang w:val="en-GB"/>
              </w:rPr>
              <w:t>4916</w:t>
            </w:r>
          </w:p>
        </w:tc>
        <w:tc>
          <w:tcPr>
            <w:tcW w:w="1660" w:type="dxa"/>
          </w:tcPr>
          <w:p w14:paraId="60646E45" w14:textId="77777777" w:rsidR="00F400D5" w:rsidRPr="003F4289" w:rsidRDefault="00572F0B" w:rsidP="00301650">
            <w:pPr>
              <w:spacing w:after="160"/>
              <w:jc w:val="both"/>
              <w:rPr>
                <w:rFonts w:asciiTheme="majorBidi" w:hAnsiTheme="majorBidi" w:cstheme="majorBidi"/>
                <w:color w:val="000000"/>
              </w:rPr>
            </w:pPr>
            <w:r w:rsidRPr="003F4289">
              <w:rPr>
                <w:rFonts w:asciiTheme="majorBidi" w:hAnsiTheme="majorBidi" w:cstheme="majorBidi"/>
                <w:color w:val="000000"/>
              </w:rPr>
              <w:t>142662</w:t>
            </w:r>
          </w:p>
        </w:tc>
        <w:tc>
          <w:tcPr>
            <w:tcW w:w="1588" w:type="dxa"/>
          </w:tcPr>
          <w:p w14:paraId="07E74A2A" w14:textId="77777777" w:rsidR="00F400D5" w:rsidRPr="003F4289" w:rsidRDefault="00F400D5" w:rsidP="00301650">
            <w:pPr>
              <w:spacing w:after="160"/>
              <w:jc w:val="both"/>
              <w:rPr>
                <w:rFonts w:asciiTheme="majorBidi" w:hAnsiTheme="majorBidi" w:cstheme="majorBidi"/>
                <w:lang w:val="en-GB"/>
              </w:rPr>
            </w:pPr>
            <w:r w:rsidRPr="003F4289">
              <w:rPr>
                <w:rFonts w:asciiTheme="majorBidi" w:hAnsiTheme="majorBidi" w:cstheme="majorBidi"/>
                <w:color w:val="000000"/>
              </w:rPr>
              <w:t>2.75</w:t>
            </w:r>
          </w:p>
        </w:tc>
      </w:tr>
      <w:tr w:rsidR="00F400D5" w:rsidRPr="003F4289" w14:paraId="6F1A7DBF" w14:textId="77777777" w:rsidTr="00426CB1">
        <w:tc>
          <w:tcPr>
            <w:tcW w:w="2014" w:type="dxa"/>
          </w:tcPr>
          <w:p w14:paraId="6D8B8EA6" w14:textId="77777777" w:rsidR="00F400D5" w:rsidRPr="003F4289" w:rsidRDefault="00F400D5" w:rsidP="00301650">
            <w:pPr>
              <w:spacing w:after="160"/>
              <w:jc w:val="both"/>
              <w:rPr>
                <w:rFonts w:asciiTheme="majorBidi" w:hAnsiTheme="majorBidi" w:cstheme="majorBidi"/>
                <w:lang w:val="en-GB"/>
              </w:rPr>
            </w:pPr>
            <w:r w:rsidRPr="003F4289">
              <w:rPr>
                <w:rFonts w:asciiTheme="majorBidi" w:hAnsiTheme="majorBidi" w:cstheme="majorBidi"/>
              </w:rPr>
              <w:t>Max405</w:t>
            </w:r>
          </w:p>
        </w:tc>
        <w:tc>
          <w:tcPr>
            <w:tcW w:w="1266" w:type="dxa"/>
          </w:tcPr>
          <w:p w14:paraId="1DEC7097"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13</w:t>
            </w:r>
          </w:p>
        </w:tc>
        <w:tc>
          <w:tcPr>
            <w:tcW w:w="1325" w:type="dxa"/>
          </w:tcPr>
          <w:p w14:paraId="12A8151E" w14:textId="77777777" w:rsidR="00F400D5" w:rsidRPr="003F4289" w:rsidRDefault="00F400D5" w:rsidP="00301650">
            <w:pPr>
              <w:spacing w:after="160"/>
              <w:jc w:val="both"/>
              <w:rPr>
                <w:rFonts w:asciiTheme="majorBidi" w:hAnsiTheme="majorBidi" w:cstheme="majorBidi"/>
                <w:lang w:val="en-GB"/>
              </w:rPr>
            </w:pPr>
            <w:r w:rsidRPr="003F4289">
              <w:rPr>
                <w:rFonts w:asciiTheme="majorBidi" w:hAnsiTheme="majorBidi" w:cstheme="majorBidi"/>
              </w:rPr>
              <w:t>86.12</w:t>
            </w:r>
          </w:p>
        </w:tc>
        <w:tc>
          <w:tcPr>
            <w:tcW w:w="1497" w:type="dxa"/>
          </w:tcPr>
          <w:p w14:paraId="553EE595" w14:textId="77777777" w:rsidR="00F400D5" w:rsidRPr="003F4289" w:rsidRDefault="0083125E" w:rsidP="00301650">
            <w:pPr>
              <w:spacing w:after="160"/>
              <w:jc w:val="both"/>
              <w:rPr>
                <w:rFonts w:asciiTheme="majorBidi" w:hAnsiTheme="majorBidi" w:cstheme="majorBidi"/>
                <w:lang w:val="en-GB"/>
              </w:rPr>
            </w:pPr>
            <w:r w:rsidRPr="003F4289">
              <w:rPr>
                <w:rFonts w:asciiTheme="majorBidi" w:hAnsiTheme="majorBidi" w:cstheme="majorBidi"/>
                <w:lang w:val="en-GB"/>
              </w:rPr>
              <w:t>5280</w:t>
            </w:r>
          </w:p>
        </w:tc>
        <w:tc>
          <w:tcPr>
            <w:tcW w:w="1660" w:type="dxa"/>
          </w:tcPr>
          <w:p w14:paraId="68FA5C1E" w14:textId="77777777" w:rsidR="00F400D5" w:rsidRPr="003F4289" w:rsidRDefault="00572F0B" w:rsidP="00301650">
            <w:pPr>
              <w:spacing w:after="160"/>
              <w:jc w:val="both"/>
              <w:rPr>
                <w:rFonts w:asciiTheme="majorBidi" w:hAnsiTheme="majorBidi" w:cstheme="majorBidi"/>
                <w:color w:val="000000"/>
              </w:rPr>
            </w:pPr>
            <w:r w:rsidRPr="003F4289">
              <w:rPr>
                <w:rFonts w:asciiTheme="majorBidi" w:hAnsiTheme="majorBidi" w:cstheme="majorBidi"/>
                <w:color w:val="000000"/>
              </w:rPr>
              <w:t>143071</w:t>
            </w:r>
          </w:p>
        </w:tc>
        <w:tc>
          <w:tcPr>
            <w:tcW w:w="1588" w:type="dxa"/>
          </w:tcPr>
          <w:p w14:paraId="67ACE6AE" w14:textId="77777777" w:rsidR="00F400D5" w:rsidRPr="003F4289" w:rsidRDefault="00F400D5" w:rsidP="00301650">
            <w:pPr>
              <w:spacing w:after="160"/>
              <w:jc w:val="both"/>
              <w:rPr>
                <w:rFonts w:asciiTheme="majorBidi" w:hAnsiTheme="majorBidi" w:cstheme="majorBidi"/>
                <w:lang w:val="en-GB"/>
              </w:rPr>
            </w:pPr>
            <w:r w:rsidRPr="003F4289">
              <w:rPr>
                <w:rFonts w:asciiTheme="majorBidi" w:hAnsiTheme="majorBidi" w:cstheme="majorBidi"/>
                <w:color w:val="000000"/>
              </w:rPr>
              <w:t>2.8</w:t>
            </w:r>
          </w:p>
        </w:tc>
      </w:tr>
      <w:tr w:rsidR="00722C2A" w:rsidRPr="003F4289" w14:paraId="3011A74C" w14:textId="77777777" w:rsidTr="00655500">
        <w:tc>
          <w:tcPr>
            <w:tcW w:w="9350" w:type="dxa"/>
            <w:gridSpan w:val="6"/>
          </w:tcPr>
          <w:p w14:paraId="6656EEBD" w14:textId="77777777" w:rsidR="00722C2A" w:rsidRPr="003F4289" w:rsidRDefault="00722C2A" w:rsidP="00301650">
            <w:pPr>
              <w:jc w:val="both"/>
              <w:rPr>
                <w:rFonts w:asciiTheme="majorBidi" w:hAnsiTheme="majorBidi" w:cstheme="majorBidi"/>
                <w:color w:val="000000"/>
              </w:rPr>
            </w:pPr>
            <w:r w:rsidRPr="003F4289">
              <w:rPr>
                <w:rFonts w:asciiTheme="majorBidi" w:hAnsiTheme="majorBidi" w:cstheme="majorBidi"/>
                <w:color w:val="FF0000"/>
              </w:rPr>
              <w:t>87.1m = 142.5 +- 0.3 Ma</w:t>
            </w:r>
          </w:p>
        </w:tc>
      </w:tr>
      <w:tr w:rsidR="00F400D5" w:rsidRPr="003F4289" w14:paraId="40733CFC" w14:textId="77777777" w:rsidTr="00426CB1">
        <w:tc>
          <w:tcPr>
            <w:tcW w:w="2014" w:type="dxa"/>
          </w:tcPr>
          <w:p w14:paraId="304BD1E5"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Max405</w:t>
            </w:r>
          </w:p>
        </w:tc>
        <w:tc>
          <w:tcPr>
            <w:tcW w:w="1266" w:type="dxa"/>
          </w:tcPr>
          <w:p w14:paraId="67C01C60"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14</w:t>
            </w:r>
          </w:p>
        </w:tc>
        <w:tc>
          <w:tcPr>
            <w:tcW w:w="1325" w:type="dxa"/>
          </w:tcPr>
          <w:p w14:paraId="500D7514"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92.86</w:t>
            </w:r>
          </w:p>
        </w:tc>
        <w:tc>
          <w:tcPr>
            <w:tcW w:w="1497" w:type="dxa"/>
          </w:tcPr>
          <w:p w14:paraId="2F5150D1" w14:textId="77777777" w:rsidR="00F400D5" w:rsidRPr="003F4289" w:rsidRDefault="0083125E" w:rsidP="00301650">
            <w:pPr>
              <w:spacing w:after="160"/>
              <w:jc w:val="both"/>
              <w:rPr>
                <w:rFonts w:asciiTheme="majorBidi" w:hAnsiTheme="majorBidi" w:cstheme="majorBidi"/>
                <w:lang w:val="en-GB"/>
              </w:rPr>
            </w:pPr>
            <w:r w:rsidRPr="003F4289">
              <w:rPr>
                <w:rFonts w:asciiTheme="majorBidi" w:hAnsiTheme="majorBidi" w:cstheme="majorBidi"/>
                <w:lang w:val="en-GB"/>
              </w:rPr>
              <w:t>5669</w:t>
            </w:r>
          </w:p>
        </w:tc>
        <w:tc>
          <w:tcPr>
            <w:tcW w:w="1660" w:type="dxa"/>
          </w:tcPr>
          <w:p w14:paraId="5D961F84" w14:textId="77777777" w:rsidR="00F400D5" w:rsidRPr="003F4289" w:rsidRDefault="00572F0B" w:rsidP="00301650">
            <w:pPr>
              <w:spacing w:after="160"/>
              <w:jc w:val="both"/>
              <w:rPr>
                <w:rFonts w:asciiTheme="majorBidi" w:hAnsiTheme="majorBidi" w:cstheme="majorBidi"/>
                <w:color w:val="000000"/>
              </w:rPr>
            </w:pPr>
            <w:r w:rsidRPr="003F4289">
              <w:rPr>
                <w:rFonts w:asciiTheme="majorBidi" w:hAnsiTheme="majorBidi" w:cstheme="majorBidi"/>
                <w:color w:val="000000"/>
              </w:rPr>
              <w:t>143477</w:t>
            </w:r>
          </w:p>
        </w:tc>
        <w:tc>
          <w:tcPr>
            <w:tcW w:w="1588" w:type="dxa"/>
          </w:tcPr>
          <w:p w14:paraId="6343F0A1" w14:textId="77777777" w:rsidR="00F400D5" w:rsidRPr="003F4289" w:rsidRDefault="00F400D5" w:rsidP="00301650">
            <w:pPr>
              <w:spacing w:after="160"/>
              <w:jc w:val="both"/>
              <w:rPr>
                <w:rFonts w:asciiTheme="majorBidi" w:hAnsiTheme="majorBidi" w:cstheme="majorBidi"/>
                <w:color w:val="000000"/>
              </w:rPr>
            </w:pPr>
          </w:p>
        </w:tc>
      </w:tr>
      <w:tr w:rsidR="00F400D5" w:rsidRPr="003F4289" w14:paraId="50FE145A" w14:textId="77777777" w:rsidTr="00426CB1">
        <w:tc>
          <w:tcPr>
            <w:tcW w:w="2014" w:type="dxa"/>
          </w:tcPr>
          <w:p w14:paraId="1FF769FD"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Max405</w:t>
            </w:r>
          </w:p>
        </w:tc>
        <w:tc>
          <w:tcPr>
            <w:tcW w:w="1266" w:type="dxa"/>
          </w:tcPr>
          <w:p w14:paraId="71A9CB99"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15</w:t>
            </w:r>
          </w:p>
        </w:tc>
        <w:tc>
          <w:tcPr>
            <w:tcW w:w="1325" w:type="dxa"/>
          </w:tcPr>
          <w:p w14:paraId="19F4B1BB"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99.56</w:t>
            </w:r>
          </w:p>
        </w:tc>
        <w:tc>
          <w:tcPr>
            <w:tcW w:w="1497" w:type="dxa"/>
          </w:tcPr>
          <w:p w14:paraId="5B53243B" w14:textId="77777777" w:rsidR="00F400D5" w:rsidRPr="003F4289" w:rsidRDefault="0083125E" w:rsidP="00301650">
            <w:pPr>
              <w:spacing w:after="160"/>
              <w:jc w:val="both"/>
              <w:rPr>
                <w:rFonts w:asciiTheme="majorBidi" w:hAnsiTheme="majorBidi" w:cstheme="majorBidi"/>
              </w:rPr>
            </w:pPr>
            <w:r w:rsidRPr="003F4289">
              <w:rPr>
                <w:rFonts w:asciiTheme="majorBidi" w:hAnsiTheme="majorBidi" w:cstheme="majorBidi"/>
              </w:rPr>
              <w:t>6068</w:t>
            </w:r>
          </w:p>
        </w:tc>
        <w:tc>
          <w:tcPr>
            <w:tcW w:w="1660" w:type="dxa"/>
          </w:tcPr>
          <w:p w14:paraId="1FA1C859" w14:textId="77777777" w:rsidR="00F400D5" w:rsidRPr="003F4289" w:rsidRDefault="00572F0B" w:rsidP="00301650">
            <w:pPr>
              <w:spacing w:after="160"/>
              <w:jc w:val="both"/>
              <w:rPr>
                <w:rFonts w:asciiTheme="majorBidi" w:hAnsiTheme="majorBidi" w:cstheme="majorBidi"/>
                <w:color w:val="000000"/>
              </w:rPr>
            </w:pPr>
            <w:r w:rsidRPr="003F4289">
              <w:rPr>
                <w:rFonts w:asciiTheme="majorBidi" w:hAnsiTheme="majorBidi" w:cstheme="majorBidi"/>
                <w:color w:val="000000"/>
              </w:rPr>
              <w:t>143870</w:t>
            </w:r>
          </w:p>
        </w:tc>
        <w:tc>
          <w:tcPr>
            <w:tcW w:w="1588" w:type="dxa"/>
          </w:tcPr>
          <w:p w14:paraId="1C8FBACD" w14:textId="77777777" w:rsidR="00F400D5" w:rsidRPr="003F4289" w:rsidRDefault="00F400D5" w:rsidP="00301650">
            <w:pPr>
              <w:spacing w:after="160"/>
              <w:jc w:val="both"/>
              <w:rPr>
                <w:rFonts w:asciiTheme="majorBidi" w:hAnsiTheme="majorBidi" w:cstheme="majorBidi"/>
                <w:color w:val="000000"/>
              </w:rPr>
            </w:pPr>
          </w:p>
        </w:tc>
      </w:tr>
      <w:tr w:rsidR="00F400D5" w:rsidRPr="003F4289" w14:paraId="733F478C" w14:textId="77777777" w:rsidTr="00426CB1">
        <w:tc>
          <w:tcPr>
            <w:tcW w:w="2014" w:type="dxa"/>
          </w:tcPr>
          <w:p w14:paraId="3E5F9E48"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Max405</w:t>
            </w:r>
          </w:p>
        </w:tc>
        <w:tc>
          <w:tcPr>
            <w:tcW w:w="1266" w:type="dxa"/>
          </w:tcPr>
          <w:p w14:paraId="754804F9"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16</w:t>
            </w:r>
          </w:p>
        </w:tc>
        <w:tc>
          <w:tcPr>
            <w:tcW w:w="1325" w:type="dxa"/>
          </w:tcPr>
          <w:p w14:paraId="66F3B5F9"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106.71</w:t>
            </w:r>
          </w:p>
        </w:tc>
        <w:tc>
          <w:tcPr>
            <w:tcW w:w="1497" w:type="dxa"/>
          </w:tcPr>
          <w:p w14:paraId="2E98F27E" w14:textId="77777777" w:rsidR="00F400D5" w:rsidRPr="003F4289" w:rsidRDefault="0083125E" w:rsidP="00301650">
            <w:pPr>
              <w:spacing w:after="160"/>
              <w:jc w:val="both"/>
              <w:rPr>
                <w:rFonts w:asciiTheme="majorBidi" w:hAnsiTheme="majorBidi" w:cstheme="majorBidi"/>
              </w:rPr>
            </w:pPr>
            <w:r w:rsidRPr="003F4289">
              <w:rPr>
                <w:rFonts w:asciiTheme="majorBidi" w:hAnsiTheme="majorBidi" w:cstheme="majorBidi"/>
              </w:rPr>
              <w:t>6489</w:t>
            </w:r>
          </w:p>
        </w:tc>
        <w:tc>
          <w:tcPr>
            <w:tcW w:w="1660" w:type="dxa"/>
          </w:tcPr>
          <w:p w14:paraId="3C9B87DE" w14:textId="77777777" w:rsidR="00F400D5" w:rsidRPr="003F4289" w:rsidRDefault="00572F0B" w:rsidP="00301650">
            <w:pPr>
              <w:spacing w:after="160"/>
              <w:jc w:val="both"/>
              <w:rPr>
                <w:rFonts w:asciiTheme="majorBidi" w:hAnsiTheme="majorBidi" w:cstheme="majorBidi"/>
                <w:color w:val="000000"/>
              </w:rPr>
            </w:pPr>
            <w:r w:rsidRPr="003F4289">
              <w:rPr>
                <w:rFonts w:asciiTheme="majorBidi" w:hAnsiTheme="majorBidi" w:cstheme="majorBidi"/>
                <w:color w:val="000000"/>
              </w:rPr>
              <w:t>144272</w:t>
            </w:r>
          </w:p>
        </w:tc>
        <w:tc>
          <w:tcPr>
            <w:tcW w:w="1588" w:type="dxa"/>
          </w:tcPr>
          <w:p w14:paraId="35B81D0D" w14:textId="77777777" w:rsidR="00F400D5" w:rsidRPr="003F4289" w:rsidRDefault="00F400D5" w:rsidP="00301650">
            <w:pPr>
              <w:spacing w:after="160"/>
              <w:jc w:val="both"/>
              <w:rPr>
                <w:rFonts w:asciiTheme="majorBidi" w:hAnsiTheme="majorBidi" w:cstheme="majorBidi"/>
                <w:color w:val="000000"/>
              </w:rPr>
            </w:pPr>
          </w:p>
        </w:tc>
      </w:tr>
      <w:tr w:rsidR="00F400D5" w:rsidRPr="003F4289" w14:paraId="13C2FE66" w14:textId="77777777" w:rsidTr="00426CB1">
        <w:tc>
          <w:tcPr>
            <w:tcW w:w="2014" w:type="dxa"/>
          </w:tcPr>
          <w:p w14:paraId="5DA8BF2B"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Max405</w:t>
            </w:r>
          </w:p>
        </w:tc>
        <w:tc>
          <w:tcPr>
            <w:tcW w:w="1266" w:type="dxa"/>
          </w:tcPr>
          <w:p w14:paraId="2DBAB175"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17</w:t>
            </w:r>
          </w:p>
        </w:tc>
        <w:tc>
          <w:tcPr>
            <w:tcW w:w="1325" w:type="dxa"/>
          </w:tcPr>
          <w:p w14:paraId="6E36B15D"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113.9</w:t>
            </w:r>
          </w:p>
        </w:tc>
        <w:tc>
          <w:tcPr>
            <w:tcW w:w="1497" w:type="dxa"/>
          </w:tcPr>
          <w:p w14:paraId="433F3126" w14:textId="77777777" w:rsidR="00F400D5" w:rsidRPr="003F4289" w:rsidRDefault="0083125E" w:rsidP="00301650">
            <w:pPr>
              <w:spacing w:after="160"/>
              <w:jc w:val="both"/>
              <w:rPr>
                <w:rFonts w:asciiTheme="majorBidi" w:hAnsiTheme="majorBidi" w:cstheme="majorBidi"/>
              </w:rPr>
            </w:pPr>
            <w:r w:rsidRPr="003F4289">
              <w:rPr>
                <w:rFonts w:asciiTheme="majorBidi" w:hAnsiTheme="majorBidi" w:cstheme="majorBidi"/>
              </w:rPr>
              <w:t>6889</w:t>
            </w:r>
          </w:p>
        </w:tc>
        <w:tc>
          <w:tcPr>
            <w:tcW w:w="1660" w:type="dxa"/>
          </w:tcPr>
          <w:p w14:paraId="6A4D5C17" w14:textId="77777777" w:rsidR="00F400D5" w:rsidRPr="003F4289" w:rsidRDefault="00572F0B" w:rsidP="00301650">
            <w:pPr>
              <w:spacing w:after="160"/>
              <w:jc w:val="both"/>
              <w:rPr>
                <w:rFonts w:asciiTheme="majorBidi" w:hAnsiTheme="majorBidi" w:cstheme="majorBidi"/>
                <w:color w:val="000000"/>
              </w:rPr>
            </w:pPr>
            <w:r w:rsidRPr="003F4289">
              <w:rPr>
                <w:rFonts w:asciiTheme="majorBidi" w:hAnsiTheme="majorBidi" w:cstheme="majorBidi"/>
                <w:color w:val="000000"/>
              </w:rPr>
              <w:t>144662</w:t>
            </w:r>
          </w:p>
        </w:tc>
        <w:tc>
          <w:tcPr>
            <w:tcW w:w="1588" w:type="dxa"/>
          </w:tcPr>
          <w:p w14:paraId="34D2BDAA" w14:textId="77777777" w:rsidR="00F400D5" w:rsidRPr="003F4289" w:rsidRDefault="00F400D5" w:rsidP="00301650">
            <w:pPr>
              <w:spacing w:after="160"/>
              <w:jc w:val="both"/>
              <w:rPr>
                <w:rFonts w:asciiTheme="majorBidi" w:hAnsiTheme="majorBidi" w:cstheme="majorBidi"/>
                <w:color w:val="000000"/>
              </w:rPr>
            </w:pPr>
          </w:p>
        </w:tc>
      </w:tr>
      <w:tr w:rsidR="00F400D5" w:rsidRPr="003F4289" w14:paraId="7BDA531C" w14:textId="77777777" w:rsidTr="00426CB1">
        <w:tc>
          <w:tcPr>
            <w:tcW w:w="2014" w:type="dxa"/>
          </w:tcPr>
          <w:p w14:paraId="3AA64827"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Max405</w:t>
            </w:r>
          </w:p>
        </w:tc>
        <w:tc>
          <w:tcPr>
            <w:tcW w:w="1266" w:type="dxa"/>
          </w:tcPr>
          <w:p w14:paraId="182AC362"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18</w:t>
            </w:r>
          </w:p>
        </w:tc>
        <w:tc>
          <w:tcPr>
            <w:tcW w:w="1325" w:type="dxa"/>
          </w:tcPr>
          <w:p w14:paraId="3B963775"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120.96</w:t>
            </w:r>
          </w:p>
        </w:tc>
        <w:tc>
          <w:tcPr>
            <w:tcW w:w="1497" w:type="dxa"/>
          </w:tcPr>
          <w:p w14:paraId="0CDA4778" w14:textId="77777777" w:rsidR="00F400D5" w:rsidRPr="003F4289" w:rsidRDefault="0083125E" w:rsidP="00301650">
            <w:pPr>
              <w:spacing w:after="160"/>
              <w:jc w:val="both"/>
              <w:rPr>
                <w:rFonts w:asciiTheme="majorBidi" w:hAnsiTheme="majorBidi" w:cstheme="majorBidi"/>
              </w:rPr>
            </w:pPr>
            <w:r w:rsidRPr="003F4289">
              <w:rPr>
                <w:rFonts w:asciiTheme="majorBidi" w:hAnsiTheme="majorBidi" w:cstheme="majorBidi"/>
              </w:rPr>
              <w:t>7276</w:t>
            </w:r>
          </w:p>
        </w:tc>
        <w:tc>
          <w:tcPr>
            <w:tcW w:w="1660" w:type="dxa"/>
          </w:tcPr>
          <w:p w14:paraId="2CF47068" w14:textId="77777777" w:rsidR="00F400D5" w:rsidRPr="003F4289" w:rsidRDefault="00572F0B" w:rsidP="00301650">
            <w:pPr>
              <w:spacing w:after="160"/>
              <w:jc w:val="both"/>
              <w:rPr>
                <w:rFonts w:asciiTheme="majorBidi" w:hAnsiTheme="majorBidi" w:cstheme="majorBidi"/>
                <w:color w:val="000000"/>
              </w:rPr>
            </w:pPr>
            <w:r w:rsidRPr="003F4289">
              <w:rPr>
                <w:rFonts w:asciiTheme="majorBidi" w:hAnsiTheme="majorBidi" w:cstheme="majorBidi"/>
                <w:color w:val="000000"/>
              </w:rPr>
              <w:t>145083</w:t>
            </w:r>
          </w:p>
        </w:tc>
        <w:tc>
          <w:tcPr>
            <w:tcW w:w="1588" w:type="dxa"/>
          </w:tcPr>
          <w:p w14:paraId="388906E5" w14:textId="77777777" w:rsidR="00F400D5" w:rsidRPr="003F4289" w:rsidRDefault="00F400D5" w:rsidP="00301650">
            <w:pPr>
              <w:spacing w:after="160"/>
              <w:jc w:val="both"/>
              <w:rPr>
                <w:rFonts w:asciiTheme="majorBidi" w:hAnsiTheme="majorBidi" w:cstheme="majorBidi"/>
                <w:color w:val="000000"/>
              </w:rPr>
            </w:pPr>
          </w:p>
        </w:tc>
      </w:tr>
      <w:tr w:rsidR="00F400D5" w:rsidRPr="003F4289" w14:paraId="4367074B" w14:textId="77777777" w:rsidTr="00426CB1">
        <w:tc>
          <w:tcPr>
            <w:tcW w:w="2014" w:type="dxa"/>
          </w:tcPr>
          <w:p w14:paraId="01B343CD"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Max405</w:t>
            </w:r>
          </w:p>
        </w:tc>
        <w:tc>
          <w:tcPr>
            <w:tcW w:w="1266" w:type="dxa"/>
          </w:tcPr>
          <w:p w14:paraId="553CAEDE"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19</w:t>
            </w:r>
          </w:p>
        </w:tc>
        <w:tc>
          <w:tcPr>
            <w:tcW w:w="1325" w:type="dxa"/>
          </w:tcPr>
          <w:p w14:paraId="140D589D"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126.99</w:t>
            </w:r>
          </w:p>
        </w:tc>
        <w:tc>
          <w:tcPr>
            <w:tcW w:w="1497" w:type="dxa"/>
          </w:tcPr>
          <w:p w14:paraId="5F0D40F8" w14:textId="77777777" w:rsidR="00F400D5" w:rsidRPr="003F4289" w:rsidRDefault="0083125E" w:rsidP="00301650">
            <w:pPr>
              <w:spacing w:after="160"/>
              <w:jc w:val="both"/>
              <w:rPr>
                <w:rFonts w:asciiTheme="majorBidi" w:hAnsiTheme="majorBidi" w:cstheme="majorBidi"/>
              </w:rPr>
            </w:pPr>
            <w:r w:rsidRPr="003F4289">
              <w:rPr>
                <w:rFonts w:asciiTheme="majorBidi" w:hAnsiTheme="majorBidi" w:cstheme="majorBidi"/>
              </w:rPr>
              <w:t>7693</w:t>
            </w:r>
          </w:p>
        </w:tc>
        <w:tc>
          <w:tcPr>
            <w:tcW w:w="1660" w:type="dxa"/>
          </w:tcPr>
          <w:p w14:paraId="1A82644E" w14:textId="77777777" w:rsidR="00F400D5" w:rsidRPr="003F4289" w:rsidRDefault="00572F0B" w:rsidP="00301650">
            <w:pPr>
              <w:spacing w:after="160"/>
              <w:jc w:val="both"/>
              <w:rPr>
                <w:rFonts w:asciiTheme="majorBidi" w:hAnsiTheme="majorBidi" w:cstheme="majorBidi"/>
                <w:color w:val="000000"/>
              </w:rPr>
            </w:pPr>
            <w:r w:rsidRPr="003F4289">
              <w:rPr>
                <w:rFonts w:asciiTheme="majorBidi" w:hAnsiTheme="majorBidi" w:cstheme="majorBidi"/>
                <w:color w:val="000000"/>
              </w:rPr>
              <w:t>145498</w:t>
            </w:r>
          </w:p>
        </w:tc>
        <w:tc>
          <w:tcPr>
            <w:tcW w:w="1588" w:type="dxa"/>
          </w:tcPr>
          <w:p w14:paraId="174EC1A1" w14:textId="77777777" w:rsidR="00F400D5" w:rsidRPr="003F4289" w:rsidRDefault="00F400D5" w:rsidP="00301650">
            <w:pPr>
              <w:spacing w:after="160"/>
              <w:jc w:val="both"/>
              <w:rPr>
                <w:rFonts w:asciiTheme="majorBidi" w:hAnsiTheme="majorBidi" w:cstheme="majorBidi"/>
                <w:color w:val="000000"/>
              </w:rPr>
            </w:pPr>
          </w:p>
        </w:tc>
      </w:tr>
      <w:tr w:rsidR="00722C2A" w:rsidRPr="003F4289" w14:paraId="3ACE5D3A" w14:textId="77777777" w:rsidTr="00655500">
        <w:tc>
          <w:tcPr>
            <w:tcW w:w="9350" w:type="dxa"/>
            <w:gridSpan w:val="6"/>
          </w:tcPr>
          <w:p w14:paraId="628F9EDD" w14:textId="77777777" w:rsidR="00722C2A" w:rsidRPr="003F4289" w:rsidRDefault="00722C2A" w:rsidP="00301650">
            <w:pPr>
              <w:jc w:val="both"/>
              <w:rPr>
                <w:rFonts w:asciiTheme="majorBidi" w:hAnsiTheme="majorBidi" w:cstheme="majorBidi"/>
                <w:b/>
                <w:bCs/>
                <w:color w:val="000000"/>
              </w:rPr>
            </w:pPr>
            <w:r w:rsidRPr="003F4289">
              <w:rPr>
                <w:rFonts w:asciiTheme="majorBidi" w:hAnsiTheme="majorBidi" w:cstheme="majorBidi"/>
                <w:b/>
                <w:bCs/>
                <w:color w:val="FF0000"/>
              </w:rPr>
              <w:t>129.1 m = 145.94 +- 0.2 Ma</w:t>
            </w:r>
          </w:p>
        </w:tc>
      </w:tr>
      <w:tr w:rsidR="00F400D5" w:rsidRPr="003F4289" w14:paraId="072DAAF5" w14:textId="77777777" w:rsidTr="00426CB1">
        <w:tc>
          <w:tcPr>
            <w:tcW w:w="2014" w:type="dxa"/>
          </w:tcPr>
          <w:p w14:paraId="19DB44DA"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Max405</w:t>
            </w:r>
          </w:p>
        </w:tc>
        <w:tc>
          <w:tcPr>
            <w:tcW w:w="1266" w:type="dxa"/>
          </w:tcPr>
          <w:p w14:paraId="0BED1D50"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20</w:t>
            </w:r>
          </w:p>
        </w:tc>
        <w:tc>
          <w:tcPr>
            <w:tcW w:w="1325" w:type="dxa"/>
          </w:tcPr>
          <w:p w14:paraId="228A4FCB"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132.84</w:t>
            </w:r>
          </w:p>
        </w:tc>
        <w:tc>
          <w:tcPr>
            <w:tcW w:w="1497" w:type="dxa"/>
          </w:tcPr>
          <w:p w14:paraId="2F23EE65" w14:textId="77777777" w:rsidR="00F400D5" w:rsidRPr="003F4289" w:rsidRDefault="0083125E" w:rsidP="00301650">
            <w:pPr>
              <w:spacing w:after="160"/>
              <w:jc w:val="both"/>
              <w:rPr>
                <w:rFonts w:asciiTheme="majorBidi" w:hAnsiTheme="majorBidi" w:cstheme="majorBidi"/>
              </w:rPr>
            </w:pPr>
            <w:r w:rsidRPr="003F4289">
              <w:rPr>
                <w:rFonts w:asciiTheme="majorBidi" w:hAnsiTheme="majorBidi" w:cstheme="majorBidi"/>
              </w:rPr>
              <w:t>8114</w:t>
            </w:r>
          </w:p>
        </w:tc>
        <w:tc>
          <w:tcPr>
            <w:tcW w:w="1660" w:type="dxa"/>
          </w:tcPr>
          <w:p w14:paraId="107D75C1" w14:textId="77777777" w:rsidR="00F400D5" w:rsidRPr="003F4289" w:rsidRDefault="00572F0B" w:rsidP="00301650">
            <w:pPr>
              <w:spacing w:after="160"/>
              <w:jc w:val="both"/>
              <w:rPr>
                <w:rFonts w:asciiTheme="majorBidi" w:hAnsiTheme="majorBidi" w:cstheme="majorBidi"/>
                <w:color w:val="000000"/>
              </w:rPr>
            </w:pPr>
            <w:r w:rsidRPr="003F4289">
              <w:rPr>
                <w:rFonts w:asciiTheme="majorBidi" w:hAnsiTheme="majorBidi" w:cstheme="majorBidi"/>
                <w:color w:val="000000"/>
              </w:rPr>
              <w:t>145905</w:t>
            </w:r>
          </w:p>
        </w:tc>
        <w:tc>
          <w:tcPr>
            <w:tcW w:w="1588" w:type="dxa"/>
          </w:tcPr>
          <w:p w14:paraId="381B3785" w14:textId="77777777" w:rsidR="00F400D5" w:rsidRPr="003F4289" w:rsidRDefault="00F400D5" w:rsidP="00301650">
            <w:pPr>
              <w:spacing w:after="160"/>
              <w:jc w:val="both"/>
              <w:rPr>
                <w:rFonts w:asciiTheme="majorBidi" w:hAnsiTheme="majorBidi" w:cstheme="majorBidi"/>
                <w:color w:val="000000"/>
              </w:rPr>
            </w:pPr>
          </w:p>
        </w:tc>
      </w:tr>
      <w:tr w:rsidR="00F400D5" w:rsidRPr="003F4289" w14:paraId="22D604C6" w14:textId="77777777" w:rsidTr="00426CB1">
        <w:tc>
          <w:tcPr>
            <w:tcW w:w="2014" w:type="dxa"/>
          </w:tcPr>
          <w:p w14:paraId="7E0430F9"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Max405</w:t>
            </w:r>
          </w:p>
        </w:tc>
        <w:tc>
          <w:tcPr>
            <w:tcW w:w="1266" w:type="dxa"/>
          </w:tcPr>
          <w:p w14:paraId="01D7B49A"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21</w:t>
            </w:r>
          </w:p>
        </w:tc>
        <w:tc>
          <w:tcPr>
            <w:tcW w:w="1325" w:type="dxa"/>
          </w:tcPr>
          <w:p w14:paraId="4B381A0A"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140.19</w:t>
            </w:r>
          </w:p>
        </w:tc>
        <w:tc>
          <w:tcPr>
            <w:tcW w:w="1497" w:type="dxa"/>
          </w:tcPr>
          <w:p w14:paraId="424BBDEA" w14:textId="77777777" w:rsidR="00F400D5" w:rsidRPr="003F4289" w:rsidRDefault="0083125E" w:rsidP="00301650">
            <w:pPr>
              <w:spacing w:after="160"/>
              <w:jc w:val="both"/>
              <w:rPr>
                <w:rFonts w:asciiTheme="majorBidi" w:hAnsiTheme="majorBidi" w:cstheme="majorBidi"/>
              </w:rPr>
            </w:pPr>
            <w:r w:rsidRPr="003F4289">
              <w:rPr>
                <w:rFonts w:asciiTheme="majorBidi" w:hAnsiTheme="majorBidi" w:cstheme="majorBidi"/>
              </w:rPr>
              <w:t>8497</w:t>
            </w:r>
          </w:p>
        </w:tc>
        <w:tc>
          <w:tcPr>
            <w:tcW w:w="1660" w:type="dxa"/>
          </w:tcPr>
          <w:p w14:paraId="6EC1810A" w14:textId="77777777" w:rsidR="00F400D5" w:rsidRPr="003F4289" w:rsidRDefault="00572F0B" w:rsidP="00301650">
            <w:pPr>
              <w:spacing w:after="160"/>
              <w:jc w:val="both"/>
              <w:rPr>
                <w:rFonts w:asciiTheme="majorBidi" w:hAnsiTheme="majorBidi" w:cstheme="majorBidi"/>
                <w:color w:val="000000"/>
              </w:rPr>
            </w:pPr>
            <w:r w:rsidRPr="003F4289">
              <w:rPr>
                <w:rFonts w:asciiTheme="majorBidi" w:hAnsiTheme="majorBidi" w:cstheme="majorBidi"/>
                <w:color w:val="000000"/>
              </w:rPr>
              <w:t>146300</w:t>
            </w:r>
          </w:p>
        </w:tc>
        <w:tc>
          <w:tcPr>
            <w:tcW w:w="1588" w:type="dxa"/>
          </w:tcPr>
          <w:p w14:paraId="10803DF8" w14:textId="77777777" w:rsidR="00F400D5" w:rsidRPr="003F4289" w:rsidRDefault="00F400D5" w:rsidP="00301650">
            <w:pPr>
              <w:spacing w:after="160"/>
              <w:jc w:val="both"/>
              <w:rPr>
                <w:rFonts w:asciiTheme="majorBidi" w:hAnsiTheme="majorBidi" w:cstheme="majorBidi"/>
                <w:color w:val="000000"/>
              </w:rPr>
            </w:pPr>
          </w:p>
        </w:tc>
      </w:tr>
      <w:tr w:rsidR="00F400D5" w:rsidRPr="003F4289" w14:paraId="630D8F3A" w14:textId="77777777" w:rsidTr="00426CB1">
        <w:tc>
          <w:tcPr>
            <w:tcW w:w="2014" w:type="dxa"/>
          </w:tcPr>
          <w:p w14:paraId="0781E3D2"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Max405</w:t>
            </w:r>
          </w:p>
        </w:tc>
        <w:tc>
          <w:tcPr>
            <w:tcW w:w="1266" w:type="dxa"/>
          </w:tcPr>
          <w:p w14:paraId="1D0D9222"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22</w:t>
            </w:r>
          </w:p>
        </w:tc>
        <w:tc>
          <w:tcPr>
            <w:tcW w:w="1325" w:type="dxa"/>
          </w:tcPr>
          <w:p w14:paraId="2CABE796"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147.26</w:t>
            </w:r>
          </w:p>
        </w:tc>
        <w:tc>
          <w:tcPr>
            <w:tcW w:w="1497" w:type="dxa"/>
          </w:tcPr>
          <w:p w14:paraId="59E03909" w14:textId="77777777" w:rsidR="00F400D5" w:rsidRPr="003F4289" w:rsidRDefault="0083125E" w:rsidP="00301650">
            <w:pPr>
              <w:spacing w:after="160"/>
              <w:jc w:val="both"/>
              <w:rPr>
                <w:rFonts w:asciiTheme="majorBidi" w:hAnsiTheme="majorBidi" w:cstheme="majorBidi"/>
              </w:rPr>
            </w:pPr>
            <w:r w:rsidRPr="003F4289">
              <w:rPr>
                <w:rFonts w:asciiTheme="majorBidi" w:hAnsiTheme="majorBidi" w:cstheme="majorBidi"/>
              </w:rPr>
              <w:t>8890</w:t>
            </w:r>
          </w:p>
        </w:tc>
        <w:tc>
          <w:tcPr>
            <w:tcW w:w="1660" w:type="dxa"/>
          </w:tcPr>
          <w:p w14:paraId="09F8FC6B" w14:textId="77777777" w:rsidR="00F400D5" w:rsidRPr="003F4289" w:rsidRDefault="00572F0B" w:rsidP="00301650">
            <w:pPr>
              <w:spacing w:after="160"/>
              <w:jc w:val="both"/>
              <w:rPr>
                <w:rFonts w:asciiTheme="majorBidi" w:hAnsiTheme="majorBidi" w:cstheme="majorBidi"/>
                <w:color w:val="000000"/>
              </w:rPr>
            </w:pPr>
            <w:r w:rsidRPr="003F4289">
              <w:rPr>
                <w:rFonts w:asciiTheme="majorBidi" w:hAnsiTheme="majorBidi" w:cstheme="majorBidi"/>
                <w:color w:val="000000"/>
              </w:rPr>
              <w:t>146695</w:t>
            </w:r>
          </w:p>
        </w:tc>
        <w:tc>
          <w:tcPr>
            <w:tcW w:w="1588" w:type="dxa"/>
          </w:tcPr>
          <w:p w14:paraId="2FF848CC" w14:textId="77777777" w:rsidR="00F400D5" w:rsidRPr="003F4289" w:rsidRDefault="00F400D5" w:rsidP="00301650">
            <w:pPr>
              <w:spacing w:after="160"/>
              <w:jc w:val="both"/>
              <w:rPr>
                <w:rFonts w:asciiTheme="majorBidi" w:hAnsiTheme="majorBidi" w:cstheme="majorBidi"/>
                <w:color w:val="000000"/>
              </w:rPr>
            </w:pPr>
          </w:p>
        </w:tc>
      </w:tr>
      <w:tr w:rsidR="00F400D5" w:rsidRPr="003F4289" w14:paraId="1659BF56" w14:textId="77777777" w:rsidTr="00426CB1">
        <w:tc>
          <w:tcPr>
            <w:tcW w:w="2014" w:type="dxa"/>
          </w:tcPr>
          <w:p w14:paraId="1A3C8B19"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Max405</w:t>
            </w:r>
          </w:p>
        </w:tc>
        <w:tc>
          <w:tcPr>
            <w:tcW w:w="1266" w:type="dxa"/>
          </w:tcPr>
          <w:p w14:paraId="1FB10E8F"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23</w:t>
            </w:r>
          </w:p>
        </w:tc>
        <w:tc>
          <w:tcPr>
            <w:tcW w:w="1325" w:type="dxa"/>
          </w:tcPr>
          <w:p w14:paraId="66883A92"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153.64</w:t>
            </w:r>
          </w:p>
        </w:tc>
        <w:tc>
          <w:tcPr>
            <w:tcW w:w="1497" w:type="dxa"/>
          </w:tcPr>
          <w:p w14:paraId="133BDCD7" w14:textId="77777777" w:rsidR="00F400D5" w:rsidRPr="003F4289" w:rsidRDefault="0083125E" w:rsidP="00301650">
            <w:pPr>
              <w:spacing w:after="160"/>
              <w:jc w:val="both"/>
              <w:rPr>
                <w:rFonts w:asciiTheme="majorBidi" w:hAnsiTheme="majorBidi" w:cstheme="majorBidi"/>
              </w:rPr>
            </w:pPr>
            <w:r w:rsidRPr="003F4289">
              <w:rPr>
                <w:rFonts w:asciiTheme="majorBidi" w:hAnsiTheme="majorBidi" w:cstheme="majorBidi"/>
              </w:rPr>
              <w:t>9307</w:t>
            </w:r>
          </w:p>
        </w:tc>
        <w:tc>
          <w:tcPr>
            <w:tcW w:w="1660" w:type="dxa"/>
          </w:tcPr>
          <w:p w14:paraId="7A93E9DC" w14:textId="77777777" w:rsidR="00F400D5" w:rsidRPr="003F4289" w:rsidRDefault="00572F0B" w:rsidP="00301650">
            <w:pPr>
              <w:spacing w:after="160"/>
              <w:jc w:val="both"/>
              <w:rPr>
                <w:rFonts w:asciiTheme="majorBidi" w:hAnsiTheme="majorBidi" w:cstheme="majorBidi"/>
                <w:color w:val="000000"/>
              </w:rPr>
            </w:pPr>
            <w:r w:rsidRPr="003F4289">
              <w:rPr>
                <w:rFonts w:asciiTheme="majorBidi" w:hAnsiTheme="majorBidi" w:cstheme="majorBidi"/>
                <w:color w:val="000000"/>
              </w:rPr>
              <w:t>147091</w:t>
            </w:r>
          </w:p>
        </w:tc>
        <w:tc>
          <w:tcPr>
            <w:tcW w:w="1588" w:type="dxa"/>
          </w:tcPr>
          <w:p w14:paraId="177FA140" w14:textId="77777777" w:rsidR="00F400D5" w:rsidRPr="003F4289" w:rsidRDefault="00F400D5" w:rsidP="00301650">
            <w:pPr>
              <w:spacing w:after="160"/>
              <w:jc w:val="both"/>
              <w:rPr>
                <w:rFonts w:asciiTheme="majorBidi" w:hAnsiTheme="majorBidi" w:cstheme="majorBidi"/>
                <w:color w:val="000000"/>
              </w:rPr>
            </w:pPr>
          </w:p>
        </w:tc>
      </w:tr>
      <w:tr w:rsidR="00722C2A" w:rsidRPr="003F4289" w14:paraId="11BE5C29" w14:textId="77777777" w:rsidTr="00655500">
        <w:tc>
          <w:tcPr>
            <w:tcW w:w="9350" w:type="dxa"/>
            <w:gridSpan w:val="6"/>
          </w:tcPr>
          <w:p w14:paraId="0C0E0ABB" w14:textId="77777777" w:rsidR="00722C2A" w:rsidRPr="003F4289" w:rsidRDefault="00722C2A" w:rsidP="00301650">
            <w:pPr>
              <w:jc w:val="both"/>
              <w:rPr>
                <w:rFonts w:asciiTheme="majorBidi" w:hAnsiTheme="majorBidi" w:cstheme="majorBidi"/>
                <w:b/>
                <w:bCs/>
                <w:color w:val="000000"/>
              </w:rPr>
            </w:pPr>
            <w:r w:rsidRPr="003F4289">
              <w:rPr>
                <w:rFonts w:asciiTheme="majorBidi" w:hAnsiTheme="majorBidi" w:cstheme="majorBidi"/>
                <w:b/>
                <w:bCs/>
                <w:color w:val="FF0000"/>
              </w:rPr>
              <w:t>159.1 m = 147+-0.1 Ma</w:t>
            </w:r>
          </w:p>
        </w:tc>
      </w:tr>
      <w:tr w:rsidR="00F400D5" w:rsidRPr="003F4289" w14:paraId="00DFD541" w14:textId="77777777" w:rsidTr="00426CB1">
        <w:tc>
          <w:tcPr>
            <w:tcW w:w="2014" w:type="dxa"/>
          </w:tcPr>
          <w:p w14:paraId="4EE25B86"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Max405</w:t>
            </w:r>
          </w:p>
        </w:tc>
        <w:tc>
          <w:tcPr>
            <w:tcW w:w="1266" w:type="dxa"/>
          </w:tcPr>
          <w:p w14:paraId="5CDDFA38"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24</w:t>
            </w:r>
          </w:p>
        </w:tc>
        <w:tc>
          <w:tcPr>
            <w:tcW w:w="1325" w:type="dxa"/>
          </w:tcPr>
          <w:p w14:paraId="4AD52EAE"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161.01</w:t>
            </w:r>
          </w:p>
        </w:tc>
        <w:tc>
          <w:tcPr>
            <w:tcW w:w="1497" w:type="dxa"/>
          </w:tcPr>
          <w:p w14:paraId="6F6C981C" w14:textId="77777777" w:rsidR="00F400D5" w:rsidRPr="003F4289" w:rsidRDefault="0083125E" w:rsidP="00301650">
            <w:pPr>
              <w:spacing w:after="160"/>
              <w:jc w:val="both"/>
              <w:rPr>
                <w:rFonts w:asciiTheme="majorBidi" w:hAnsiTheme="majorBidi" w:cstheme="majorBidi"/>
              </w:rPr>
            </w:pPr>
            <w:r w:rsidRPr="003F4289">
              <w:rPr>
                <w:rFonts w:asciiTheme="majorBidi" w:hAnsiTheme="majorBidi" w:cstheme="majorBidi"/>
              </w:rPr>
              <w:t>9725</w:t>
            </w:r>
          </w:p>
        </w:tc>
        <w:tc>
          <w:tcPr>
            <w:tcW w:w="1660" w:type="dxa"/>
          </w:tcPr>
          <w:p w14:paraId="34144E47" w14:textId="77777777" w:rsidR="00F400D5" w:rsidRPr="003F4289" w:rsidRDefault="00572F0B" w:rsidP="00301650">
            <w:pPr>
              <w:spacing w:after="160"/>
              <w:jc w:val="both"/>
              <w:rPr>
                <w:rFonts w:asciiTheme="majorBidi" w:hAnsiTheme="majorBidi" w:cstheme="majorBidi"/>
                <w:color w:val="000000"/>
              </w:rPr>
            </w:pPr>
            <w:r w:rsidRPr="003F4289">
              <w:rPr>
                <w:rFonts w:asciiTheme="majorBidi" w:hAnsiTheme="majorBidi" w:cstheme="majorBidi"/>
                <w:color w:val="000000"/>
              </w:rPr>
              <w:t>147498</w:t>
            </w:r>
          </w:p>
        </w:tc>
        <w:tc>
          <w:tcPr>
            <w:tcW w:w="1588" w:type="dxa"/>
          </w:tcPr>
          <w:p w14:paraId="0A0BC70C" w14:textId="77777777" w:rsidR="00F400D5" w:rsidRPr="003F4289" w:rsidRDefault="00F400D5" w:rsidP="00301650">
            <w:pPr>
              <w:spacing w:after="160"/>
              <w:jc w:val="both"/>
              <w:rPr>
                <w:rFonts w:asciiTheme="majorBidi" w:hAnsiTheme="majorBidi" w:cstheme="majorBidi"/>
                <w:color w:val="000000"/>
              </w:rPr>
            </w:pPr>
          </w:p>
        </w:tc>
      </w:tr>
      <w:tr w:rsidR="009B2584" w:rsidRPr="003F4289" w14:paraId="22304BB4" w14:textId="77777777" w:rsidTr="00655500">
        <w:tc>
          <w:tcPr>
            <w:tcW w:w="9350" w:type="dxa"/>
            <w:gridSpan w:val="6"/>
          </w:tcPr>
          <w:p w14:paraId="2604D371" w14:textId="77777777" w:rsidR="009B2584" w:rsidRPr="003F4289" w:rsidRDefault="009B2584" w:rsidP="00301650">
            <w:pPr>
              <w:jc w:val="both"/>
              <w:rPr>
                <w:rFonts w:asciiTheme="majorBidi" w:hAnsiTheme="majorBidi" w:cstheme="majorBidi"/>
                <w:b/>
                <w:bCs/>
                <w:color w:val="000000"/>
              </w:rPr>
            </w:pPr>
            <w:r w:rsidRPr="003F4289">
              <w:rPr>
                <w:rFonts w:asciiTheme="majorBidi" w:hAnsiTheme="majorBidi" w:cstheme="majorBidi"/>
                <w:b/>
                <w:bCs/>
                <w:color w:val="FF0000"/>
              </w:rPr>
              <w:t>165.1 m = 147.38 +- 0.1 Ma</w:t>
            </w:r>
          </w:p>
        </w:tc>
      </w:tr>
      <w:tr w:rsidR="00F400D5" w:rsidRPr="003F4289" w14:paraId="0074D511" w14:textId="77777777" w:rsidTr="00426CB1">
        <w:tc>
          <w:tcPr>
            <w:tcW w:w="2014" w:type="dxa"/>
          </w:tcPr>
          <w:p w14:paraId="31D4F978"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Max405</w:t>
            </w:r>
          </w:p>
        </w:tc>
        <w:tc>
          <w:tcPr>
            <w:tcW w:w="1266" w:type="dxa"/>
          </w:tcPr>
          <w:p w14:paraId="52732DD9"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25</w:t>
            </w:r>
          </w:p>
        </w:tc>
        <w:tc>
          <w:tcPr>
            <w:tcW w:w="1325" w:type="dxa"/>
          </w:tcPr>
          <w:p w14:paraId="27B2B756"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168.52</w:t>
            </w:r>
          </w:p>
        </w:tc>
        <w:tc>
          <w:tcPr>
            <w:tcW w:w="1497" w:type="dxa"/>
          </w:tcPr>
          <w:p w14:paraId="0E3023C7" w14:textId="77777777" w:rsidR="00F400D5" w:rsidRPr="003F4289" w:rsidRDefault="0083125E" w:rsidP="00301650">
            <w:pPr>
              <w:spacing w:after="160"/>
              <w:jc w:val="both"/>
              <w:rPr>
                <w:rFonts w:asciiTheme="majorBidi" w:hAnsiTheme="majorBidi" w:cstheme="majorBidi"/>
              </w:rPr>
            </w:pPr>
            <w:r w:rsidRPr="003F4289">
              <w:rPr>
                <w:rFonts w:asciiTheme="majorBidi" w:hAnsiTheme="majorBidi" w:cstheme="majorBidi"/>
              </w:rPr>
              <w:t>10139</w:t>
            </w:r>
          </w:p>
        </w:tc>
        <w:tc>
          <w:tcPr>
            <w:tcW w:w="1660" w:type="dxa"/>
          </w:tcPr>
          <w:p w14:paraId="67D95259" w14:textId="77777777" w:rsidR="00F400D5" w:rsidRPr="003F4289" w:rsidRDefault="00572F0B" w:rsidP="00301650">
            <w:pPr>
              <w:spacing w:after="160"/>
              <w:jc w:val="both"/>
              <w:rPr>
                <w:rFonts w:asciiTheme="majorBidi" w:hAnsiTheme="majorBidi" w:cstheme="majorBidi"/>
                <w:color w:val="000000"/>
              </w:rPr>
            </w:pPr>
            <w:r w:rsidRPr="003F4289">
              <w:rPr>
                <w:rFonts w:asciiTheme="majorBidi" w:hAnsiTheme="majorBidi" w:cstheme="majorBidi"/>
                <w:color w:val="000000"/>
              </w:rPr>
              <w:t>147907</w:t>
            </w:r>
          </w:p>
        </w:tc>
        <w:tc>
          <w:tcPr>
            <w:tcW w:w="1588" w:type="dxa"/>
          </w:tcPr>
          <w:p w14:paraId="1738FDFF" w14:textId="77777777" w:rsidR="00F400D5" w:rsidRPr="003F4289" w:rsidRDefault="00F400D5" w:rsidP="00301650">
            <w:pPr>
              <w:spacing w:after="160"/>
              <w:jc w:val="both"/>
              <w:rPr>
                <w:rFonts w:asciiTheme="majorBidi" w:hAnsiTheme="majorBidi" w:cstheme="majorBidi"/>
                <w:color w:val="000000"/>
              </w:rPr>
            </w:pPr>
          </w:p>
        </w:tc>
      </w:tr>
      <w:tr w:rsidR="009B2584" w:rsidRPr="003F4289" w14:paraId="383478CD" w14:textId="77777777" w:rsidTr="00655500">
        <w:tc>
          <w:tcPr>
            <w:tcW w:w="9350" w:type="dxa"/>
            <w:gridSpan w:val="6"/>
          </w:tcPr>
          <w:p w14:paraId="1D1E8DD9" w14:textId="77777777" w:rsidR="009B2584" w:rsidRPr="003F4289" w:rsidRDefault="009B2584" w:rsidP="00301650">
            <w:pPr>
              <w:jc w:val="both"/>
              <w:rPr>
                <w:rFonts w:asciiTheme="majorBidi" w:hAnsiTheme="majorBidi" w:cstheme="majorBidi"/>
                <w:b/>
                <w:bCs/>
                <w:color w:val="000000"/>
              </w:rPr>
            </w:pPr>
            <w:r w:rsidRPr="003F4289">
              <w:rPr>
                <w:rFonts w:asciiTheme="majorBidi" w:hAnsiTheme="majorBidi" w:cstheme="majorBidi"/>
                <w:b/>
                <w:bCs/>
                <w:color w:val="FF0000"/>
              </w:rPr>
              <w:t>171.1 m = 147.5 +- 0.1 Ma</w:t>
            </w:r>
          </w:p>
        </w:tc>
      </w:tr>
      <w:tr w:rsidR="00F400D5" w:rsidRPr="003F4289" w14:paraId="6E955C65" w14:textId="77777777" w:rsidTr="00426CB1">
        <w:tc>
          <w:tcPr>
            <w:tcW w:w="2014" w:type="dxa"/>
          </w:tcPr>
          <w:p w14:paraId="500B33F0"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Max405</w:t>
            </w:r>
          </w:p>
        </w:tc>
        <w:tc>
          <w:tcPr>
            <w:tcW w:w="1266" w:type="dxa"/>
          </w:tcPr>
          <w:p w14:paraId="58D47014"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26</w:t>
            </w:r>
          </w:p>
        </w:tc>
        <w:tc>
          <w:tcPr>
            <w:tcW w:w="1325" w:type="dxa"/>
          </w:tcPr>
          <w:p w14:paraId="68DC8CB3"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174.69</w:t>
            </w:r>
          </w:p>
        </w:tc>
        <w:tc>
          <w:tcPr>
            <w:tcW w:w="1497" w:type="dxa"/>
          </w:tcPr>
          <w:p w14:paraId="700E9C45" w14:textId="77777777" w:rsidR="00F400D5" w:rsidRPr="003F4289" w:rsidRDefault="0083125E" w:rsidP="00301650">
            <w:pPr>
              <w:spacing w:after="160"/>
              <w:jc w:val="both"/>
              <w:rPr>
                <w:rFonts w:asciiTheme="majorBidi" w:hAnsiTheme="majorBidi" w:cstheme="majorBidi"/>
              </w:rPr>
            </w:pPr>
            <w:r w:rsidRPr="003F4289">
              <w:rPr>
                <w:rFonts w:asciiTheme="majorBidi" w:hAnsiTheme="majorBidi" w:cstheme="majorBidi"/>
              </w:rPr>
              <w:t>10552</w:t>
            </w:r>
          </w:p>
        </w:tc>
        <w:tc>
          <w:tcPr>
            <w:tcW w:w="1660" w:type="dxa"/>
          </w:tcPr>
          <w:p w14:paraId="7B8DFCD2" w14:textId="77777777" w:rsidR="00F400D5" w:rsidRPr="003F4289" w:rsidRDefault="00572F0B" w:rsidP="00301650">
            <w:pPr>
              <w:spacing w:after="160"/>
              <w:jc w:val="both"/>
              <w:rPr>
                <w:rFonts w:asciiTheme="majorBidi" w:hAnsiTheme="majorBidi" w:cstheme="majorBidi"/>
                <w:color w:val="000000"/>
              </w:rPr>
            </w:pPr>
            <w:r w:rsidRPr="003F4289">
              <w:rPr>
                <w:rFonts w:asciiTheme="majorBidi" w:hAnsiTheme="majorBidi" w:cstheme="majorBidi"/>
                <w:color w:val="000000"/>
              </w:rPr>
              <w:t>148318</w:t>
            </w:r>
          </w:p>
        </w:tc>
        <w:tc>
          <w:tcPr>
            <w:tcW w:w="1588" w:type="dxa"/>
          </w:tcPr>
          <w:p w14:paraId="11290AF0" w14:textId="77777777" w:rsidR="00F400D5" w:rsidRPr="003F4289" w:rsidRDefault="00F400D5" w:rsidP="00301650">
            <w:pPr>
              <w:spacing w:after="160"/>
              <w:jc w:val="both"/>
              <w:rPr>
                <w:rFonts w:asciiTheme="majorBidi" w:hAnsiTheme="majorBidi" w:cstheme="majorBidi"/>
                <w:color w:val="000000"/>
              </w:rPr>
            </w:pPr>
          </w:p>
        </w:tc>
      </w:tr>
      <w:tr w:rsidR="00F400D5" w:rsidRPr="003F4289" w14:paraId="03E17282" w14:textId="77777777" w:rsidTr="00426CB1">
        <w:tc>
          <w:tcPr>
            <w:tcW w:w="2014" w:type="dxa"/>
          </w:tcPr>
          <w:p w14:paraId="73068C45"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Max405</w:t>
            </w:r>
          </w:p>
        </w:tc>
        <w:tc>
          <w:tcPr>
            <w:tcW w:w="1266" w:type="dxa"/>
          </w:tcPr>
          <w:p w14:paraId="5D401D63"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27</w:t>
            </w:r>
          </w:p>
        </w:tc>
        <w:tc>
          <w:tcPr>
            <w:tcW w:w="1325" w:type="dxa"/>
          </w:tcPr>
          <w:p w14:paraId="7FB45593"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181.05</w:t>
            </w:r>
          </w:p>
        </w:tc>
        <w:tc>
          <w:tcPr>
            <w:tcW w:w="1497" w:type="dxa"/>
          </w:tcPr>
          <w:p w14:paraId="4443D6D9" w14:textId="77777777" w:rsidR="00F400D5" w:rsidRPr="003F4289" w:rsidRDefault="0083125E" w:rsidP="00301650">
            <w:pPr>
              <w:spacing w:after="160"/>
              <w:jc w:val="both"/>
              <w:rPr>
                <w:rFonts w:asciiTheme="majorBidi" w:hAnsiTheme="majorBidi" w:cstheme="majorBidi"/>
              </w:rPr>
            </w:pPr>
            <w:r w:rsidRPr="003F4289">
              <w:rPr>
                <w:rFonts w:asciiTheme="majorBidi" w:hAnsiTheme="majorBidi" w:cstheme="majorBidi"/>
              </w:rPr>
              <w:t>10950</w:t>
            </w:r>
          </w:p>
        </w:tc>
        <w:tc>
          <w:tcPr>
            <w:tcW w:w="1660" w:type="dxa"/>
          </w:tcPr>
          <w:p w14:paraId="799612C7" w14:textId="77777777" w:rsidR="00F400D5" w:rsidRPr="003F4289" w:rsidRDefault="00572F0B" w:rsidP="00301650">
            <w:pPr>
              <w:spacing w:after="160"/>
              <w:jc w:val="both"/>
              <w:rPr>
                <w:rFonts w:asciiTheme="majorBidi" w:hAnsiTheme="majorBidi" w:cstheme="majorBidi"/>
                <w:color w:val="000000"/>
              </w:rPr>
            </w:pPr>
            <w:r w:rsidRPr="003F4289">
              <w:rPr>
                <w:rFonts w:asciiTheme="majorBidi" w:hAnsiTheme="majorBidi" w:cstheme="majorBidi"/>
                <w:color w:val="000000"/>
              </w:rPr>
              <w:t>148723</w:t>
            </w:r>
          </w:p>
        </w:tc>
        <w:tc>
          <w:tcPr>
            <w:tcW w:w="1588" w:type="dxa"/>
          </w:tcPr>
          <w:p w14:paraId="0D5B553B" w14:textId="77777777" w:rsidR="00F400D5" w:rsidRPr="003F4289" w:rsidRDefault="00F400D5" w:rsidP="00301650">
            <w:pPr>
              <w:spacing w:after="160"/>
              <w:jc w:val="both"/>
              <w:rPr>
                <w:rFonts w:asciiTheme="majorBidi" w:hAnsiTheme="majorBidi" w:cstheme="majorBidi"/>
                <w:color w:val="000000"/>
              </w:rPr>
            </w:pPr>
          </w:p>
        </w:tc>
      </w:tr>
      <w:tr w:rsidR="00F17C9B" w:rsidRPr="003F4289" w14:paraId="4688B232" w14:textId="77777777" w:rsidTr="00655500">
        <w:tc>
          <w:tcPr>
            <w:tcW w:w="9350" w:type="dxa"/>
            <w:gridSpan w:val="6"/>
          </w:tcPr>
          <w:p w14:paraId="7AF28FEF" w14:textId="77777777" w:rsidR="00F17C9B" w:rsidRPr="003F4289" w:rsidRDefault="00F17C9B" w:rsidP="00301650">
            <w:pPr>
              <w:jc w:val="both"/>
              <w:rPr>
                <w:rFonts w:asciiTheme="majorBidi" w:hAnsiTheme="majorBidi" w:cstheme="majorBidi"/>
                <w:b/>
                <w:bCs/>
                <w:color w:val="000000"/>
              </w:rPr>
            </w:pPr>
            <w:r w:rsidRPr="003F4289">
              <w:rPr>
                <w:rFonts w:asciiTheme="majorBidi" w:hAnsiTheme="majorBidi" w:cstheme="majorBidi"/>
                <w:b/>
                <w:bCs/>
                <w:color w:val="FF0000"/>
              </w:rPr>
              <w:t>184.08 m = 148.45 +- 0.1 Ma</w:t>
            </w:r>
          </w:p>
        </w:tc>
      </w:tr>
      <w:tr w:rsidR="00F400D5" w:rsidRPr="003F4289" w14:paraId="2CA86770" w14:textId="77777777" w:rsidTr="00426CB1">
        <w:tc>
          <w:tcPr>
            <w:tcW w:w="2014" w:type="dxa"/>
          </w:tcPr>
          <w:p w14:paraId="0528F113"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Max405</w:t>
            </w:r>
          </w:p>
        </w:tc>
        <w:tc>
          <w:tcPr>
            <w:tcW w:w="1266" w:type="dxa"/>
          </w:tcPr>
          <w:p w14:paraId="0EB50F44"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28</w:t>
            </w:r>
          </w:p>
        </w:tc>
        <w:tc>
          <w:tcPr>
            <w:tcW w:w="1325" w:type="dxa"/>
          </w:tcPr>
          <w:p w14:paraId="5317615E"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187.82</w:t>
            </w:r>
          </w:p>
        </w:tc>
        <w:tc>
          <w:tcPr>
            <w:tcW w:w="1497" w:type="dxa"/>
          </w:tcPr>
          <w:p w14:paraId="42FF3FCB" w14:textId="77777777" w:rsidR="00F400D5" w:rsidRPr="003F4289" w:rsidRDefault="0083125E" w:rsidP="00301650">
            <w:pPr>
              <w:spacing w:after="160"/>
              <w:jc w:val="both"/>
              <w:rPr>
                <w:rFonts w:asciiTheme="majorBidi" w:hAnsiTheme="majorBidi" w:cstheme="majorBidi"/>
              </w:rPr>
            </w:pPr>
            <w:r w:rsidRPr="003F4289">
              <w:rPr>
                <w:rFonts w:asciiTheme="majorBidi" w:hAnsiTheme="majorBidi" w:cstheme="majorBidi"/>
              </w:rPr>
              <w:t>11338</w:t>
            </w:r>
          </w:p>
        </w:tc>
        <w:tc>
          <w:tcPr>
            <w:tcW w:w="1660" w:type="dxa"/>
          </w:tcPr>
          <w:p w14:paraId="553F371F" w14:textId="77777777" w:rsidR="00F400D5" w:rsidRPr="003F4289" w:rsidRDefault="00572F0B" w:rsidP="00301650">
            <w:pPr>
              <w:spacing w:after="160"/>
              <w:jc w:val="both"/>
              <w:rPr>
                <w:rFonts w:asciiTheme="majorBidi" w:hAnsiTheme="majorBidi" w:cstheme="majorBidi"/>
                <w:color w:val="000000"/>
              </w:rPr>
            </w:pPr>
            <w:r w:rsidRPr="003F4289">
              <w:rPr>
                <w:rFonts w:asciiTheme="majorBidi" w:hAnsiTheme="majorBidi" w:cstheme="majorBidi"/>
                <w:color w:val="000000"/>
              </w:rPr>
              <w:t>149128</w:t>
            </w:r>
          </w:p>
        </w:tc>
        <w:tc>
          <w:tcPr>
            <w:tcW w:w="1588" w:type="dxa"/>
          </w:tcPr>
          <w:p w14:paraId="75327B12" w14:textId="77777777" w:rsidR="00F400D5" w:rsidRPr="003F4289" w:rsidRDefault="00F400D5" w:rsidP="00301650">
            <w:pPr>
              <w:spacing w:after="160"/>
              <w:jc w:val="both"/>
              <w:rPr>
                <w:rFonts w:asciiTheme="majorBidi" w:hAnsiTheme="majorBidi" w:cstheme="majorBidi"/>
                <w:color w:val="000000"/>
              </w:rPr>
            </w:pPr>
          </w:p>
        </w:tc>
      </w:tr>
      <w:tr w:rsidR="00F400D5" w:rsidRPr="003F4289" w14:paraId="0AA5EA4E" w14:textId="77777777" w:rsidTr="00426CB1">
        <w:tc>
          <w:tcPr>
            <w:tcW w:w="2014" w:type="dxa"/>
          </w:tcPr>
          <w:p w14:paraId="5394FDF1"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Max405</w:t>
            </w:r>
          </w:p>
        </w:tc>
        <w:tc>
          <w:tcPr>
            <w:tcW w:w="1266" w:type="dxa"/>
          </w:tcPr>
          <w:p w14:paraId="15DEE09E"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29</w:t>
            </w:r>
          </w:p>
        </w:tc>
        <w:tc>
          <w:tcPr>
            <w:tcW w:w="1325" w:type="dxa"/>
          </w:tcPr>
          <w:p w14:paraId="225BCD9D"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195.18</w:t>
            </w:r>
          </w:p>
        </w:tc>
        <w:tc>
          <w:tcPr>
            <w:tcW w:w="1497" w:type="dxa"/>
          </w:tcPr>
          <w:p w14:paraId="36EBCD10" w14:textId="77777777" w:rsidR="00F400D5" w:rsidRPr="003F4289" w:rsidRDefault="0083125E" w:rsidP="00301650">
            <w:pPr>
              <w:spacing w:after="160"/>
              <w:jc w:val="both"/>
              <w:rPr>
                <w:rFonts w:asciiTheme="majorBidi" w:hAnsiTheme="majorBidi" w:cstheme="majorBidi"/>
              </w:rPr>
            </w:pPr>
            <w:r w:rsidRPr="003F4289">
              <w:rPr>
                <w:rFonts w:asciiTheme="majorBidi" w:hAnsiTheme="majorBidi" w:cstheme="majorBidi"/>
              </w:rPr>
              <w:t>11736</w:t>
            </w:r>
          </w:p>
        </w:tc>
        <w:tc>
          <w:tcPr>
            <w:tcW w:w="1660" w:type="dxa"/>
          </w:tcPr>
          <w:p w14:paraId="0F26AE2A" w14:textId="77777777" w:rsidR="00F400D5" w:rsidRPr="003F4289" w:rsidRDefault="00572F0B" w:rsidP="00301650">
            <w:pPr>
              <w:spacing w:after="160"/>
              <w:jc w:val="both"/>
              <w:rPr>
                <w:rFonts w:asciiTheme="majorBidi" w:hAnsiTheme="majorBidi" w:cstheme="majorBidi"/>
                <w:color w:val="000000"/>
              </w:rPr>
            </w:pPr>
            <w:r w:rsidRPr="003F4289">
              <w:rPr>
                <w:rFonts w:asciiTheme="majorBidi" w:hAnsiTheme="majorBidi" w:cstheme="majorBidi"/>
                <w:color w:val="000000"/>
              </w:rPr>
              <w:t>149520</w:t>
            </w:r>
          </w:p>
        </w:tc>
        <w:tc>
          <w:tcPr>
            <w:tcW w:w="1588" w:type="dxa"/>
          </w:tcPr>
          <w:p w14:paraId="59F44272" w14:textId="77777777" w:rsidR="00F400D5" w:rsidRPr="003F4289" w:rsidRDefault="00F400D5" w:rsidP="00301650">
            <w:pPr>
              <w:spacing w:after="160"/>
              <w:jc w:val="both"/>
              <w:rPr>
                <w:rFonts w:asciiTheme="majorBidi" w:hAnsiTheme="majorBidi" w:cstheme="majorBidi"/>
                <w:color w:val="000000"/>
              </w:rPr>
            </w:pPr>
          </w:p>
        </w:tc>
      </w:tr>
      <w:tr w:rsidR="00F400D5" w:rsidRPr="003F4289" w14:paraId="10E2D3AA" w14:textId="77777777" w:rsidTr="00426CB1">
        <w:tc>
          <w:tcPr>
            <w:tcW w:w="2014" w:type="dxa"/>
          </w:tcPr>
          <w:p w14:paraId="1A1A727A"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Max405</w:t>
            </w:r>
          </w:p>
        </w:tc>
        <w:tc>
          <w:tcPr>
            <w:tcW w:w="1266" w:type="dxa"/>
          </w:tcPr>
          <w:p w14:paraId="03A67862"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30</w:t>
            </w:r>
          </w:p>
        </w:tc>
        <w:tc>
          <w:tcPr>
            <w:tcW w:w="1325" w:type="dxa"/>
          </w:tcPr>
          <w:p w14:paraId="2464F4B6" w14:textId="77777777" w:rsidR="00F400D5" w:rsidRPr="003F4289" w:rsidRDefault="00F400D5" w:rsidP="00301650">
            <w:pPr>
              <w:spacing w:after="160"/>
              <w:jc w:val="both"/>
              <w:rPr>
                <w:rFonts w:asciiTheme="majorBidi" w:hAnsiTheme="majorBidi" w:cstheme="majorBidi"/>
              </w:rPr>
            </w:pPr>
            <w:r w:rsidRPr="003F4289">
              <w:rPr>
                <w:rFonts w:asciiTheme="majorBidi" w:hAnsiTheme="majorBidi" w:cstheme="majorBidi"/>
              </w:rPr>
              <w:t>202.7</w:t>
            </w:r>
          </w:p>
        </w:tc>
        <w:tc>
          <w:tcPr>
            <w:tcW w:w="1497" w:type="dxa"/>
          </w:tcPr>
          <w:p w14:paraId="500CAAEE" w14:textId="77777777" w:rsidR="00F400D5" w:rsidRPr="003F4289" w:rsidRDefault="0083125E" w:rsidP="00301650">
            <w:pPr>
              <w:spacing w:after="160"/>
              <w:jc w:val="both"/>
              <w:rPr>
                <w:rFonts w:asciiTheme="majorBidi" w:hAnsiTheme="majorBidi" w:cstheme="majorBidi"/>
              </w:rPr>
            </w:pPr>
            <w:r w:rsidRPr="003F4289">
              <w:rPr>
                <w:rFonts w:asciiTheme="majorBidi" w:hAnsiTheme="majorBidi" w:cstheme="majorBidi"/>
              </w:rPr>
              <w:t>12137</w:t>
            </w:r>
          </w:p>
        </w:tc>
        <w:tc>
          <w:tcPr>
            <w:tcW w:w="1660" w:type="dxa"/>
          </w:tcPr>
          <w:p w14:paraId="11064AE0" w14:textId="77777777" w:rsidR="00F400D5" w:rsidRPr="003F4289" w:rsidRDefault="001807E5" w:rsidP="00301650">
            <w:pPr>
              <w:spacing w:after="160"/>
              <w:jc w:val="both"/>
              <w:rPr>
                <w:rFonts w:asciiTheme="majorBidi" w:hAnsiTheme="majorBidi" w:cstheme="majorBidi"/>
                <w:color w:val="000000"/>
              </w:rPr>
            </w:pPr>
            <w:r w:rsidRPr="003F4289">
              <w:rPr>
                <w:rFonts w:asciiTheme="majorBidi" w:hAnsiTheme="majorBidi" w:cstheme="majorBidi"/>
                <w:color w:val="000000"/>
              </w:rPr>
              <w:t>149915</w:t>
            </w:r>
          </w:p>
        </w:tc>
        <w:tc>
          <w:tcPr>
            <w:tcW w:w="1588" w:type="dxa"/>
          </w:tcPr>
          <w:p w14:paraId="397321C2" w14:textId="77777777" w:rsidR="00F400D5" w:rsidRPr="003F4289" w:rsidRDefault="00F400D5" w:rsidP="00301650">
            <w:pPr>
              <w:spacing w:after="160"/>
              <w:jc w:val="both"/>
              <w:rPr>
                <w:rFonts w:asciiTheme="majorBidi" w:hAnsiTheme="majorBidi" w:cstheme="majorBidi"/>
                <w:color w:val="000000"/>
              </w:rPr>
            </w:pPr>
          </w:p>
        </w:tc>
      </w:tr>
      <w:tr w:rsidR="000F458A" w:rsidRPr="003F4289" w14:paraId="49300012" w14:textId="77777777" w:rsidTr="00655500">
        <w:tc>
          <w:tcPr>
            <w:tcW w:w="9350" w:type="dxa"/>
            <w:gridSpan w:val="6"/>
          </w:tcPr>
          <w:p w14:paraId="68DEDF78" w14:textId="77777777" w:rsidR="000F458A" w:rsidRPr="003F4289" w:rsidRDefault="000F458A" w:rsidP="00301650">
            <w:pPr>
              <w:jc w:val="both"/>
              <w:rPr>
                <w:rFonts w:asciiTheme="majorBidi" w:hAnsiTheme="majorBidi" w:cstheme="majorBidi"/>
                <w:b/>
                <w:bCs/>
                <w:color w:val="000000"/>
              </w:rPr>
            </w:pPr>
            <w:r w:rsidRPr="003F4289">
              <w:rPr>
                <w:rFonts w:asciiTheme="majorBidi" w:hAnsiTheme="majorBidi" w:cstheme="majorBidi"/>
                <w:b/>
                <w:bCs/>
                <w:color w:val="FF0000"/>
              </w:rPr>
              <w:t>205.13 m = 149.86 -+ 0.1 Ma</w:t>
            </w:r>
          </w:p>
        </w:tc>
      </w:tr>
    </w:tbl>
    <w:p w14:paraId="517F8795" w14:textId="77777777" w:rsidR="00F400D5" w:rsidRPr="003F4289" w:rsidRDefault="00F400D5" w:rsidP="00301650">
      <w:pPr>
        <w:spacing w:line="240" w:lineRule="auto"/>
        <w:jc w:val="both"/>
        <w:rPr>
          <w:rFonts w:asciiTheme="majorBidi" w:hAnsiTheme="majorBidi" w:cstheme="majorBidi"/>
        </w:rPr>
      </w:pPr>
    </w:p>
    <w:p w14:paraId="24813F30" w14:textId="77777777" w:rsidR="00F400D5" w:rsidRPr="003F4289" w:rsidRDefault="00F400D5" w:rsidP="00301650">
      <w:pPr>
        <w:spacing w:line="240" w:lineRule="auto"/>
        <w:jc w:val="both"/>
        <w:rPr>
          <w:rFonts w:asciiTheme="majorBidi" w:hAnsiTheme="majorBidi" w:cstheme="majorBidi"/>
        </w:rPr>
      </w:pPr>
    </w:p>
    <w:p w14:paraId="0D61E909" w14:textId="77777777" w:rsidR="00F400D5" w:rsidRPr="003F4289" w:rsidRDefault="00F400D5" w:rsidP="00301650">
      <w:pPr>
        <w:spacing w:line="240" w:lineRule="auto"/>
        <w:jc w:val="both"/>
        <w:rPr>
          <w:rFonts w:asciiTheme="majorBidi" w:hAnsiTheme="majorBidi" w:cstheme="majorBidi"/>
          <w:lang w:val="en-GB"/>
        </w:rPr>
      </w:pPr>
      <w:r w:rsidRPr="003F4289">
        <w:rPr>
          <w:rFonts w:asciiTheme="majorBidi" w:hAnsiTheme="majorBidi" w:cstheme="majorBidi"/>
          <w:noProof/>
          <w:lang w:val="en-US"/>
        </w:rPr>
        <w:drawing>
          <wp:inline distT="0" distB="0" distL="0" distR="0" wp14:anchorId="746C09E7" wp14:editId="6FC4E42B">
            <wp:extent cx="5943600" cy="31826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3182620"/>
                    </a:xfrm>
                    <a:prstGeom prst="rect">
                      <a:avLst/>
                    </a:prstGeom>
                  </pic:spPr>
                </pic:pic>
              </a:graphicData>
            </a:graphic>
          </wp:inline>
        </w:drawing>
      </w:r>
    </w:p>
    <w:p w14:paraId="0035B486" w14:textId="707F066B" w:rsidR="00F400D5" w:rsidRPr="003F4289" w:rsidRDefault="00301650" w:rsidP="00301650">
      <w:pPr>
        <w:spacing w:line="240" w:lineRule="auto"/>
        <w:jc w:val="both"/>
        <w:rPr>
          <w:rFonts w:asciiTheme="majorBidi" w:hAnsiTheme="majorBidi" w:cstheme="majorBidi"/>
          <w:lang w:val="en-GB"/>
        </w:rPr>
      </w:pPr>
      <w:r w:rsidRPr="003F4289">
        <w:rPr>
          <w:rFonts w:asciiTheme="majorBidi" w:hAnsiTheme="majorBidi" w:cstheme="majorBidi"/>
          <w:b/>
          <w:bCs/>
          <w:lang w:val="en-GB"/>
        </w:rPr>
        <w:t>Figure S16</w:t>
      </w:r>
      <w:r w:rsidR="00F400D5" w:rsidRPr="003F4289">
        <w:rPr>
          <w:rFonts w:asciiTheme="majorBidi" w:hAnsiTheme="majorBidi" w:cstheme="majorBidi"/>
          <w:b/>
          <w:bCs/>
          <w:lang w:val="en-GB"/>
        </w:rPr>
        <w:t>.</w:t>
      </w:r>
      <w:r w:rsidR="00F400D5" w:rsidRPr="003F4289">
        <w:rPr>
          <w:rFonts w:asciiTheme="majorBidi" w:hAnsiTheme="majorBidi" w:cstheme="majorBidi"/>
          <w:lang w:val="en-GB"/>
        </w:rPr>
        <w:t xml:space="preserve"> 7m filter output from the GR records. We did a maxima-to-maxima correlation to perform the astronomical calibration. (X and Y) points highlight the position of the used points for calibration.</w:t>
      </w:r>
    </w:p>
    <w:p w14:paraId="275B1946" w14:textId="69547209" w:rsidR="00D907A6" w:rsidRPr="003F4289" w:rsidRDefault="00D907A6" w:rsidP="00301650">
      <w:pPr>
        <w:spacing w:line="240" w:lineRule="auto"/>
        <w:jc w:val="both"/>
        <w:rPr>
          <w:rFonts w:asciiTheme="majorBidi" w:hAnsiTheme="majorBidi" w:cstheme="majorBidi"/>
          <w:lang w:val="en-GB"/>
        </w:rPr>
      </w:pPr>
      <w:r w:rsidRPr="003F4289">
        <w:rPr>
          <w:rFonts w:asciiTheme="majorBidi" w:hAnsiTheme="majorBidi" w:cstheme="majorBidi"/>
          <w:noProof/>
          <w:lang w:val="en-US"/>
          <w14:ligatures w14:val="none"/>
        </w:rPr>
        <w:drawing>
          <wp:inline distT="0" distB="0" distL="0" distR="0" wp14:anchorId="6F722C32" wp14:editId="0A166DA2">
            <wp:extent cx="5943600" cy="12934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Bayesian.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1293495"/>
                    </a:xfrm>
                    <a:prstGeom prst="rect">
                      <a:avLst/>
                    </a:prstGeom>
                  </pic:spPr>
                </pic:pic>
              </a:graphicData>
            </a:graphic>
          </wp:inline>
        </w:drawing>
      </w:r>
    </w:p>
    <w:p w14:paraId="67A7A739" w14:textId="10D90684" w:rsidR="00301650" w:rsidRPr="003F4289" w:rsidRDefault="00301650" w:rsidP="00301650">
      <w:pPr>
        <w:spacing w:line="240" w:lineRule="auto"/>
        <w:jc w:val="both"/>
        <w:rPr>
          <w:rFonts w:asciiTheme="majorBidi" w:hAnsiTheme="majorBidi" w:cstheme="majorBidi"/>
          <w:lang w:val="en-GB"/>
        </w:rPr>
      </w:pPr>
      <w:r w:rsidRPr="003F4289">
        <w:rPr>
          <w:rStyle w:val="Strong"/>
          <w:rFonts w:asciiTheme="majorBidi" w:hAnsiTheme="majorBidi" w:cstheme="majorBidi"/>
        </w:rPr>
        <w:t>Figure S17.</w:t>
      </w:r>
      <w:r w:rsidRPr="003F4289">
        <w:rPr>
          <w:rFonts w:asciiTheme="majorBidi" w:hAnsiTheme="majorBidi" w:cstheme="majorBidi"/>
        </w:rPr>
        <w:t xml:space="preserve"> Comparison between the astronomically tuned BH-02 gamma-ray (GR) record (blue) and the target </w:t>
      </w:r>
      <w:r w:rsidRPr="003F4289">
        <w:rPr>
          <w:rStyle w:val="Strong"/>
          <w:rFonts w:asciiTheme="majorBidi" w:hAnsiTheme="majorBidi" w:cstheme="majorBidi"/>
        </w:rPr>
        <w:t>La2004</w:t>
      </w:r>
      <w:r w:rsidRPr="003F4289">
        <w:rPr>
          <w:rFonts w:asciiTheme="majorBidi" w:hAnsiTheme="majorBidi" w:cstheme="majorBidi"/>
        </w:rPr>
        <w:t xml:space="preserve"> 405-kyr eccentricity solution (red) plotted against the tuned age model. The close correspondence in phase and amplitude between the two series demonstrates the robustness of the astronomical calibration throughout the studied interval. The tuned chronology spans the </w:t>
      </w:r>
      <w:r w:rsidRPr="003F4289">
        <w:rPr>
          <w:rStyle w:val="Strong"/>
          <w:rFonts w:asciiTheme="majorBidi" w:hAnsiTheme="majorBidi" w:cstheme="majorBidi"/>
        </w:rPr>
        <w:t>late Kimmeridgian, Tithonian, and Berriasian</w:t>
      </w:r>
      <w:r w:rsidRPr="003F4289">
        <w:rPr>
          <w:rFonts w:asciiTheme="majorBidi" w:hAnsiTheme="majorBidi" w:cstheme="majorBidi"/>
        </w:rPr>
        <w:t xml:space="preserve"> (149.8–137.9 Ma), providing a continuous astronomical timescale for the Jurassic–Cretaceous transition. Differences in amplitude between the target and tuned series mainly reflect variations in sedimentation rate, depositional processes, and the filtering applied during astronomical tuning, whereas the overall phase agreement confirms the reliability of the adopted age mode</w:t>
      </w:r>
    </w:p>
    <w:p w14:paraId="6CE56CCB" w14:textId="77777777" w:rsidR="00F400D5" w:rsidRPr="003F4289" w:rsidRDefault="00F400D5" w:rsidP="00301650">
      <w:pPr>
        <w:spacing w:line="240" w:lineRule="auto"/>
        <w:jc w:val="both"/>
        <w:rPr>
          <w:rFonts w:asciiTheme="majorBidi" w:hAnsiTheme="majorBidi" w:cstheme="majorBidi"/>
        </w:rPr>
      </w:pPr>
    </w:p>
    <w:p w14:paraId="388B9238" w14:textId="77777777" w:rsidR="00F400D5" w:rsidRPr="003F4289" w:rsidRDefault="00F400D5" w:rsidP="00301650">
      <w:pPr>
        <w:spacing w:line="240" w:lineRule="auto"/>
        <w:jc w:val="both"/>
        <w:rPr>
          <w:rFonts w:asciiTheme="majorBidi" w:hAnsiTheme="majorBidi" w:cstheme="majorBidi"/>
        </w:rPr>
      </w:pPr>
      <w:r w:rsidRPr="003F4289">
        <w:rPr>
          <w:rFonts w:asciiTheme="majorBidi" w:hAnsiTheme="majorBidi" w:cstheme="majorBidi"/>
          <w:noProof/>
          <w:lang w:val="en-US"/>
        </w:rPr>
        <w:drawing>
          <wp:inline distT="0" distB="0" distL="0" distR="0" wp14:anchorId="19788FE2" wp14:editId="41349523">
            <wp:extent cx="5943600" cy="28022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2802255"/>
                    </a:xfrm>
                    <a:prstGeom prst="rect">
                      <a:avLst/>
                    </a:prstGeom>
                  </pic:spPr>
                </pic:pic>
              </a:graphicData>
            </a:graphic>
          </wp:inline>
        </w:drawing>
      </w:r>
    </w:p>
    <w:p w14:paraId="5D754C87" w14:textId="29B1519D" w:rsidR="00F400D5" w:rsidRPr="003F4289" w:rsidRDefault="00301650" w:rsidP="00301650">
      <w:pPr>
        <w:spacing w:line="240" w:lineRule="auto"/>
        <w:jc w:val="both"/>
        <w:rPr>
          <w:rFonts w:asciiTheme="majorBidi" w:hAnsiTheme="majorBidi" w:cstheme="majorBidi"/>
          <w:lang w:val="en-GB"/>
        </w:rPr>
      </w:pPr>
      <w:r w:rsidRPr="003F4289">
        <w:rPr>
          <w:rFonts w:asciiTheme="majorBidi" w:hAnsiTheme="majorBidi" w:cstheme="majorBidi"/>
          <w:b/>
          <w:bCs/>
          <w:lang w:val="en-GB"/>
        </w:rPr>
        <w:t>Figure S18</w:t>
      </w:r>
      <w:r w:rsidRPr="003F4289">
        <w:rPr>
          <w:rStyle w:val="Strong"/>
          <w:rFonts w:asciiTheme="majorBidi" w:hAnsiTheme="majorBidi" w:cstheme="majorBidi"/>
        </w:rPr>
        <w:t>.</w:t>
      </w:r>
      <w:r w:rsidRPr="003F4289">
        <w:rPr>
          <w:rFonts w:asciiTheme="majorBidi" w:hAnsiTheme="majorBidi" w:cstheme="majorBidi"/>
        </w:rPr>
        <w:t xml:space="preserve"> Comparison of the original and astronomically tuned gamma-ray (GR) records from the BH-02 core. </w:t>
      </w:r>
      <w:r w:rsidRPr="003F4289">
        <w:rPr>
          <w:rStyle w:val="Strong"/>
          <w:rFonts w:asciiTheme="majorBidi" w:hAnsiTheme="majorBidi" w:cstheme="majorBidi"/>
        </w:rPr>
        <w:t>Upper panel:</w:t>
      </w:r>
      <w:r w:rsidRPr="003F4289">
        <w:rPr>
          <w:rFonts w:asciiTheme="majorBidi" w:hAnsiTheme="majorBidi" w:cstheme="majorBidi"/>
        </w:rPr>
        <w:t xml:space="preserve"> original detrended GR record plotted in the depth domain (0–205 m). </w:t>
      </w:r>
      <w:r w:rsidRPr="003F4289">
        <w:rPr>
          <w:rStyle w:val="Strong"/>
          <w:rFonts w:asciiTheme="majorBidi" w:hAnsiTheme="majorBidi" w:cstheme="majorBidi"/>
        </w:rPr>
        <w:t>Lower panel:</w:t>
      </w:r>
      <w:r w:rsidRPr="003F4289">
        <w:rPr>
          <w:rFonts w:asciiTheme="majorBidi" w:hAnsiTheme="majorBidi" w:cstheme="majorBidi"/>
        </w:rPr>
        <w:t xml:space="preserve"> the same record after astronomical tuning, resampled to uniform time increments using the final age model (149.8–137.9 Ma). The tuning preserves the overall character and amplitude of the original signal while correcting for variations in sedimentation rate, resulting in a continuous time-domain record suitable for spectral, wavelet, and orbital analyses. The similarity between the two series indicates that the tuning process introduces minimal distortion and faithfully preserves the primary climatic signal recorded in the succession.</w:t>
      </w:r>
    </w:p>
    <w:p w14:paraId="3098B01D" w14:textId="66DB98EE" w:rsidR="004C72D5" w:rsidRPr="003F4289" w:rsidRDefault="004C72D5" w:rsidP="00301650">
      <w:pPr>
        <w:spacing w:line="240" w:lineRule="auto"/>
        <w:jc w:val="both"/>
        <w:rPr>
          <w:rFonts w:asciiTheme="majorBidi" w:hAnsiTheme="majorBidi" w:cstheme="majorBidi"/>
          <w:lang w:val="en-GB"/>
        </w:rPr>
      </w:pPr>
      <w:r w:rsidRPr="003F4289">
        <w:rPr>
          <w:rFonts w:asciiTheme="majorBidi" w:hAnsiTheme="majorBidi" w:cstheme="majorBidi"/>
          <w:noProof/>
          <w:color w:val="000000"/>
          <w:lang w:val="en-US"/>
        </w:rPr>
        <w:drawing>
          <wp:inline distT="0" distB="0" distL="0" distR="0" wp14:anchorId="0697F949" wp14:editId="0F431B3F">
            <wp:extent cx="5727700" cy="5691246"/>
            <wp:effectExtent l="0" t="0" r="635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skar solutiions.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5888" cy="5699382"/>
                    </a:xfrm>
                    <a:prstGeom prst="rect">
                      <a:avLst/>
                    </a:prstGeom>
                  </pic:spPr>
                </pic:pic>
              </a:graphicData>
            </a:graphic>
          </wp:inline>
        </w:drawing>
      </w:r>
    </w:p>
    <w:p w14:paraId="1186CD9D" w14:textId="192B3CA8" w:rsidR="00301650" w:rsidRPr="003F4289" w:rsidRDefault="00301650" w:rsidP="00301650">
      <w:pPr>
        <w:spacing w:line="240" w:lineRule="auto"/>
        <w:jc w:val="both"/>
        <w:rPr>
          <w:rFonts w:asciiTheme="majorBidi" w:hAnsiTheme="majorBidi" w:cstheme="majorBidi"/>
          <w:lang w:val="en-GB"/>
        </w:rPr>
      </w:pPr>
      <w:r w:rsidRPr="003F4289">
        <w:rPr>
          <w:rStyle w:val="Strong"/>
          <w:rFonts w:asciiTheme="majorBidi" w:hAnsiTheme="majorBidi" w:cstheme="majorBidi"/>
        </w:rPr>
        <w:t>Figure S19.</w:t>
      </w:r>
      <w:r w:rsidRPr="003F4289">
        <w:rPr>
          <w:rFonts w:asciiTheme="majorBidi" w:hAnsiTheme="majorBidi" w:cstheme="majorBidi"/>
        </w:rPr>
        <w:t xml:space="preserve"> Integrated astronomical framework and orbital interpretation of the Tithonian–Berriasian interval. From top to bottom: </w:t>
      </w:r>
      <w:r w:rsidRPr="003F4289">
        <w:rPr>
          <w:rStyle w:val="Strong"/>
          <w:rFonts w:asciiTheme="majorBidi" w:hAnsiTheme="majorBidi" w:cstheme="majorBidi"/>
        </w:rPr>
        <w:t>(1)</w:t>
      </w:r>
      <w:r w:rsidRPr="003F4289">
        <w:rPr>
          <w:rFonts w:asciiTheme="majorBidi" w:hAnsiTheme="majorBidi" w:cstheme="majorBidi"/>
        </w:rPr>
        <w:t xml:space="preserve"> Chronostratigraphic framework showing stages, substages, Tethyan ammonite zones, and calcareous nannofossil biozonation calibrated to the astronomically tuned age model. Key bioevents, including the first occurrences of </w:t>
      </w:r>
      <w:r w:rsidRPr="003F4289">
        <w:rPr>
          <w:rStyle w:val="Emphasis"/>
          <w:rFonts w:asciiTheme="majorBidi" w:hAnsiTheme="majorBidi" w:cstheme="majorBidi"/>
        </w:rPr>
        <w:t>Conusphaera mexicana minor</w:t>
      </w:r>
      <w:r w:rsidRPr="003F4289">
        <w:rPr>
          <w:rFonts w:asciiTheme="majorBidi" w:hAnsiTheme="majorBidi" w:cstheme="majorBidi"/>
        </w:rPr>
        <w:t xml:space="preserve">, </w:t>
      </w:r>
      <w:r w:rsidRPr="003F4289">
        <w:rPr>
          <w:rStyle w:val="Emphasis"/>
          <w:rFonts w:asciiTheme="majorBidi" w:hAnsiTheme="majorBidi" w:cstheme="majorBidi"/>
        </w:rPr>
        <w:t>Helenea chiastia</w:t>
      </w:r>
      <w:r w:rsidRPr="003F4289">
        <w:rPr>
          <w:rFonts w:asciiTheme="majorBidi" w:hAnsiTheme="majorBidi" w:cstheme="majorBidi"/>
        </w:rPr>
        <w:t xml:space="preserve">, </w:t>
      </w:r>
      <w:r w:rsidRPr="003F4289">
        <w:rPr>
          <w:rStyle w:val="Emphasis"/>
          <w:rFonts w:asciiTheme="majorBidi" w:hAnsiTheme="majorBidi" w:cstheme="majorBidi"/>
        </w:rPr>
        <w:t>Nannoconus wintereri</w:t>
      </w:r>
      <w:r w:rsidRPr="003F4289">
        <w:rPr>
          <w:rFonts w:asciiTheme="majorBidi" w:hAnsiTheme="majorBidi" w:cstheme="majorBidi"/>
        </w:rPr>
        <w:t xml:space="preserve">, </w:t>
      </w:r>
      <w:r w:rsidRPr="003F4289">
        <w:rPr>
          <w:rStyle w:val="Emphasis"/>
          <w:rFonts w:asciiTheme="majorBidi" w:hAnsiTheme="majorBidi" w:cstheme="majorBidi"/>
        </w:rPr>
        <w:t>N. steinmannii minor</w:t>
      </w:r>
      <w:r w:rsidRPr="003F4289">
        <w:rPr>
          <w:rFonts w:asciiTheme="majorBidi" w:hAnsiTheme="majorBidi" w:cstheme="majorBidi"/>
        </w:rPr>
        <w:t xml:space="preserve">, and </w:t>
      </w:r>
      <w:r w:rsidRPr="003F4289">
        <w:rPr>
          <w:rStyle w:val="Emphasis"/>
          <w:rFonts w:asciiTheme="majorBidi" w:hAnsiTheme="majorBidi" w:cstheme="majorBidi"/>
        </w:rPr>
        <w:t>N. steinmannii steinmannii</w:t>
      </w:r>
      <w:r w:rsidRPr="003F4289">
        <w:rPr>
          <w:rFonts w:asciiTheme="majorBidi" w:hAnsiTheme="majorBidi" w:cstheme="majorBidi"/>
        </w:rPr>
        <w:t xml:space="preserve">, are shown within the nannofossil zonation. </w:t>
      </w:r>
      <w:r w:rsidRPr="003F4289">
        <w:rPr>
          <w:rStyle w:val="Strong"/>
          <w:rFonts w:asciiTheme="majorBidi" w:hAnsiTheme="majorBidi" w:cstheme="majorBidi"/>
        </w:rPr>
        <w:t>(2)</w:t>
      </w:r>
      <w:r w:rsidRPr="003F4289">
        <w:rPr>
          <w:rFonts w:asciiTheme="majorBidi" w:hAnsiTheme="majorBidi" w:cstheme="majorBidi"/>
        </w:rPr>
        <w:t xml:space="preserve"> La2004 astronomical solution illustrating the 405-kyr long eccentricity cycle (red), the ~100-kyr short eccentricity cycle (blue), and the ~2.4-Myr eccentricity modulation (black envelope). </w:t>
      </w:r>
      <w:r w:rsidRPr="003F4289">
        <w:rPr>
          <w:rStyle w:val="Strong"/>
          <w:rFonts w:asciiTheme="majorBidi" w:hAnsiTheme="majorBidi" w:cstheme="majorBidi"/>
        </w:rPr>
        <w:t>(3)</w:t>
      </w:r>
      <w:r w:rsidRPr="003F4289">
        <w:rPr>
          <w:rFonts w:asciiTheme="majorBidi" w:hAnsiTheme="majorBidi" w:cstheme="majorBidi"/>
        </w:rPr>
        <w:t xml:space="preserve"> Obliquity solution (grey) together with its ~1.2-Myr amplitude modulation (black envelope). </w:t>
      </w:r>
      <w:r w:rsidRPr="003F4289">
        <w:rPr>
          <w:rStyle w:val="Strong"/>
          <w:rFonts w:asciiTheme="majorBidi" w:hAnsiTheme="majorBidi" w:cstheme="majorBidi"/>
        </w:rPr>
        <w:t>(4)</w:t>
      </w:r>
      <w:r w:rsidRPr="003F4289">
        <w:rPr>
          <w:rFonts w:asciiTheme="majorBidi" w:hAnsiTheme="majorBidi" w:cstheme="majorBidi"/>
        </w:rPr>
        <w:t xml:space="preserve"> Astronomically tuned gamma-ray (GR) record (black) with the extracted 405-kyr eccentricity component (red), demonstrating the close correspondence between the sedimentary signal and the astronomical target. </w:t>
      </w:r>
      <w:r w:rsidRPr="003F4289">
        <w:rPr>
          <w:rStyle w:val="Strong"/>
          <w:rFonts w:asciiTheme="majorBidi" w:hAnsiTheme="majorBidi" w:cstheme="majorBidi"/>
        </w:rPr>
        <w:t>(5)</w:t>
      </w:r>
      <w:r w:rsidRPr="003F4289">
        <w:rPr>
          <w:rFonts w:asciiTheme="majorBidi" w:hAnsiTheme="majorBidi" w:cstheme="majorBidi"/>
        </w:rPr>
        <w:t xml:space="preserve"> Dynamic noise after orbital tuning (DYNOT; black), shown together with the probabilistic global eustatic sea-level reconstruction (green; median and confidence envelopes) and the extracted long-period ~800-kyr (green) and ~2-Myr (red) components. The integrated framework highlights the relationship between orbital forcing, long-period eccentricity modulation, sea-level variability, and changes in sedimentary dynamics across the Jurassic–Cretaceous transition.</w:t>
      </w:r>
    </w:p>
    <w:p w14:paraId="7805BD3E" w14:textId="17C87852" w:rsidR="001807E5" w:rsidRPr="003F4289" w:rsidRDefault="00151E91" w:rsidP="00301650">
      <w:pPr>
        <w:spacing w:line="240" w:lineRule="auto"/>
        <w:jc w:val="both"/>
        <w:rPr>
          <w:rFonts w:asciiTheme="majorBidi" w:hAnsiTheme="majorBidi" w:cstheme="majorBidi"/>
          <w:lang w:val="en-GB"/>
        </w:rPr>
      </w:pPr>
      <w:r w:rsidRPr="003F4289">
        <w:rPr>
          <w:rFonts w:asciiTheme="majorBidi" w:hAnsiTheme="majorBidi" w:cstheme="majorBidi"/>
          <w:noProof/>
          <w:lang w:val="en-US"/>
        </w:rPr>
        <w:drawing>
          <wp:inline distT="0" distB="0" distL="0" distR="0" wp14:anchorId="32E6C94F" wp14:editId="37A7F912">
            <wp:extent cx="5923722" cy="3218090"/>
            <wp:effectExtent l="0" t="0" r="1270" b="1905"/>
            <wp:docPr id="24" name="Picture 24" descr="F:\Jurassic cretaceous\Nature figures\c oxygen cross 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Jurassic cretaceous\Nature figures\c oxygen cross plot.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7501" cy="3225575"/>
                    </a:xfrm>
                    <a:prstGeom prst="rect">
                      <a:avLst/>
                    </a:prstGeom>
                    <a:noFill/>
                    <a:ln>
                      <a:noFill/>
                    </a:ln>
                  </pic:spPr>
                </pic:pic>
              </a:graphicData>
            </a:graphic>
          </wp:inline>
        </w:drawing>
      </w:r>
    </w:p>
    <w:p w14:paraId="715C0232" w14:textId="08753635" w:rsidR="00301650" w:rsidRPr="003F4289" w:rsidRDefault="00301650" w:rsidP="00301650">
      <w:pPr>
        <w:spacing w:before="100" w:beforeAutospacing="1" w:after="100" w:afterAutospacing="1" w:line="240" w:lineRule="auto"/>
        <w:rPr>
          <w:rFonts w:asciiTheme="majorBidi" w:eastAsia="Times New Roman" w:hAnsiTheme="majorBidi" w:cstheme="majorBidi"/>
          <w:kern w:val="0"/>
          <w:lang w:val="en-US"/>
          <w14:ligatures w14:val="none"/>
        </w:rPr>
      </w:pPr>
      <w:r w:rsidRPr="003F4289">
        <w:rPr>
          <w:rFonts w:asciiTheme="majorBidi" w:eastAsia="Times New Roman" w:hAnsiTheme="majorBidi" w:cstheme="majorBidi"/>
          <w:b/>
          <w:bCs/>
          <w:kern w:val="0"/>
          <w:lang w:val="en-US"/>
          <w14:ligatures w14:val="none"/>
        </w:rPr>
        <w:t>Figure S20.</w:t>
      </w:r>
      <w:r w:rsidRPr="003F4289">
        <w:rPr>
          <w:rFonts w:asciiTheme="majorBidi" w:eastAsia="Times New Roman" w:hAnsiTheme="majorBidi" w:cstheme="majorBidi"/>
          <w:kern w:val="0"/>
          <w:lang w:val="en-US"/>
          <w14:ligatures w14:val="none"/>
        </w:rPr>
        <w:t xml:space="preserve"> Cross-plot of bulk-carbonate </w:t>
      </w:r>
      <w:r w:rsidRPr="003F4289">
        <w:rPr>
          <w:rFonts w:asciiTheme="majorBidi" w:eastAsia="Times New Roman" w:hAnsiTheme="majorBidi" w:cstheme="majorBidi"/>
          <w:b/>
          <w:bCs/>
          <w:kern w:val="0"/>
          <w:lang w:val="en-US"/>
          <w14:ligatures w14:val="none"/>
        </w:rPr>
        <w:t>δ¹³C</w:t>
      </w:r>
      <w:r w:rsidRPr="003F4289">
        <w:rPr>
          <w:rFonts w:asciiTheme="majorBidi" w:eastAsia="Times New Roman" w:hAnsiTheme="majorBidi" w:cstheme="majorBidi"/>
          <w:kern w:val="0"/>
          <w:lang w:val="en-US"/>
          <w14:ligatures w14:val="none"/>
        </w:rPr>
        <w:t xml:space="preserve"> versus </w:t>
      </w:r>
      <w:r w:rsidRPr="003F4289">
        <w:rPr>
          <w:rFonts w:asciiTheme="majorBidi" w:eastAsia="Times New Roman" w:hAnsiTheme="majorBidi" w:cstheme="majorBidi"/>
          <w:b/>
          <w:bCs/>
          <w:kern w:val="0"/>
          <w:lang w:val="en-US"/>
          <w14:ligatures w14:val="none"/>
        </w:rPr>
        <w:t>δ¹⁸O</w:t>
      </w:r>
      <w:r w:rsidRPr="003F4289">
        <w:rPr>
          <w:rFonts w:asciiTheme="majorBidi" w:eastAsia="Times New Roman" w:hAnsiTheme="majorBidi" w:cstheme="majorBidi"/>
          <w:kern w:val="0"/>
          <w:lang w:val="en-US"/>
          <w14:ligatures w14:val="none"/>
        </w:rPr>
        <w:t xml:space="preserve"> values from the BH-02 Tithonian–Berriasian succession. The weak positive correlation (</w:t>
      </w:r>
      <w:r w:rsidRPr="003F4289">
        <w:rPr>
          <w:rFonts w:asciiTheme="majorBidi" w:eastAsia="Times New Roman" w:hAnsiTheme="majorBidi" w:cstheme="majorBidi"/>
          <w:b/>
          <w:bCs/>
          <w:kern w:val="0"/>
          <w:lang w:val="en-US"/>
          <w14:ligatures w14:val="none"/>
        </w:rPr>
        <w:t>R² = 0.0895</w:t>
      </w:r>
      <w:r w:rsidRPr="003F4289">
        <w:rPr>
          <w:rFonts w:asciiTheme="majorBidi" w:eastAsia="Times New Roman" w:hAnsiTheme="majorBidi" w:cstheme="majorBidi"/>
          <w:kern w:val="0"/>
          <w:lang w:val="en-US"/>
          <w14:ligatures w14:val="none"/>
        </w:rPr>
        <w:t>) indicates that the two isotope systems are largely decoupled, suggesting that the carbon-isotope record was not substantially modified by pervasive meteoric or burial diagenesis. Instead, δ¹³C and δ¹⁸O primarily record independent variations in the global carbon cycle and paleoenvironmental conditions, supporting the use of the stable-isotope dataset for paleoceanographic and astrochronological interpretation.</w:t>
      </w:r>
    </w:p>
    <w:p w14:paraId="00BC9D96" w14:textId="77777777" w:rsidR="00301650" w:rsidRPr="003F4289" w:rsidRDefault="00301650" w:rsidP="00301650">
      <w:pPr>
        <w:spacing w:line="240" w:lineRule="auto"/>
        <w:jc w:val="both"/>
        <w:rPr>
          <w:rFonts w:asciiTheme="majorBidi" w:hAnsiTheme="majorBidi" w:cstheme="majorBidi"/>
          <w:lang w:val="en-US"/>
        </w:rPr>
      </w:pPr>
    </w:p>
    <w:p w14:paraId="0F39EA70" w14:textId="77777777" w:rsidR="00B86322" w:rsidRPr="003F4289" w:rsidRDefault="00B86322" w:rsidP="00301650">
      <w:pPr>
        <w:spacing w:line="240" w:lineRule="auto"/>
        <w:jc w:val="both"/>
        <w:rPr>
          <w:rFonts w:asciiTheme="majorBidi" w:hAnsiTheme="majorBidi" w:cstheme="majorBidi"/>
          <w:lang w:val="en-GB"/>
        </w:rPr>
        <w:sectPr w:rsidR="00B86322" w:rsidRPr="003F4289">
          <w:pgSz w:w="12240" w:h="15840"/>
          <w:pgMar w:top="1440" w:right="1440" w:bottom="1440" w:left="1440" w:header="720" w:footer="720" w:gutter="0"/>
          <w:cols w:space="720"/>
          <w:docGrid w:linePitch="360"/>
        </w:sectPr>
      </w:pPr>
    </w:p>
    <w:p w14:paraId="65194453" w14:textId="259D01DC" w:rsidR="00E153AF" w:rsidRPr="003F4289" w:rsidRDefault="00B64573" w:rsidP="00301650">
      <w:pPr>
        <w:pStyle w:val="Heading1"/>
        <w:spacing w:line="240" w:lineRule="auto"/>
        <w:jc w:val="both"/>
        <w:rPr>
          <w:sz w:val="22"/>
          <w:szCs w:val="22"/>
        </w:rPr>
      </w:pPr>
      <w:r w:rsidRPr="003F4289">
        <w:rPr>
          <w:sz w:val="22"/>
          <w:szCs w:val="22"/>
        </w:rPr>
        <w:t>Supplementary Note 5</w:t>
      </w:r>
      <w:r w:rsidR="00E153AF" w:rsidRPr="003F4289">
        <w:rPr>
          <w:sz w:val="22"/>
          <w:szCs w:val="22"/>
        </w:rPr>
        <w:t>. Supporting discussion</w:t>
      </w:r>
    </w:p>
    <w:p w14:paraId="1BC642CC" w14:textId="77777777" w:rsidR="00301650" w:rsidRPr="003F4289" w:rsidRDefault="00301650" w:rsidP="00301650">
      <w:pPr>
        <w:spacing w:before="100" w:beforeAutospacing="1" w:after="100" w:afterAutospacing="1" w:line="240" w:lineRule="auto"/>
        <w:rPr>
          <w:rFonts w:asciiTheme="majorBidi" w:eastAsia="Times New Roman" w:hAnsiTheme="majorBidi" w:cstheme="majorBidi"/>
          <w:kern w:val="0"/>
          <w:lang w:val="en-US"/>
          <w14:ligatures w14:val="none"/>
        </w:rPr>
      </w:pPr>
      <w:r w:rsidRPr="003F4289">
        <w:rPr>
          <w:rFonts w:asciiTheme="majorBidi" w:eastAsia="Times New Roman" w:hAnsiTheme="majorBidi" w:cstheme="majorBidi"/>
          <w:kern w:val="0"/>
          <w:lang w:val="en-US"/>
          <w14:ligatures w14:val="none"/>
        </w:rPr>
        <w:t>Preservation of cyclostratigraphic signals during the Tithonian differed markedly between the northern and southern Tethys. In the northern Tethys, widespread arid conditions reduced continental weathering and terrigenous sediment supply, limiting the preservation of orbitally forced environmental variability and weakening the expression of eccentricity-scale cycles (Hallam et al., 1991; Deconinck and Baudin, 2008; Hesselbo et al., 2009; Schneider et al., 2018; Lodowski et al., 2026). In contrast, the BH-02 succession from Saudi Arabia preserves a clear hierarchy of Milankovitch cycles, indicating that southern Tethyan environmental conditions were more favourable for recording orbital forcing (Fig. 5). The progressive increase in ^87Sr/^86Sr values through the Berriasian further suggests enhanced continental weathering and runoff, consistent with a transition toward more humid climatic conditions and increased sediment supply from the Arabian Shield (Wolpert et al., 2015). Similar evidence for intensified weathering and terrigenous input during the Late Berriasian has been documented throughout the northern Tethys, including the Vocontian Basin, Northern Calcareous Alps, Central Western Carpathians, Transdanubian Range, and Slovenian Basin (Grabowski et al., 2013; Price et al., 2016; Lodowski et al., 2024a,b, 2025), marking a regional strengthening of the hydrological cycle.</w:t>
      </w:r>
    </w:p>
    <w:p w14:paraId="1FFD5D69" w14:textId="77777777" w:rsidR="00301650" w:rsidRPr="003F4289" w:rsidRDefault="00301650" w:rsidP="00301650">
      <w:pPr>
        <w:spacing w:before="100" w:beforeAutospacing="1" w:after="100" w:afterAutospacing="1" w:line="240" w:lineRule="auto"/>
        <w:rPr>
          <w:rFonts w:asciiTheme="majorBidi" w:eastAsia="Times New Roman" w:hAnsiTheme="majorBidi" w:cstheme="majorBidi"/>
          <w:kern w:val="0"/>
          <w:lang w:val="en-US"/>
          <w14:ligatures w14:val="none"/>
        </w:rPr>
      </w:pPr>
      <w:r w:rsidRPr="003F4289">
        <w:rPr>
          <w:rFonts w:asciiTheme="majorBidi" w:eastAsia="Times New Roman" w:hAnsiTheme="majorBidi" w:cstheme="majorBidi"/>
          <w:kern w:val="0"/>
          <w:lang w:val="en-US"/>
          <w14:ligatures w14:val="none"/>
        </w:rPr>
        <w:t xml:space="preserve">Calcareous nannofossil records from DSDP Holes 105 and 534 display evolutionary trends comparable to those observed in the Arabian Plate. Early Tithonian assemblages are dominated by </w:t>
      </w:r>
      <w:r w:rsidRPr="003F4289">
        <w:rPr>
          <w:rFonts w:asciiTheme="majorBidi" w:eastAsia="Times New Roman" w:hAnsiTheme="majorBidi" w:cstheme="majorBidi"/>
          <w:i/>
          <w:iCs/>
          <w:kern w:val="0"/>
          <w:lang w:val="en-US"/>
          <w14:ligatures w14:val="none"/>
        </w:rPr>
        <w:t>Watznaueria</w:t>
      </w:r>
      <w:r w:rsidRPr="003F4289">
        <w:rPr>
          <w:rFonts w:asciiTheme="majorBidi" w:eastAsia="Times New Roman" w:hAnsiTheme="majorBidi" w:cstheme="majorBidi"/>
          <w:kern w:val="0"/>
          <w:lang w:val="en-US"/>
          <w14:ligatures w14:val="none"/>
        </w:rPr>
        <w:t xml:space="preserve">, </w:t>
      </w:r>
      <w:r w:rsidRPr="003F4289">
        <w:rPr>
          <w:rFonts w:asciiTheme="majorBidi" w:eastAsia="Times New Roman" w:hAnsiTheme="majorBidi" w:cstheme="majorBidi"/>
          <w:i/>
          <w:iCs/>
          <w:kern w:val="0"/>
          <w:lang w:val="en-US"/>
          <w14:ligatures w14:val="none"/>
        </w:rPr>
        <w:t>Cyclagelosphaera</w:t>
      </w:r>
      <w:r w:rsidRPr="003F4289">
        <w:rPr>
          <w:rFonts w:asciiTheme="majorBidi" w:eastAsia="Times New Roman" w:hAnsiTheme="majorBidi" w:cstheme="majorBidi"/>
          <w:kern w:val="0"/>
          <w:lang w:val="en-US"/>
          <w14:ligatures w14:val="none"/>
        </w:rPr>
        <w:t xml:space="preserve">, and </w:t>
      </w:r>
      <w:r w:rsidRPr="003F4289">
        <w:rPr>
          <w:rFonts w:asciiTheme="majorBidi" w:eastAsia="Times New Roman" w:hAnsiTheme="majorBidi" w:cstheme="majorBidi"/>
          <w:i/>
          <w:iCs/>
          <w:kern w:val="0"/>
          <w:lang w:val="en-US"/>
          <w14:ligatures w14:val="none"/>
        </w:rPr>
        <w:t>Zeugrhabdotus</w:t>
      </w:r>
      <w:r w:rsidRPr="003F4289">
        <w:rPr>
          <w:rFonts w:asciiTheme="majorBidi" w:eastAsia="Times New Roman" w:hAnsiTheme="majorBidi" w:cstheme="majorBidi"/>
          <w:kern w:val="0"/>
          <w:lang w:val="en-US"/>
          <w14:ligatures w14:val="none"/>
        </w:rPr>
        <w:t xml:space="preserve">, whereas the middle Tithonian is characterized by an expansion of heavily calcified nannoliths, including </w:t>
      </w:r>
      <w:r w:rsidRPr="003F4289">
        <w:rPr>
          <w:rFonts w:asciiTheme="majorBidi" w:eastAsia="Times New Roman" w:hAnsiTheme="majorBidi" w:cstheme="majorBidi"/>
          <w:i/>
          <w:iCs/>
          <w:kern w:val="0"/>
          <w:lang w:val="en-US"/>
          <w14:ligatures w14:val="none"/>
        </w:rPr>
        <w:t>Conusphaera mexicana</w:t>
      </w:r>
      <w:r w:rsidRPr="003F4289">
        <w:rPr>
          <w:rFonts w:asciiTheme="majorBidi" w:eastAsia="Times New Roman" w:hAnsiTheme="majorBidi" w:cstheme="majorBidi"/>
          <w:kern w:val="0"/>
          <w:lang w:val="en-US"/>
          <w14:ligatures w14:val="none"/>
        </w:rPr>
        <w:t xml:space="preserve">, </w:t>
      </w:r>
      <w:r w:rsidRPr="003F4289">
        <w:rPr>
          <w:rFonts w:asciiTheme="majorBidi" w:eastAsia="Times New Roman" w:hAnsiTheme="majorBidi" w:cstheme="majorBidi"/>
          <w:i/>
          <w:iCs/>
          <w:kern w:val="0"/>
          <w:lang w:val="en-US"/>
          <w14:ligatures w14:val="none"/>
        </w:rPr>
        <w:t>Polycostella beckmannii</w:t>
      </w:r>
      <w:r w:rsidRPr="003F4289">
        <w:rPr>
          <w:rFonts w:asciiTheme="majorBidi" w:eastAsia="Times New Roman" w:hAnsiTheme="majorBidi" w:cstheme="majorBidi"/>
          <w:kern w:val="0"/>
          <w:lang w:val="en-US"/>
          <w14:ligatures w14:val="none"/>
        </w:rPr>
        <w:t xml:space="preserve">, and </w:t>
      </w:r>
      <w:r w:rsidRPr="003F4289">
        <w:rPr>
          <w:rFonts w:asciiTheme="majorBidi" w:eastAsia="Times New Roman" w:hAnsiTheme="majorBidi" w:cstheme="majorBidi"/>
          <w:i/>
          <w:iCs/>
          <w:kern w:val="0"/>
          <w:lang w:val="en-US"/>
          <w14:ligatures w14:val="none"/>
        </w:rPr>
        <w:t>Nannoconus</w:t>
      </w:r>
      <w:r w:rsidRPr="003F4289">
        <w:rPr>
          <w:rFonts w:asciiTheme="majorBidi" w:eastAsia="Times New Roman" w:hAnsiTheme="majorBidi" w:cstheme="majorBidi"/>
          <w:kern w:val="0"/>
          <w:lang w:val="en-US"/>
          <w14:ligatures w14:val="none"/>
        </w:rPr>
        <w:t xml:space="preserve">. During the early Berriasian, nannolith abundance declines and more diverse coccolith assemblages become established. Morphometric analyses reveal a reduction in </w:t>
      </w:r>
      <w:r w:rsidRPr="003F4289">
        <w:rPr>
          <w:rFonts w:asciiTheme="majorBidi" w:eastAsia="Times New Roman" w:hAnsiTheme="majorBidi" w:cstheme="majorBidi"/>
          <w:i/>
          <w:iCs/>
          <w:kern w:val="0"/>
          <w:lang w:val="en-US"/>
          <w14:ligatures w14:val="none"/>
        </w:rPr>
        <w:t>Watznaueria</w:t>
      </w:r>
      <w:r w:rsidRPr="003F4289">
        <w:rPr>
          <w:rFonts w:asciiTheme="majorBidi" w:eastAsia="Times New Roman" w:hAnsiTheme="majorBidi" w:cstheme="majorBidi"/>
          <w:kern w:val="0"/>
          <w:lang w:val="en-US"/>
          <w14:ligatures w14:val="none"/>
        </w:rPr>
        <w:t xml:space="preserve"> size accompanied by enlargement of nannolith taxa, suggesting a regional environmental response, potentially linked to declining atmospheric pCO₂ and changes in carbonate chemistry.</w:t>
      </w:r>
    </w:p>
    <w:p w14:paraId="55F53BB1" w14:textId="784C9B73" w:rsidR="00301650" w:rsidRDefault="00301650" w:rsidP="00301650">
      <w:pPr>
        <w:spacing w:before="100" w:beforeAutospacing="1" w:after="100" w:afterAutospacing="1" w:line="240" w:lineRule="auto"/>
        <w:rPr>
          <w:rFonts w:asciiTheme="majorBidi" w:eastAsia="Times New Roman" w:hAnsiTheme="majorBidi" w:cstheme="majorBidi"/>
          <w:kern w:val="0"/>
          <w:lang w:val="en-US"/>
          <w14:ligatures w14:val="none"/>
        </w:rPr>
      </w:pPr>
      <w:r w:rsidRPr="003F4289">
        <w:rPr>
          <w:rFonts w:asciiTheme="majorBidi" w:eastAsia="Times New Roman" w:hAnsiTheme="majorBidi" w:cstheme="majorBidi"/>
          <w:kern w:val="0"/>
          <w:lang w:val="en-US"/>
          <w14:ligatures w14:val="none"/>
        </w:rPr>
        <w:t xml:space="preserve">A pronounced middle Tithonian nannofossil calcification event (NCE) is recorded at Hole 105, where heavily calcified taxa account for a substantial proportion of carbonate production under oligotrophic, arid, and relative sea-level lowstand conditions. Following this interval, the decline of </w:t>
      </w:r>
      <w:r w:rsidRPr="003F4289">
        <w:rPr>
          <w:rFonts w:asciiTheme="majorBidi" w:eastAsia="Times New Roman" w:hAnsiTheme="majorBidi" w:cstheme="majorBidi"/>
          <w:i/>
          <w:iCs/>
          <w:kern w:val="0"/>
          <w:lang w:val="en-US"/>
          <w14:ligatures w14:val="none"/>
        </w:rPr>
        <w:t>Conusphaera</w:t>
      </w:r>
      <w:r w:rsidRPr="003F4289">
        <w:rPr>
          <w:rFonts w:asciiTheme="majorBidi" w:eastAsia="Times New Roman" w:hAnsiTheme="majorBidi" w:cstheme="majorBidi"/>
          <w:kern w:val="0"/>
          <w:lang w:val="en-US"/>
          <w14:ligatures w14:val="none"/>
        </w:rPr>
        <w:t xml:space="preserve"> and </w:t>
      </w:r>
      <w:r w:rsidRPr="003F4289">
        <w:rPr>
          <w:rFonts w:asciiTheme="majorBidi" w:eastAsia="Times New Roman" w:hAnsiTheme="majorBidi" w:cstheme="majorBidi"/>
          <w:i/>
          <w:iCs/>
          <w:kern w:val="0"/>
          <w:lang w:val="en-US"/>
          <w14:ligatures w14:val="none"/>
        </w:rPr>
        <w:t>Polycostella</w:t>
      </w:r>
      <w:r w:rsidRPr="003F4289">
        <w:rPr>
          <w:rFonts w:asciiTheme="majorBidi" w:eastAsia="Times New Roman" w:hAnsiTheme="majorBidi" w:cstheme="majorBidi"/>
          <w:kern w:val="0"/>
          <w:lang w:val="en-US"/>
          <w14:ligatures w14:val="none"/>
        </w:rPr>
        <w:t>, together with increasing coccolith diversity and carbonate accumulation rates during the Berriasian, coincides with major paleoceanographic reorganization, including the opening of the proto-Panama Gateway and the development of equatorial circulation. These observations indicate that the latest Jurassic–earliest Cretaceous marked a transition toward more efficient pelagic carbonate production and an increasingly important role of the deep ocean as a sink for biogenic CaCO₃.</w:t>
      </w:r>
    </w:p>
    <w:p w14:paraId="2DF485BC" w14:textId="77777777" w:rsidR="003F4289" w:rsidRPr="003F4289" w:rsidRDefault="003F4289" w:rsidP="00301650">
      <w:pPr>
        <w:spacing w:before="100" w:beforeAutospacing="1" w:after="100" w:afterAutospacing="1" w:line="240" w:lineRule="auto"/>
        <w:rPr>
          <w:rFonts w:asciiTheme="majorBidi" w:eastAsia="Times New Roman" w:hAnsiTheme="majorBidi" w:cstheme="majorBidi"/>
          <w:kern w:val="0"/>
          <w:lang w:val="en-US"/>
          <w14:ligatures w14:val="none"/>
        </w:rPr>
      </w:pPr>
    </w:p>
    <w:p w14:paraId="3BE3885B" w14:textId="0C81595E" w:rsidR="00F400D5" w:rsidRDefault="00641FC5" w:rsidP="00301650">
      <w:pPr>
        <w:pStyle w:val="Heading2"/>
        <w:jc w:val="both"/>
        <w:rPr>
          <w:rFonts w:asciiTheme="majorBidi" w:hAnsiTheme="majorBidi"/>
          <w:sz w:val="22"/>
          <w:szCs w:val="22"/>
        </w:rPr>
      </w:pPr>
      <w:r w:rsidRPr="003F4289">
        <w:rPr>
          <w:rFonts w:asciiTheme="majorBidi" w:hAnsiTheme="majorBidi"/>
          <w:sz w:val="22"/>
          <w:szCs w:val="22"/>
        </w:rPr>
        <w:t xml:space="preserve">Records from western Tethys </w:t>
      </w:r>
      <w:r w:rsidR="00B86322" w:rsidRPr="003F4289">
        <w:rPr>
          <w:rFonts w:asciiTheme="majorBidi" w:hAnsiTheme="majorBidi"/>
          <w:sz w:val="22"/>
          <w:szCs w:val="22"/>
        </w:rPr>
        <w:t>DSDP 10</w:t>
      </w:r>
      <w:r w:rsidRPr="003F4289">
        <w:rPr>
          <w:rFonts w:asciiTheme="majorBidi" w:hAnsiTheme="majorBidi"/>
          <w:sz w:val="22"/>
          <w:szCs w:val="22"/>
        </w:rPr>
        <w:t>5</w:t>
      </w:r>
      <w:r w:rsidR="00B86322" w:rsidRPr="003F4289">
        <w:rPr>
          <w:rFonts w:asciiTheme="majorBidi" w:hAnsiTheme="majorBidi"/>
          <w:sz w:val="22"/>
          <w:szCs w:val="22"/>
        </w:rPr>
        <w:t xml:space="preserve"> and 534</w:t>
      </w:r>
    </w:p>
    <w:p w14:paraId="594E22AB" w14:textId="77777777" w:rsidR="003F4289" w:rsidRPr="003F4289" w:rsidRDefault="003F4289" w:rsidP="003F4289">
      <w:pPr>
        <w:rPr>
          <w:lang w:val="en-US"/>
        </w:rPr>
      </w:pPr>
    </w:p>
    <w:p w14:paraId="1522C449" w14:textId="77777777" w:rsidR="00B86322" w:rsidRPr="003F4289" w:rsidRDefault="00B86322" w:rsidP="00301650">
      <w:pPr>
        <w:spacing w:line="240" w:lineRule="auto"/>
        <w:jc w:val="both"/>
        <w:rPr>
          <w:rFonts w:asciiTheme="majorBidi" w:hAnsiTheme="majorBidi" w:cstheme="majorBidi"/>
          <w:lang w:val="en-US"/>
        </w:rPr>
      </w:pPr>
      <w:r w:rsidRPr="003F4289">
        <w:rPr>
          <w:rFonts w:asciiTheme="majorBidi" w:hAnsiTheme="majorBidi" w:cstheme="majorBidi"/>
          <w:noProof/>
          <w:lang w:val="en-US"/>
        </w:rPr>
        <w:drawing>
          <wp:inline distT="0" distB="0" distL="0" distR="0" wp14:anchorId="194A36DC" wp14:editId="3A7BDABD">
            <wp:extent cx="5353685" cy="5015076"/>
            <wp:effectExtent l="0" t="0" r="0" b="0"/>
            <wp:docPr id="36"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365878" cy="5026498"/>
                    </a:xfrm>
                    <a:prstGeom prst="rect">
                      <a:avLst/>
                    </a:prstGeom>
                  </pic:spPr>
                </pic:pic>
              </a:graphicData>
            </a:graphic>
          </wp:inline>
        </w:drawing>
      </w:r>
    </w:p>
    <w:p w14:paraId="0F935230" w14:textId="5D0D17A0" w:rsidR="00444B1F" w:rsidRPr="003F4289" w:rsidRDefault="00301650" w:rsidP="00301650">
      <w:pPr>
        <w:pStyle w:val="pdq2pgselectionanchorcontainer"/>
        <w:jc w:val="both"/>
        <w:rPr>
          <w:rFonts w:asciiTheme="majorBidi" w:hAnsiTheme="majorBidi" w:cstheme="majorBidi"/>
          <w:sz w:val="22"/>
          <w:szCs w:val="22"/>
        </w:rPr>
      </w:pPr>
      <w:r w:rsidRPr="003F4289">
        <w:rPr>
          <w:rStyle w:val="Strong"/>
          <w:rFonts w:asciiTheme="majorBidi" w:hAnsiTheme="majorBidi" w:cstheme="majorBidi"/>
          <w:sz w:val="22"/>
          <w:szCs w:val="22"/>
        </w:rPr>
        <w:t>Figure S21</w:t>
      </w:r>
      <w:r w:rsidR="00444B1F" w:rsidRPr="003F4289">
        <w:rPr>
          <w:rStyle w:val="Strong"/>
          <w:rFonts w:asciiTheme="majorBidi" w:hAnsiTheme="majorBidi" w:cstheme="majorBidi"/>
          <w:sz w:val="22"/>
          <w:szCs w:val="22"/>
        </w:rPr>
        <w:t>.</w:t>
      </w:r>
      <w:r w:rsidR="00444B1F" w:rsidRPr="003F4289">
        <w:rPr>
          <w:rFonts w:asciiTheme="majorBidi" w:hAnsiTheme="majorBidi" w:cstheme="majorBidi"/>
          <w:sz w:val="22"/>
          <w:szCs w:val="22"/>
        </w:rPr>
        <w:t xml:space="preserve"> Comparison of calcareous nannofossil abundance patterns, carbon- and oxygen-isotope records, and carbonate content across the Jurassic–Cretaceous transition at </w:t>
      </w:r>
      <w:r w:rsidR="00444B1F" w:rsidRPr="003F4289">
        <w:rPr>
          <w:rStyle w:val="Strong"/>
          <w:rFonts w:asciiTheme="majorBidi" w:hAnsiTheme="majorBidi" w:cstheme="majorBidi"/>
          <w:sz w:val="22"/>
          <w:szCs w:val="22"/>
        </w:rPr>
        <w:t>DSDP Site 534</w:t>
      </w:r>
      <w:r w:rsidR="00444B1F" w:rsidRPr="003F4289">
        <w:rPr>
          <w:rFonts w:asciiTheme="majorBidi" w:hAnsiTheme="majorBidi" w:cstheme="majorBidi"/>
          <w:sz w:val="22"/>
          <w:szCs w:val="22"/>
        </w:rPr>
        <w:t xml:space="preserve"> (Blake Plateau, western North Atlantic) and </w:t>
      </w:r>
      <w:r w:rsidR="00444B1F" w:rsidRPr="003F4289">
        <w:rPr>
          <w:rStyle w:val="Strong"/>
          <w:rFonts w:asciiTheme="majorBidi" w:hAnsiTheme="majorBidi" w:cstheme="majorBidi"/>
          <w:sz w:val="22"/>
          <w:szCs w:val="22"/>
        </w:rPr>
        <w:t>DSDP Site 105</w:t>
      </w:r>
      <w:r w:rsidR="00444B1F" w:rsidRPr="003F4289">
        <w:rPr>
          <w:rFonts w:asciiTheme="majorBidi" w:hAnsiTheme="majorBidi" w:cstheme="majorBidi"/>
          <w:sz w:val="22"/>
          <w:szCs w:val="22"/>
        </w:rPr>
        <w:t xml:space="preserve"> (western Atlantic–Tethyan gateway). Shown are lithology, calcareous nannofossil biozonation, CaCO₃ content, bulk-rock δ¹³C and δ¹⁸O records, and relative abundances of selected nannofossil groups (</w:t>
      </w:r>
      <w:r w:rsidR="00444B1F" w:rsidRPr="003F4289">
        <w:rPr>
          <w:rStyle w:val="Emphasis"/>
          <w:rFonts w:asciiTheme="majorBidi" w:eastAsiaTheme="majorEastAsia" w:hAnsiTheme="majorBidi" w:cstheme="majorBidi"/>
          <w:sz w:val="22"/>
          <w:szCs w:val="22"/>
        </w:rPr>
        <w:t>Nannoconus</w:t>
      </w:r>
      <w:r w:rsidR="00444B1F" w:rsidRPr="003F4289">
        <w:rPr>
          <w:rFonts w:asciiTheme="majorBidi" w:hAnsiTheme="majorBidi" w:cstheme="majorBidi"/>
          <w:sz w:val="22"/>
          <w:szCs w:val="22"/>
        </w:rPr>
        <w:t xml:space="preserve"> spp., </w:t>
      </w:r>
      <w:r w:rsidR="00444B1F" w:rsidRPr="003F4289">
        <w:rPr>
          <w:rStyle w:val="Emphasis"/>
          <w:rFonts w:asciiTheme="majorBidi" w:eastAsiaTheme="majorEastAsia" w:hAnsiTheme="majorBidi" w:cstheme="majorBidi"/>
          <w:sz w:val="22"/>
          <w:szCs w:val="22"/>
        </w:rPr>
        <w:t>Conusphaera</w:t>
      </w:r>
      <w:r w:rsidR="00444B1F" w:rsidRPr="003F4289">
        <w:rPr>
          <w:rFonts w:asciiTheme="majorBidi" w:hAnsiTheme="majorBidi" w:cstheme="majorBidi"/>
          <w:sz w:val="22"/>
          <w:szCs w:val="22"/>
        </w:rPr>
        <w:t xml:space="preserve"> spp., </w:t>
      </w:r>
      <w:r w:rsidR="00444B1F" w:rsidRPr="003F4289">
        <w:rPr>
          <w:rStyle w:val="Emphasis"/>
          <w:rFonts w:asciiTheme="majorBidi" w:eastAsiaTheme="majorEastAsia" w:hAnsiTheme="majorBidi" w:cstheme="majorBidi"/>
          <w:sz w:val="22"/>
          <w:szCs w:val="22"/>
        </w:rPr>
        <w:t>Polycostella</w:t>
      </w:r>
      <w:r w:rsidR="00444B1F" w:rsidRPr="003F4289">
        <w:rPr>
          <w:rFonts w:asciiTheme="majorBidi" w:hAnsiTheme="majorBidi" w:cstheme="majorBidi"/>
          <w:sz w:val="22"/>
          <w:szCs w:val="22"/>
        </w:rPr>
        <w:t xml:space="preserve"> spp., </w:t>
      </w:r>
      <w:r w:rsidR="00444B1F" w:rsidRPr="003F4289">
        <w:rPr>
          <w:rStyle w:val="Emphasis"/>
          <w:rFonts w:asciiTheme="majorBidi" w:eastAsiaTheme="majorEastAsia" w:hAnsiTheme="majorBidi" w:cstheme="majorBidi"/>
          <w:sz w:val="22"/>
          <w:szCs w:val="22"/>
        </w:rPr>
        <w:t>Cyclagelosphaera margerelii</w:t>
      </w:r>
      <w:r w:rsidR="00444B1F" w:rsidRPr="003F4289">
        <w:rPr>
          <w:rFonts w:asciiTheme="majorBidi" w:hAnsiTheme="majorBidi" w:cstheme="majorBidi"/>
          <w:sz w:val="22"/>
          <w:szCs w:val="22"/>
        </w:rPr>
        <w:t>, and eutrophic taxa). The light-blue bands indicate the two negative carbon-isotope excursions (NCE I and NCE II), while arrows mark the first occurrences (FOs) of key biostratigraphic taxa.</w:t>
      </w:r>
    </w:p>
    <w:p w14:paraId="10CAA071" w14:textId="717A1C42" w:rsidR="00444B1F" w:rsidRPr="003F4289" w:rsidRDefault="00444B1F" w:rsidP="00301650">
      <w:pPr>
        <w:pStyle w:val="NormalWeb"/>
        <w:jc w:val="both"/>
        <w:rPr>
          <w:rFonts w:asciiTheme="majorBidi" w:hAnsiTheme="majorBidi" w:cstheme="majorBidi"/>
          <w:sz w:val="22"/>
          <w:szCs w:val="22"/>
        </w:rPr>
      </w:pPr>
      <w:r w:rsidRPr="003F4289">
        <w:rPr>
          <w:rFonts w:asciiTheme="majorBidi" w:hAnsiTheme="majorBidi" w:cstheme="majorBidi"/>
          <w:sz w:val="22"/>
          <w:szCs w:val="22"/>
        </w:rPr>
        <w:t xml:space="preserve">The two records demonstrate that the negative carbon-isotope excursions are </w:t>
      </w:r>
      <w:r w:rsidRPr="003F4289">
        <w:rPr>
          <w:rStyle w:val="Strong"/>
          <w:rFonts w:asciiTheme="majorBidi" w:hAnsiTheme="majorBidi" w:cstheme="majorBidi"/>
          <w:sz w:val="22"/>
          <w:szCs w:val="22"/>
        </w:rPr>
        <w:t>diachronous across the western Tethyan–Atlantic region</w:t>
      </w:r>
      <w:r w:rsidRPr="003F4289">
        <w:rPr>
          <w:rFonts w:asciiTheme="majorBidi" w:hAnsiTheme="majorBidi" w:cstheme="majorBidi"/>
          <w:sz w:val="22"/>
          <w:szCs w:val="22"/>
        </w:rPr>
        <w:t xml:space="preserve">. At DSDP Site 534, NCE I occurs within the upper Tithonian (NJ20B) and NCE II within the lower Berriasian (NJK-C), whereas at DSDP Site 105 both excursions occur stratigraphically higher and are shifted toward younger intervals relative to the nannofossil biozonation. The timing of the abundance peaks of </w:t>
      </w:r>
      <w:r w:rsidRPr="003F4289">
        <w:rPr>
          <w:rStyle w:val="Emphasis"/>
          <w:rFonts w:asciiTheme="majorBidi" w:eastAsiaTheme="majorEastAsia" w:hAnsiTheme="majorBidi" w:cstheme="majorBidi"/>
          <w:sz w:val="22"/>
          <w:szCs w:val="22"/>
        </w:rPr>
        <w:t>Nannoconus</w:t>
      </w:r>
      <w:r w:rsidRPr="003F4289">
        <w:rPr>
          <w:rFonts w:asciiTheme="majorBidi" w:hAnsiTheme="majorBidi" w:cstheme="majorBidi"/>
          <w:sz w:val="22"/>
          <w:szCs w:val="22"/>
        </w:rPr>
        <w:t xml:space="preserve">, </w:t>
      </w:r>
      <w:r w:rsidRPr="003F4289">
        <w:rPr>
          <w:rStyle w:val="Emphasis"/>
          <w:rFonts w:asciiTheme="majorBidi" w:eastAsiaTheme="majorEastAsia" w:hAnsiTheme="majorBidi" w:cstheme="majorBidi"/>
          <w:sz w:val="22"/>
          <w:szCs w:val="22"/>
        </w:rPr>
        <w:t>Conusphaera</w:t>
      </w:r>
      <w:r w:rsidRPr="003F4289">
        <w:rPr>
          <w:rFonts w:asciiTheme="majorBidi" w:hAnsiTheme="majorBidi" w:cstheme="majorBidi"/>
          <w:sz w:val="22"/>
          <w:szCs w:val="22"/>
        </w:rPr>
        <w:t xml:space="preserve">, and </w:t>
      </w:r>
      <w:r w:rsidRPr="003F4289">
        <w:rPr>
          <w:rStyle w:val="Emphasis"/>
          <w:rFonts w:asciiTheme="majorBidi" w:eastAsiaTheme="majorEastAsia" w:hAnsiTheme="majorBidi" w:cstheme="majorBidi"/>
          <w:sz w:val="22"/>
          <w:szCs w:val="22"/>
        </w:rPr>
        <w:t>Polycostella</w:t>
      </w:r>
      <w:r w:rsidRPr="003F4289">
        <w:rPr>
          <w:rFonts w:asciiTheme="majorBidi" w:hAnsiTheme="majorBidi" w:cstheme="majorBidi"/>
          <w:sz w:val="22"/>
          <w:szCs w:val="22"/>
        </w:rPr>
        <w:t xml:space="preserve"> also differs between the two sites, indicating that the associated calcification events were not synchronous throughout the basin. These diachronous relationships support a progressive development of the Boreal–Tethyan carbon-isotope decoupling during the latest Jurassic–earliest Cretaceous rather than a single globally synchronous event.</w:t>
      </w:r>
      <w:r w:rsidR="00982527" w:rsidRPr="003F4289">
        <w:rPr>
          <w:rFonts w:asciiTheme="majorBidi" w:hAnsiTheme="majorBidi" w:cstheme="majorBidi"/>
          <w:sz w:val="22"/>
          <w:szCs w:val="22"/>
        </w:rPr>
        <w:t xml:space="preserve"> </w:t>
      </w:r>
      <w:r w:rsidRPr="003F4289">
        <w:rPr>
          <w:rFonts w:asciiTheme="majorBidi" w:hAnsiTheme="majorBidi" w:cstheme="majorBidi"/>
          <w:sz w:val="22"/>
          <w:szCs w:val="22"/>
        </w:rPr>
        <w:t>The inset maps show the paleogeographic position of the studied DSDP sites within the western Tethyan–Atlantic realm during the Late Jurassic–Early Cretaceous, illustrating their location along the evolving Boreal–Tethyan oceanic gateway. The observed temporal offsets between the isotope excursions and nannofossil events likely reflect regional differences in water-mass exchange, carbon cycling, and ocean circulation as gateway restriction intensified during the late Tithonian–early Berriasian cooling interval.</w:t>
      </w:r>
    </w:p>
    <w:p w14:paraId="77CF5735" w14:textId="024D266C" w:rsidR="001630E5" w:rsidRPr="003F4289" w:rsidRDefault="00B64573" w:rsidP="00301650">
      <w:pPr>
        <w:pStyle w:val="Heading2"/>
        <w:jc w:val="both"/>
        <w:rPr>
          <w:rFonts w:asciiTheme="majorBidi" w:hAnsiTheme="majorBidi"/>
          <w:b/>
          <w:bCs/>
          <w:sz w:val="22"/>
          <w:szCs w:val="22"/>
        </w:rPr>
      </w:pPr>
      <w:r w:rsidRPr="003F4289">
        <w:rPr>
          <w:rFonts w:asciiTheme="majorBidi" w:hAnsiTheme="majorBidi"/>
          <w:b/>
          <w:bCs/>
          <w:sz w:val="22"/>
          <w:szCs w:val="22"/>
        </w:rPr>
        <w:t xml:space="preserve">Records from </w:t>
      </w:r>
      <w:r w:rsidR="001630E5" w:rsidRPr="003F4289">
        <w:rPr>
          <w:rFonts w:asciiTheme="majorBidi" w:hAnsiTheme="majorBidi"/>
          <w:b/>
          <w:bCs/>
          <w:sz w:val="22"/>
          <w:szCs w:val="22"/>
        </w:rPr>
        <w:t>Hungary</w:t>
      </w:r>
    </w:p>
    <w:p w14:paraId="17D760AC" w14:textId="77777777" w:rsidR="001630E5" w:rsidRPr="003F4289" w:rsidRDefault="001630E5" w:rsidP="003F4289">
      <w:pPr>
        <w:spacing w:line="240" w:lineRule="auto"/>
        <w:jc w:val="center"/>
        <w:rPr>
          <w:rFonts w:asciiTheme="majorBidi" w:hAnsiTheme="majorBidi" w:cstheme="majorBidi"/>
          <w:lang w:val="en-US"/>
        </w:rPr>
      </w:pPr>
      <w:r w:rsidRPr="003F4289">
        <w:rPr>
          <w:rFonts w:asciiTheme="majorBidi" w:hAnsiTheme="majorBidi" w:cstheme="majorBidi"/>
          <w:noProof/>
          <w:lang w:val="en-US"/>
        </w:rPr>
        <w:drawing>
          <wp:inline distT="0" distB="0" distL="0" distR="0" wp14:anchorId="32A4AF4E" wp14:editId="6CF776B6">
            <wp:extent cx="4304631" cy="4178300"/>
            <wp:effectExtent l="0" t="0" r="1270" b="0"/>
            <wp:docPr id="37" name="Picture 37" descr="F:\Jurassic cretaceous\Nature figures\Hungary 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Jurassic cretaceous\Nature figures\Hungary NCE.png"/>
                    <pic:cNvPicPr>
                      <a:picLocks noChangeAspect="1" noChangeArrowheads="1"/>
                    </pic:cNvPicPr>
                  </pic:nvPicPr>
                  <pic:blipFill>
                    <a:blip r:embed="rId29" cstate="hqprint">
                      <a:extLst>
                        <a:ext uri="{28A0092B-C50C-407E-A947-70E740481C1C}">
                          <a14:useLocalDpi xmlns:a14="http://schemas.microsoft.com/office/drawing/2010/main" val="0"/>
                        </a:ext>
                      </a:extLst>
                    </a:blip>
                    <a:srcRect/>
                    <a:stretch>
                      <a:fillRect/>
                    </a:stretch>
                  </pic:blipFill>
                  <pic:spPr bwMode="auto">
                    <a:xfrm>
                      <a:off x="0" y="0"/>
                      <a:ext cx="4322910" cy="4196042"/>
                    </a:xfrm>
                    <a:prstGeom prst="rect">
                      <a:avLst/>
                    </a:prstGeom>
                    <a:noFill/>
                    <a:ln>
                      <a:noFill/>
                    </a:ln>
                  </pic:spPr>
                </pic:pic>
              </a:graphicData>
            </a:graphic>
          </wp:inline>
        </w:drawing>
      </w:r>
    </w:p>
    <w:p w14:paraId="7A5CC087" w14:textId="05402759" w:rsidR="00982527" w:rsidRPr="003F4289" w:rsidRDefault="00301650" w:rsidP="00301650">
      <w:pPr>
        <w:pStyle w:val="pdq2pgselectionanchorcontainer"/>
        <w:jc w:val="both"/>
        <w:rPr>
          <w:rFonts w:asciiTheme="majorBidi" w:hAnsiTheme="majorBidi" w:cstheme="majorBidi"/>
          <w:sz w:val="22"/>
          <w:szCs w:val="22"/>
        </w:rPr>
      </w:pPr>
      <w:r w:rsidRPr="003F4289">
        <w:rPr>
          <w:rStyle w:val="Strong"/>
          <w:rFonts w:asciiTheme="majorBidi" w:hAnsiTheme="majorBidi" w:cstheme="majorBidi"/>
          <w:sz w:val="22"/>
          <w:szCs w:val="22"/>
        </w:rPr>
        <w:t>Figure S22</w:t>
      </w:r>
      <w:r w:rsidR="00982527" w:rsidRPr="003F4289">
        <w:rPr>
          <w:rStyle w:val="Strong"/>
          <w:rFonts w:asciiTheme="majorBidi" w:hAnsiTheme="majorBidi" w:cstheme="majorBidi"/>
          <w:sz w:val="22"/>
          <w:szCs w:val="22"/>
        </w:rPr>
        <w:t>.</w:t>
      </w:r>
      <w:r w:rsidR="00982527" w:rsidRPr="003F4289">
        <w:rPr>
          <w:rFonts w:asciiTheme="majorBidi" w:hAnsiTheme="majorBidi" w:cstheme="majorBidi"/>
          <w:sz w:val="22"/>
          <w:szCs w:val="22"/>
        </w:rPr>
        <w:t xml:space="preserve"> Comparison of calcareous nannofossil assemblage changes across the Jurassic–Cretaceous transition in the </w:t>
      </w:r>
      <w:r w:rsidR="00982527" w:rsidRPr="003F4289">
        <w:rPr>
          <w:rStyle w:val="Strong"/>
          <w:rFonts w:asciiTheme="majorBidi" w:hAnsiTheme="majorBidi" w:cstheme="majorBidi"/>
          <w:sz w:val="22"/>
          <w:szCs w:val="22"/>
        </w:rPr>
        <w:t>Lókút</w:t>
      </w:r>
      <w:r w:rsidR="00982527" w:rsidRPr="003F4289">
        <w:rPr>
          <w:rFonts w:asciiTheme="majorBidi" w:hAnsiTheme="majorBidi" w:cstheme="majorBidi"/>
          <w:sz w:val="22"/>
          <w:szCs w:val="22"/>
        </w:rPr>
        <w:t xml:space="preserve"> and </w:t>
      </w:r>
      <w:r w:rsidR="00982527" w:rsidRPr="003F4289">
        <w:rPr>
          <w:rStyle w:val="Strong"/>
          <w:rFonts w:asciiTheme="majorBidi" w:hAnsiTheme="majorBidi" w:cstheme="majorBidi"/>
          <w:sz w:val="22"/>
          <w:szCs w:val="22"/>
        </w:rPr>
        <w:t>Hárskút</w:t>
      </w:r>
      <w:r w:rsidR="00982527" w:rsidRPr="003F4289">
        <w:rPr>
          <w:rFonts w:asciiTheme="majorBidi" w:hAnsiTheme="majorBidi" w:cstheme="majorBidi"/>
          <w:sz w:val="22"/>
          <w:szCs w:val="22"/>
        </w:rPr>
        <w:t xml:space="preserve"> sections (Hungary, North Tethys). Shown are lithology, biostratigraphy, magnetostratigraphy, and the relative abundances of the principal calcifying nannofossil groups (</w:t>
      </w:r>
      <w:r w:rsidR="00982527" w:rsidRPr="003F4289">
        <w:rPr>
          <w:rStyle w:val="Emphasis"/>
          <w:rFonts w:asciiTheme="majorBidi" w:eastAsiaTheme="majorEastAsia" w:hAnsiTheme="majorBidi" w:cstheme="majorBidi"/>
          <w:sz w:val="22"/>
          <w:szCs w:val="22"/>
        </w:rPr>
        <w:t>Cyclagelosphaera</w:t>
      </w:r>
      <w:r w:rsidR="00982527" w:rsidRPr="003F4289">
        <w:rPr>
          <w:rFonts w:asciiTheme="majorBidi" w:hAnsiTheme="majorBidi" w:cstheme="majorBidi"/>
          <w:sz w:val="22"/>
          <w:szCs w:val="22"/>
        </w:rPr>
        <w:t xml:space="preserve">, </w:t>
      </w:r>
      <w:r w:rsidR="00982527" w:rsidRPr="003F4289">
        <w:rPr>
          <w:rStyle w:val="Emphasis"/>
          <w:rFonts w:asciiTheme="majorBidi" w:eastAsiaTheme="majorEastAsia" w:hAnsiTheme="majorBidi" w:cstheme="majorBidi"/>
          <w:sz w:val="22"/>
          <w:szCs w:val="22"/>
        </w:rPr>
        <w:t>Watznaueria</w:t>
      </w:r>
      <w:r w:rsidR="00982527" w:rsidRPr="003F4289">
        <w:rPr>
          <w:rFonts w:asciiTheme="majorBidi" w:hAnsiTheme="majorBidi" w:cstheme="majorBidi"/>
          <w:sz w:val="22"/>
          <w:szCs w:val="22"/>
        </w:rPr>
        <w:t xml:space="preserve">, </w:t>
      </w:r>
      <w:r w:rsidR="00982527" w:rsidRPr="003F4289">
        <w:rPr>
          <w:rStyle w:val="Emphasis"/>
          <w:rFonts w:asciiTheme="majorBidi" w:eastAsiaTheme="majorEastAsia" w:hAnsiTheme="majorBidi" w:cstheme="majorBidi"/>
          <w:sz w:val="22"/>
          <w:szCs w:val="22"/>
        </w:rPr>
        <w:t>Conusphaera</w:t>
      </w:r>
      <w:r w:rsidR="00982527" w:rsidRPr="003F4289">
        <w:rPr>
          <w:rFonts w:asciiTheme="majorBidi" w:hAnsiTheme="majorBidi" w:cstheme="majorBidi"/>
          <w:sz w:val="22"/>
          <w:szCs w:val="22"/>
        </w:rPr>
        <w:t xml:space="preserve">, </w:t>
      </w:r>
      <w:r w:rsidR="00982527" w:rsidRPr="003F4289">
        <w:rPr>
          <w:rStyle w:val="Emphasis"/>
          <w:rFonts w:asciiTheme="majorBidi" w:eastAsiaTheme="majorEastAsia" w:hAnsiTheme="majorBidi" w:cstheme="majorBidi"/>
          <w:sz w:val="22"/>
          <w:szCs w:val="22"/>
        </w:rPr>
        <w:t>Nannoconus</w:t>
      </w:r>
      <w:r w:rsidR="00982527" w:rsidRPr="003F4289">
        <w:rPr>
          <w:rFonts w:asciiTheme="majorBidi" w:hAnsiTheme="majorBidi" w:cstheme="majorBidi"/>
          <w:sz w:val="22"/>
          <w:szCs w:val="22"/>
        </w:rPr>
        <w:t xml:space="preserve">, and other taxa). The light-blue bands indicate the positions of the two negative carbon-isotope excursions (NCE I and NCE II), and enlarged panels highlight the intervals of increased </w:t>
      </w:r>
      <w:r w:rsidR="00982527" w:rsidRPr="003F4289">
        <w:rPr>
          <w:rStyle w:val="Emphasis"/>
          <w:rFonts w:asciiTheme="majorBidi" w:eastAsiaTheme="majorEastAsia" w:hAnsiTheme="majorBidi" w:cstheme="majorBidi"/>
          <w:sz w:val="22"/>
          <w:szCs w:val="22"/>
        </w:rPr>
        <w:t>Nannoconus</w:t>
      </w:r>
      <w:r w:rsidR="00982527" w:rsidRPr="003F4289">
        <w:rPr>
          <w:rFonts w:asciiTheme="majorBidi" w:hAnsiTheme="majorBidi" w:cstheme="majorBidi"/>
          <w:sz w:val="22"/>
          <w:szCs w:val="22"/>
        </w:rPr>
        <w:t xml:space="preserve"> abundance during the late Berriasian. Although the Lókút and Hárskút sections are located within the same North Tethyan region, the stratigraphic positions of </w:t>
      </w:r>
      <w:r w:rsidR="00982527" w:rsidRPr="003F4289">
        <w:rPr>
          <w:rStyle w:val="Strong"/>
          <w:rFonts w:asciiTheme="majorBidi" w:hAnsiTheme="majorBidi" w:cstheme="majorBidi"/>
          <w:sz w:val="22"/>
          <w:szCs w:val="22"/>
        </w:rPr>
        <w:t>NCE I and NCE II differ between the two successions</w:t>
      </w:r>
      <w:r w:rsidR="00982527" w:rsidRPr="003F4289">
        <w:rPr>
          <w:rFonts w:asciiTheme="majorBidi" w:hAnsiTheme="majorBidi" w:cstheme="majorBidi"/>
          <w:sz w:val="22"/>
          <w:szCs w:val="22"/>
        </w:rPr>
        <w:t xml:space="preserve">, demonstrating that these negative carbon-isotope excursions are </w:t>
      </w:r>
      <w:r w:rsidR="00982527" w:rsidRPr="003F4289">
        <w:rPr>
          <w:rStyle w:val="Strong"/>
          <w:rFonts w:asciiTheme="majorBidi" w:hAnsiTheme="majorBidi" w:cstheme="majorBidi"/>
          <w:sz w:val="22"/>
          <w:szCs w:val="22"/>
        </w:rPr>
        <w:t>diachronous even at a regional scale</w:t>
      </w:r>
      <w:r w:rsidR="00982527" w:rsidRPr="003F4289">
        <w:rPr>
          <w:rFonts w:asciiTheme="majorBidi" w:hAnsiTheme="majorBidi" w:cstheme="majorBidi"/>
          <w:sz w:val="22"/>
          <w:szCs w:val="22"/>
        </w:rPr>
        <w:t>. Likewise, changes in the abundance of heavily calcified nannofossils are not synchronous between the sections, indicating progressive rather than instantaneous environmental and biotic responses during the latest Jurassic–earliest Cretaceous. The observed regional offsets support the interpretation that the Boreal–Tethyan carbon-cycle perturbation and associated calcification events evolved over several million years instead of representing globally synchronous marker horizons.</w:t>
      </w:r>
    </w:p>
    <w:p w14:paraId="0A6F0946" w14:textId="675F0E7E" w:rsidR="001630E5" w:rsidRPr="003F4289" w:rsidRDefault="00B64573" w:rsidP="00301650">
      <w:pPr>
        <w:pStyle w:val="Heading2"/>
        <w:jc w:val="both"/>
        <w:rPr>
          <w:rFonts w:asciiTheme="majorBidi" w:hAnsiTheme="majorBidi"/>
          <w:b/>
          <w:bCs/>
          <w:sz w:val="22"/>
          <w:szCs w:val="22"/>
        </w:rPr>
      </w:pPr>
      <w:r w:rsidRPr="003F4289">
        <w:rPr>
          <w:rFonts w:asciiTheme="majorBidi" w:hAnsiTheme="majorBidi"/>
          <w:b/>
          <w:bCs/>
          <w:sz w:val="22"/>
          <w:szCs w:val="22"/>
        </w:rPr>
        <w:t xml:space="preserve">Records from </w:t>
      </w:r>
      <w:r w:rsidR="001630E5" w:rsidRPr="003F4289">
        <w:rPr>
          <w:rFonts w:asciiTheme="majorBidi" w:hAnsiTheme="majorBidi"/>
          <w:b/>
          <w:bCs/>
          <w:sz w:val="22"/>
          <w:szCs w:val="22"/>
        </w:rPr>
        <w:t>Italy</w:t>
      </w:r>
    </w:p>
    <w:p w14:paraId="48B55162" w14:textId="77777777" w:rsidR="00444308" w:rsidRPr="003F4289" w:rsidRDefault="00444308" w:rsidP="00301650">
      <w:pPr>
        <w:spacing w:line="240" w:lineRule="auto"/>
        <w:ind w:firstLine="360"/>
        <w:jc w:val="both"/>
        <w:rPr>
          <w:rFonts w:asciiTheme="majorBidi" w:hAnsiTheme="majorBidi" w:cstheme="majorBidi"/>
        </w:rPr>
      </w:pPr>
    </w:p>
    <w:p w14:paraId="066BE830" w14:textId="0C92C59A" w:rsidR="00943C29" w:rsidRPr="003F4289" w:rsidRDefault="00943C29" w:rsidP="00301650">
      <w:pPr>
        <w:spacing w:line="240" w:lineRule="auto"/>
        <w:jc w:val="both"/>
        <w:rPr>
          <w:rFonts w:asciiTheme="majorBidi" w:hAnsiTheme="majorBidi" w:cstheme="majorBidi"/>
        </w:rPr>
        <w:sectPr w:rsidR="00943C29" w:rsidRPr="003F4289">
          <w:pgSz w:w="12240" w:h="15840"/>
          <w:pgMar w:top="1440" w:right="1440" w:bottom="1440" w:left="1440" w:header="720" w:footer="720" w:gutter="0"/>
          <w:cols w:space="720"/>
          <w:docGrid w:linePitch="360"/>
        </w:sectPr>
      </w:pPr>
    </w:p>
    <w:p w14:paraId="74B74018" w14:textId="77777777" w:rsidR="00943C29" w:rsidRPr="003F4289" w:rsidRDefault="00943C29" w:rsidP="00301650">
      <w:pPr>
        <w:spacing w:line="240" w:lineRule="auto"/>
        <w:jc w:val="both"/>
        <w:rPr>
          <w:rFonts w:asciiTheme="majorBidi" w:hAnsiTheme="majorBidi" w:cstheme="majorBidi"/>
        </w:rPr>
      </w:pPr>
      <w:r w:rsidRPr="003F4289">
        <w:rPr>
          <w:rFonts w:asciiTheme="majorBidi" w:hAnsiTheme="majorBidi" w:cstheme="majorBidi"/>
          <w:noProof/>
          <w:lang w:val="en-US"/>
          <w14:ligatures w14:val="none"/>
        </w:rPr>
        <w:drawing>
          <wp:inline distT="0" distB="0" distL="0" distR="0" wp14:anchorId="7BBFA294" wp14:editId="01CD0A98">
            <wp:extent cx="8183703" cy="6672902"/>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taly.png"/>
                    <pic:cNvPicPr/>
                  </pic:nvPicPr>
                  <pic:blipFill rotWithShape="1">
                    <a:blip r:embed="rId30" cstate="print">
                      <a:extLst>
                        <a:ext uri="{28A0092B-C50C-407E-A947-70E740481C1C}">
                          <a14:useLocalDpi xmlns:a14="http://schemas.microsoft.com/office/drawing/2010/main" val="0"/>
                        </a:ext>
                      </a:extLst>
                    </a:blip>
                    <a:srcRect r="4547"/>
                    <a:stretch/>
                  </pic:blipFill>
                  <pic:spPr bwMode="auto">
                    <a:xfrm>
                      <a:off x="0" y="0"/>
                      <a:ext cx="8211423" cy="6695504"/>
                    </a:xfrm>
                    <a:prstGeom prst="rect">
                      <a:avLst/>
                    </a:prstGeom>
                    <a:ln>
                      <a:noFill/>
                    </a:ln>
                    <a:extLst>
                      <a:ext uri="{53640926-AAD7-44D8-BBD7-CCE9431645EC}">
                        <a14:shadowObscured xmlns:a14="http://schemas.microsoft.com/office/drawing/2010/main"/>
                      </a:ext>
                    </a:extLst>
                  </pic:spPr>
                </pic:pic>
              </a:graphicData>
            </a:graphic>
          </wp:inline>
        </w:drawing>
      </w:r>
    </w:p>
    <w:p w14:paraId="3522BD93" w14:textId="77777777" w:rsidR="00943C29" w:rsidRPr="003F4289" w:rsidRDefault="00943C29" w:rsidP="00301650">
      <w:pPr>
        <w:spacing w:line="240" w:lineRule="auto"/>
        <w:jc w:val="both"/>
        <w:rPr>
          <w:rFonts w:asciiTheme="majorBidi" w:hAnsiTheme="majorBidi" w:cstheme="majorBidi"/>
        </w:rPr>
        <w:sectPr w:rsidR="00943C29" w:rsidRPr="003F4289" w:rsidSect="00353CB8">
          <w:pgSz w:w="15840" w:h="12240" w:orient="landscape"/>
          <w:pgMar w:top="630" w:right="1440" w:bottom="1440" w:left="1440" w:header="720" w:footer="720" w:gutter="0"/>
          <w:cols w:space="720"/>
          <w:docGrid w:linePitch="360"/>
        </w:sectPr>
      </w:pPr>
    </w:p>
    <w:p w14:paraId="499B59F2" w14:textId="0B0D74DA" w:rsidR="00301650" w:rsidRPr="003F4289" w:rsidRDefault="00301650" w:rsidP="00301650">
      <w:pPr>
        <w:spacing w:after="0" w:line="240" w:lineRule="auto"/>
        <w:ind w:firstLine="360"/>
        <w:jc w:val="both"/>
        <w:rPr>
          <w:rFonts w:asciiTheme="majorBidi" w:hAnsiTheme="majorBidi" w:cstheme="majorBidi"/>
        </w:rPr>
      </w:pPr>
      <w:r w:rsidRPr="003F4289">
        <w:rPr>
          <w:rStyle w:val="Strong"/>
          <w:rFonts w:asciiTheme="majorBidi" w:hAnsiTheme="majorBidi" w:cstheme="majorBidi"/>
        </w:rPr>
        <w:t>Figure S23.</w:t>
      </w:r>
      <w:r w:rsidRPr="003F4289">
        <w:rPr>
          <w:rFonts w:asciiTheme="majorBidi" w:hAnsiTheme="majorBidi" w:cstheme="majorBidi"/>
        </w:rPr>
        <w:t xml:space="preserve"> Correlation of the Jurassic–Cretaceous boundary interval among key Tethyan pelagic sections from northern Italy used by the Berriasian Working Group for evaluation of candidate Global Boundary Stratotype Section and Point (GSSP) sections. </w:t>
      </w:r>
      <w:r w:rsidRPr="003F4289">
        <w:rPr>
          <w:rStyle w:val="Strong"/>
          <w:rFonts w:asciiTheme="majorBidi" w:hAnsiTheme="majorBidi" w:cstheme="majorBidi"/>
        </w:rPr>
        <w:t>Upper panels:</w:t>
      </w:r>
      <w:r w:rsidRPr="003F4289">
        <w:rPr>
          <w:rFonts w:asciiTheme="majorBidi" w:hAnsiTheme="majorBidi" w:cstheme="majorBidi"/>
        </w:rPr>
        <w:t xml:space="preserve"> (left) Chronostratigraphic framework of the Lombardian Basin, Trento Plateau, and Belluno Trough, illustrating the principal lithostratigraphic units spanning the Callovian–Berriasian; (right) Late Jurassic paleogeographic reconstruction showing the location of the Italian sections within the western Tethys. </w:t>
      </w:r>
      <w:r w:rsidRPr="003F4289">
        <w:rPr>
          <w:rStyle w:val="Strong"/>
          <w:rFonts w:asciiTheme="majorBidi" w:hAnsiTheme="majorBidi" w:cstheme="majorBidi"/>
        </w:rPr>
        <w:t>Lower panels:</w:t>
      </w:r>
      <w:r w:rsidRPr="003F4289">
        <w:rPr>
          <w:rFonts w:asciiTheme="majorBidi" w:hAnsiTheme="majorBidi" w:cstheme="majorBidi"/>
        </w:rPr>
        <w:t xml:space="preserve"> Integrated lithostratigraphic, magnetostratigraphic, calcareous nannofossil, calpionellid, and carbon-isotope records from the Torre de' Busi, Monte Pernice, Colme di Vignola, Foza (A and B), and Frisoni 1 sections. The yellow horizontal line marks the position of the Jurassic–Cretaceous boundary adopted by the Berriasian Working Group (Option 2), placed close to the base of the </w:t>
      </w:r>
      <w:r w:rsidRPr="003F4289">
        <w:rPr>
          <w:rStyle w:val="Emphasis"/>
          <w:rFonts w:asciiTheme="majorBidi" w:hAnsiTheme="majorBidi" w:cstheme="majorBidi"/>
        </w:rPr>
        <w:t>Calpionella alpina</w:t>
      </w:r>
      <w:r w:rsidRPr="003F4289">
        <w:rPr>
          <w:rFonts w:asciiTheme="majorBidi" w:hAnsiTheme="majorBidi" w:cstheme="majorBidi"/>
        </w:rPr>
        <w:t xml:space="preserve"> Subzone and within magnetosubchron M19n.2n. These reference successions provide the principal biostratigraphic and magnetostratigraphic framework used to calibrate the first appearance of </w:t>
      </w:r>
      <w:r w:rsidRPr="003F4289">
        <w:rPr>
          <w:rStyle w:val="Emphasis"/>
          <w:rFonts w:asciiTheme="majorBidi" w:hAnsiTheme="majorBidi" w:cstheme="majorBidi"/>
        </w:rPr>
        <w:t>Nannoconus wintereri</w:t>
      </w:r>
      <w:r w:rsidRPr="003F4289">
        <w:rPr>
          <w:rFonts w:asciiTheme="majorBidi" w:hAnsiTheme="majorBidi" w:cstheme="majorBidi"/>
        </w:rPr>
        <w:t xml:space="preserve"> and correlate the boundary to the BH-02 astrochronological framework developed in this study.</w:t>
      </w:r>
    </w:p>
    <w:p w14:paraId="67743473" w14:textId="77777777" w:rsidR="00301650" w:rsidRPr="003F4289" w:rsidRDefault="00301650" w:rsidP="00301650">
      <w:pPr>
        <w:spacing w:after="0" w:line="240" w:lineRule="auto"/>
        <w:ind w:firstLine="360"/>
        <w:jc w:val="both"/>
        <w:rPr>
          <w:rFonts w:asciiTheme="majorBidi" w:hAnsiTheme="majorBidi" w:cstheme="majorBidi"/>
        </w:rPr>
      </w:pPr>
    </w:p>
    <w:p w14:paraId="32747523" w14:textId="77777777" w:rsidR="00984A16" w:rsidRPr="003F4289" w:rsidRDefault="00984A16" w:rsidP="00301650">
      <w:pPr>
        <w:spacing w:line="240" w:lineRule="auto"/>
        <w:jc w:val="center"/>
        <w:rPr>
          <w:rFonts w:asciiTheme="majorBidi" w:hAnsiTheme="majorBidi" w:cstheme="majorBidi"/>
          <w:lang w:val="en-US"/>
        </w:rPr>
      </w:pPr>
      <w:r w:rsidRPr="003F4289">
        <w:rPr>
          <w:rFonts w:asciiTheme="majorBidi" w:hAnsiTheme="majorBidi" w:cstheme="majorBidi"/>
          <w:noProof/>
          <w:lang w:val="en-US"/>
        </w:rPr>
        <w:drawing>
          <wp:inline distT="0" distB="0" distL="0" distR="0" wp14:anchorId="037769DD" wp14:editId="047D3A47">
            <wp:extent cx="4583286" cy="5538934"/>
            <wp:effectExtent l="0" t="0" r="8255" b="5080"/>
            <wp:docPr id="39" name="Picture 39" descr="F:\Jurassic cretaceous\Nature figures\Ital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Jurassic cretaceous\Nature figures\Italy.png"/>
                    <pic:cNvPicPr>
                      <a:picLocks noChangeAspect="1" noChangeArrowheads="1"/>
                    </pic:cNvPicPr>
                  </pic:nvPicPr>
                  <pic:blipFill>
                    <a:blip r:embed="rId31" cstate="hqprint">
                      <a:extLst>
                        <a:ext uri="{28A0092B-C50C-407E-A947-70E740481C1C}">
                          <a14:useLocalDpi xmlns:a14="http://schemas.microsoft.com/office/drawing/2010/main" val="0"/>
                        </a:ext>
                      </a:extLst>
                    </a:blip>
                    <a:srcRect/>
                    <a:stretch>
                      <a:fillRect/>
                    </a:stretch>
                  </pic:blipFill>
                  <pic:spPr bwMode="auto">
                    <a:xfrm>
                      <a:off x="0" y="0"/>
                      <a:ext cx="4598795" cy="5557676"/>
                    </a:xfrm>
                    <a:prstGeom prst="rect">
                      <a:avLst/>
                    </a:prstGeom>
                    <a:noFill/>
                    <a:ln>
                      <a:noFill/>
                    </a:ln>
                  </pic:spPr>
                </pic:pic>
              </a:graphicData>
            </a:graphic>
          </wp:inline>
        </w:drawing>
      </w:r>
    </w:p>
    <w:p w14:paraId="38BE9C1A" w14:textId="23E068AF" w:rsidR="00984A16" w:rsidRPr="003F4289" w:rsidRDefault="00984A16" w:rsidP="00301650">
      <w:pPr>
        <w:spacing w:line="240" w:lineRule="auto"/>
        <w:jc w:val="both"/>
        <w:rPr>
          <w:rFonts w:asciiTheme="majorBidi" w:hAnsiTheme="majorBidi" w:cstheme="majorBidi"/>
        </w:rPr>
      </w:pPr>
      <w:r w:rsidRPr="003F4289">
        <w:rPr>
          <w:rStyle w:val="Strong"/>
          <w:rFonts w:asciiTheme="majorBidi" w:hAnsiTheme="majorBidi" w:cstheme="majorBidi"/>
        </w:rPr>
        <w:t xml:space="preserve">Figure </w:t>
      </w:r>
      <w:r w:rsidR="00301650" w:rsidRPr="003F4289">
        <w:rPr>
          <w:rStyle w:val="Strong"/>
          <w:rFonts w:asciiTheme="majorBidi" w:hAnsiTheme="majorBidi" w:cstheme="majorBidi"/>
        </w:rPr>
        <w:t>S24</w:t>
      </w:r>
      <w:r w:rsidRPr="003F4289">
        <w:rPr>
          <w:rStyle w:val="Strong"/>
          <w:rFonts w:asciiTheme="majorBidi" w:hAnsiTheme="majorBidi" w:cstheme="majorBidi"/>
        </w:rPr>
        <w:t>.</w:t>
      </w:r>
      <w:r w:rsidRPr="003F4289">
        <w:rPr>
          <w:rFonts w:asciiTheme="majorBidi" w:hAnsiTheme="majorBidi" w:cstheme="majorBidi"/>
        </w:rPr>
        <w:t xml:space="preserve"> Carbonate production and calcareous nannofossil evolution across the Jurassic–Cretaceous transition in the </w:t>
      </w:r>
      <w:r w:rsidRPr="003F4289">
        <w:rPr>
          <w:rStyle w:val="Strong"/>
          <w:rFonts w:asciiTheme="majorBidi" w:hAnsiTheme="majorBidi" w:cstheme="majorBidi"/>
        </w:rPr>
        <w:t>Brodno section, Italy (North Tethys)</w:t>
      </w:r>
      <w:r w:rsidRPr="003F4289">
        <w:rPr>
          <w:rFonts w:asciiTheme="majorBidi" w:hAnsiTheme="majorBidi" w:cstheme="majorBidi"/>
        </w:rPr>
        <w:t>. Shown are lithology, magnetostratigraphy, calpionellid and calcareous nannofossil biostratigraphy, relative contributions of the principal nannofossil groups to calcite production (</w:t>
      </w:r>
      <w:r w:rsidRPr="003F4289">
        <w:rPr>
          <w:rStyle w:val="Emphasis"/>
          <w:rFonts w:asciiTheme="majorBidi" w:hAnsiTheme="majorBidi" w:cstheme="majorBidi"/>
        </w:rPr>
        <w:t>Watznaueria</w:t>
      </w:r>
      <w:r w:rsidRPr="003F4289">
        <w:rPr>
          <w:rFonts w:asciiTheme="majorBidi" w:hAnsiTheme="majorBidi" w:cstheme="majorBidi"/>
        </w:rPr>
        <w:t xml:space="preserve"> + </w:t>
      </w:r>
      <w:r w:rsidRPr="003F4289">
        <w:rPr>
          <w:rStyle w:val="Emphasis"/>
          <w:rFonts w:asciiTheme="majorBidi" w:hAnsiTheme="majorBidi" w:cstheme="majorBidi"/>
        </w:rPr>
        <w:t>Cyclagelosphaera</w:t>
      </w:r>
      <w:r w:rsidRPr="003F4289">
        <w:rPr>
          <w:rFonts w:asciiTheme="majorBidi" w:hAnsiTheme="majorBidi" w:cstheme="majorBidi"/>
        </w:rPr>
        <w:t xml:space="preserve">, </w:t>
      </w:r>
      <w:r w:rsidRPr="003F4289">
        <w:rPr>
          <w:rStyle w:val="Emphasis"/>
          <w:rFonts w:asciiTheme="majorBidi" w:hAnsiTheme="majorBidi" w:cstheme="majorBidi"/>
        </w:rPr>
        <w:t>Conusphaera</w:t>
      </w:r>
      <w:r w:rsidRPr="003F4289">
        <w:rPr>
          <w:rFonts w:asciiTheme="majorBidi" w:hAnsiTheme="majorBidi" w:cstheme="majorBidi"/>
        </w:rPr>
        <w:t xml:space="preserve">, </w:t>
      </w:r>
      <w:r w:rsidRPr="003F4289">
        <w:rPr>
          <w:rStyle w:val="Emphasis"/>
          <w:rFonts w:asciiTheme="majorBidi" w:hAnsiTheme="majorBidi" w:cstheme="majorBidi"/>
        </w:rPr>
        <w:t>Polycostella</w:t>
      </w:r>
      <w:r w:rsidRPr="003F4289">
        <w:rPr>
          <w:rFonts w:asciiTheme="majorBidi" w:hAnsiTheme="majorBidi" w:cstheme="majorBidi"/>
        </w:rPr>
        <w:t xml:space="preserve">, and </w:t>
      </w:r>
      <w:r w:rsidRPr="003F4289">
        <w:rPr>
          <w:rStyle w:val="Emphasis"/>
          <w:rFonts w:asciiTheme="majorBidi" w:hAnsiTheme="majorBidi" w:cstheme="majorBidi"/>
        </w:rPr>
        <w:t>Nannoconus</w:t>
      </w:r>
      <w:r w:rsidRPr="003F4289">
        <w:rPr>
          <w:rFonts w:asciiTheme="majorBidi" w:hAnsiTheme="majorBidi" w:cstheme="majorBidi"/>
        </w:rPr>
        <w:t xml:space="preserve">), cumulative biogenic calcite fluxes, positions of the negative carbon-isotope excursions (NCE I, NCE IIA and NCE IIB), and carbonate content. The first occurrence (FO) of </w:t>
      </w:r>
      <w:r w:rsidRPr="003F4289">
        <w:rPr>
          <w:rStyle w:val="Emphasis"/>
          <w:rFonts w:asciiTheme="majorBidi" w:hAnsiTheme="majorBidi" w:cstheme="majorBidi"/>
        </w:rPr>
        <w:t>Conusphaera mexicana mexicana</w:t>
      </w:r>
      <w:r w:rsidRPr="003F4289">
        <w:rPr>
          <w:rFonts w:asciiTheme="majorBidi" w:hAnsiTheme="majorBidi" w:cstheme="majorBidi"/>
        </w:rPr>
        <w:t xml:space="preserve"> coincides closely with </w:t>
      </w:r>
      <w:r w:rsidRPr="003F4289">
        <w:rPr>
          <w:rStyle w:val="Strong"/>
          <w:rFonts w:asciiTheme="majorBidi" w:hAnsiTheme="majorBidi" w:cstheme="majorBidi"/>
        </w:rPr>
        <w:t>NCE I</w:t>
      </w:r>
      <w:r w:rsidRPr="003F4289">
        <w:rPr>
          <w:rFonts w:asciiTheme="majorBidi" w:hAnsiTheme="majorBidi" w:cstheme="majorBidi"/>
        </w:rPr>
        <w:t xml:space="preserve">, where carbonate content increases abruptly from </w:t>
      </w:r>
      <w:r w:rsidRPr="003F4289">
        <w:rPr>
          <w:rStyle w:val="Strong"/>
          <w:rFonts w:asciiTheme="majorBidi" w:hAnsiTheme="majorBidi" w:cstheme="majorBidi"/>
        </w:rPr>
        <w:t>&lt;20% to &gt;60%</w:t>
      </w:r>
      <w:r w:rsidRPr="003F4289">
        <w:rPr>
          <w:rFonts w:asciiTheme="majorBidi" w:hAnsiTheme="majorBidi" w:cstheme="majorBidi"/>
        </w:rPr>
        <w:t xml:space="preserve">, marking the onset of widespread carbonate deposition in the Tethyan realm. This lithological shift is accompanied by a sharp increase in biogenic calcite production and the appearance of heavily calcified nannofossil taxa, indicating that the onset of the calcification events was closely linked to the regional transition from mixed siliciclastic–carbonate sedimentation to carbonate-dominated deposition during the latest Tithonian. The subsequent expansion of </w:t>
      </w:r>
      <w:r w:rsidRPr="003F4289">
        <w:rPr>
          <w:rStyle w:val="Emphasis"/>
          <w:rFonts w:asciiTheme="majorBidi" w:hAnsiTheme="majorBidi" w:cstheme="majorBidi"/>
        </w:rPr>
        <w:t>Nannoconus</w:t>
      </w:r>
      <w:r w:rsidRPr="003F4289">
        <w:rPr>
          <w:rFonts w:asciiTheme="majorBidi" w:hAnsiTheme="majorBidi" w:cstheme="majorBidi"/>
        </w:rPr>
        <w:t xml:space="preserve"> in the early Berriasian further reflects the continued development of oligotrophic, carbonate-producing conditions across the Tethys.</w:t>
      </w:r>
    </w:p>
    <w:p w14:paraId="351885C0" w14:textId="7935C2AA" w:rsidR="00984A16" w:rsidRPr="003F4289" w:rsidRDefault="00984A16" w:rsidP="00301650">
      <w:pPr>
        <w:spacing w:line="240" w:lineRule="auto"/>
        <w:jc w:val="both"/>
        <w:rPr>
          <w:rFonts w:asciiTheme="majorBidi" w:hAnsiTheme="majorBidi" w:cstheme="majorBidi"/>
          <w:b/>
          <w:bCs/>
        </w:rPr>
      </w:pPr>
    </w:p>
    <w:p w14:paraId="6B8D113D" w14:textId="160B92E2" w:rsidR="008A72D2" w:rsidRPr="003F4289" w:rsidRDefault="008A72D2" w:rsidP="00301650">
      <w:pPr>
        <w:spacing w:line="240" w:lineRule="auto"/>
        <w:jc w:val="both"/>
        <w:rPr>
          <w:rFonts w:asciiTheme="majorBidi" w:hAnsiTheme="majorBidi" w:cstheme="majorBidi"/>
          <w:lang w:val="en-US"/>
        </w:rPr>
      </w:pPr>
      <w:r w:rsidRPr="003F4289">
        <w:rPr>
          <w:rFonts w:asciiTheme="majorBidi" w:hAnsiTheme="majorBidi" w:cstheme="majorBidi"/>
          <w:noProof/>
          <w:lang w:val="en-US"/>
          <w14:ligatures w14:val="none"/>
        </w:rPr>
        <w:drawing>
          <wp:inline distT="0" distB="0" distL="0" distR="0" wp14:anchorId="32B3E180" wp14:editId="39DEB096">
            <wp:extent cx="5943600" cy="44621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Nature summary.png"/>
                    <pic:cNvPicPr/>
                  </pic:nvPicPr>
                  <pic:blipFill>
                    <a:blip r:embed="rId32" cstate="hqprint">
                      <a:extLst>
                        <a:ext uri="{28A0092B-C50C-407E-A947-70E740481C1C}">
                          <a14:useLocalDpi xmlns:a14="http://schemas.microsoft.com/office/drawing/2010/main" val="0"/>
                        </a:ext>
                      </a:extLst>
                    </a:blip>
                    <a:stretch>
                      <a:fillRect/>
                    </a:stretch>
                  </pic:blipFill>
                  <pic:spPr>
                    <a:xfrm>
                      <a:off x="0" y="0"/>
                      <a:ext cx="5943600" cy="4462145"/>
                    </a:xfrm>
                    <a:prstGeom prst="rect">
                      <a:avLst/>
                    </a:prstGeom>
                  </pic:spPr>
                </pic:pic>
              </a:graphicData>
            </a:graphic>
          </wp:inline>
        </w:drawing>
      </w:r>
    </w:p>
    <w:p w14:paraId="335A7547" w14:textId="50CC6D2C" w:rsidR="00EC2F6A" w:rsidRPr="003F4289" w:rsidRDefault="00301650" w:rsidP="00301650">
      <w:pPr>
        <w:pStyle w:val="pdq2pgselectionanchorcontainer"/>
        <w:jc w:val="both"/>
        <w:rPr>
          <w:rFonts w:asciiTheme="majorBidi" w:hAnsiTheme="majorBidi" w:cstheme="majorBidi"/>
          <w:sz w:val="22"/>
          <w:szCs w:val="22"/>
        </w:rPr>
      </w:pPr>
      <w:r w:rsidRPr="003F4289">
        <w:rPr>
          <w:rStyle w:val="Strong"/>
          <w:rFonts w:asciiTheme="majorBidi" w:hAnsiTheme="majorBidi" w:cstheme="majorBidi"/>
          <w:sz w:val="22"/>
          <w:szCs w:val="22"/>
        </w:rPr>
        <w:t xml:space="preserve"> Figure 25</w:t>
      </w:r>
      <w:r w:rsidR="00EC2F6A" w:rsidRPr="003F4289">
        <w:rPr>
          <w:rStyle w:val="Strong"/>
          <w:rFonts w:asciiTheme="majorBidi" w:hAnsiTheme="majorBidi" w:cstheme="majorBidi"/>
          <w:sz w:val="22"/>
          <w:szCs w:val="22"/>
        </w:rPr>
        <w:t>.</w:t>
      </w:r>
      <w:r w:rsidR="00EC2F6A" w:rsidRPr="003F4289">
        <w:rPr>
          <w:rFonts w:asciiTheme="majorBidi" w:hAnsiTheme="majorBidi" w:cstheme="majorBidi"/>
          <w:sz w:val="22"/>
          <w:szCs w:val="22"/>
        </w:rPr>
        <w:t xml:space="preserve"> Integrated overview of major paleoenvironmental, geochemical, and biotic changes across the Tithonian–Berriasian interval. Shown are the astronomically calibrated age model, calcareous nannofossil biozonation, long-eccentricity cycles, major magmatic events, bulk-rock δ¹³C record, marine ^87Sr/^86Sr ratios, evolutionary trends of calcareous nannofossils, and marine animal diversity. The carbon-isotope record is characterized by a gradual recovery following the Early Tithonian carbon-isotope excursion (CIE), followed by two negative carbon-isotope excursions (NCE I and NCE II) during the latest Tithonian–earliest Berriasian. The Jurassic–Cretaceous boundary (143.1 Ma) is positioned approximately midway through NCE II, emphasizing that the carbon-cycle perturbation represents a prolonged interval of environmental change rather than a discrete boundary event. The two major nannofossil calcification events closely coincide with NCE I and NCE II, indicating a close temporal relationship between carbon-cycle perturbations and enhanced carbonate production.</w:t>
      </w:r>
    </w:p>
    <w:p w14:paraId="3051F471" w14:textId="77777777" w:rsidR="00EC2F6A" w:rsidRPr="003F4289" w:rsidRDefault="00EC2F6A" w:rsidP="00301650">
      <w:pPr>
        <w:pStyle w:val="NormalWeb"/>
        <w:jc w:val="both"/>
        <w:rPr>
          <w:rFonts w:asciiTheme="majorBidi" w:hAnsiTheme="majorBidi" w:cstheme="majorBidi"/>
          <w:sz w:val="22"/>
          <w:szCs w:val="22"/>
        </w:rPr>
      </w:pPr>
      <w:r w:rsidRPr="003F4289">
        <w:rPr>
          <w:rFonts w:asciiTheme="majorBidi" w:hAnsiTheme="majorBidi" w:cstheme="majorBidi"/>
          <w:sz w:val="22"/>
          <w:szCs w:val="22"/>
        </w:rPr>
        <w:t>The marine ^87Sr/^86Sr curve shows relatively low values throughout the Tithonian, consistent with reduced continental weathering and runoff under predominantly arid climatic conditions. A progressive increase in ^87Sr/^86Sr through the Berriasian reflects intensified continental weathering and greater fluvial input associated with increasingly humid conditions.</w:t>
      </w:r>
    </w:p>
    <w:p w14:paraId="531B701C" w14:textId="77777777" w:rsidR="00EC2F6A" w:rsidRPr="003F4289" w:rsidRDefault="00EC2F6A" w:rsidP="00301650">
      <w:pPr>
        <w:pStyle w:val="NormalWeb"/>
        <w:jc w:val="both"/>
        <w:rPr>
          <w:rFonts w:asciiTheme="majorBidi" w:hAnsiTheme="majorBidi" w:cstheme="majorBidi"/>
          <w:sz w:val="22"/>
          <w:szCs w:val="22"/>
        </w:rPr>
      </w:pPr>
      <w:r w:rsidRPr="003F4289">
        <w:rPr>
          <w:rFonts w:asciiTheme="majorBidi" w:hAnsiTheme="majorBidi" w:cstheme="majorBidi"/>
          <w:sz w:val="22"/>
          <w:szCs w:val="22"/>
        </w:rPr>
        <w:t>Marine biodiversity records indicate a gradual decline in both taxonomic diversity and fossil occurrences across the Jurassic–Cretaceous transition, without an abrupt extinction or major turnover at the boundary itself. Together, these records support the interpretation that the Jurassic–Cretaceous transition represents a prolonged Earth-system reorganization involving progressive climatic cooling, changes in continental weathering, carbon-cycle perturbations, and enhanced carbonate production rather than a single catastrophic event.</w:t>
      </w:r>
    </w:p>
    <w:p w14:paraId="00F2B85D" w14:textId="77777777" w:rsidR="00EF5AFF" w:rsidRPr="003F4289" w:rsidRDefault="00561CEB" w:rsidP="00301650">
      <w:pPr>
        <w:spacing w:line="240" w:lineRule="auto"/>
        <w:jc w:val="both"/>
        <w:rPr>
          <w:rFonts w:asciiTheme="majorBidi" w:hAnsiTheme="majorBidi" w:cstheme="majorBidi"/>
          <w:lang w:val="en-US"/>
        </w:rPr>
      </w:pPr>
      <w:r w:rsidRPr="003F4289">
        <w:rPr>
          <w:rFonts w:asciiTheme="majorBidi" w:hAnsiTheme="majorBidi" w:cstheme="majorBidi"/>
          <w:noProof/>
          <w:lang w:val="en-US"/>
          <w14:ligatures w14:val="none"/>
        </w:rPr>
        <w:drawing>
          <wp:inline distT="0" distB="0" distL="0" distR="0" wp14:anchorId="2F29301A" wp14:editId="5A272578">
            <wp:extent cx="5943600" cy="441833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11 Figure carbon.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4418330"/>
                    </a:xfrm>
                    <a:prstGeom prst="rect">
                      <a:avLst/>
                    </a:prstGeom>
                  </pic:spPr>
                </pic:pic>
              </a:graphicData>
            </a:graphic>
          </wp:inline>
        </w:drawing>
      </w:r>
    </w:p>
    <w:p w14:paraId="20BC0CEA" w14:textId="5AC1A632" w:rsidR="00EA336C" w:rsidRPr="003F4289" w:rsidRDefault="00EA336C" w:rsidP="00301650">
      <w:pPr>
        <w:pStyle w:val="NormalWeb"/>
        <w:jc w:val="both"/>
        <w:rPr>
          <w:rFonts w:asciiTheme="majorBidi" w:hAnsiTheme="majorBidi" w:cstheme="majorBidi"/>
          <w:sz w:val="22"/>
          <w:szCs w:val="22"/>
        </w:rPr>
      </w:pPr>
      <w:r w:rsidRPr="003F4289">
        <w:rPr>
          <w:rStyle w:val="Strong"/>
          <w:rFonts w:asciiTheme="majorBidi" w:hAnsiTheme="majorBidi" w:cstheme="majorBidi"/>
          <w:sz w:val="22"/>
          <w:szCs w:val="22"/>
        </w:rPr>
        <w:t xml:space="preserve">Figure </w:t>
      </w:r>
      <w:r w:rsidR="00AC6B2A" w:rsidRPr="003F4289">
        <w:rPr>
          <w:rStyle w:val="Strong"/>
          <w:rFonts w:asciiTheme="majorBidi" w:hAnsiTheme="majorBidi" w:cstheme="majorBidi"/>
          <w:sz w:val="22"/>
          <w:szCs w:val="22"/>
        </w:rPr>
        <w:t>S26</w:t>
      </w:r>
      <w:r w:rsidRPr="003F4289">
        <w:rPr>
          <w:rStyle w:val="Strong"/>
          <w:rFonts w:asciiTheme="majorBidi" w:hAnsiTheme="majorBidi" w:cstheme="majorBidi"/>
          <w:sz w:val="22"/>
          <w:szCs w:val="22"/>
        </w:rPr>
        <w:t>.</w:t>
      </w:r>
      <w:r w:rsidRPr="003F4289">
        <w:rPr>
          <w:rFonts w:asciiTheme="majorBidi" w:hAnsiTheme="majorBidi" w:cstheme="majorBidi"/>
          <w:sz w:val="22"/>
          <w:szCs w:val="22"/>
        </w:rPr>
        <w:t xml:space="preserve"> Comparison of carbon-isotope records across the Jurassic–Cretaceous transition from the Tethyan and Boreal realms, the global δ¹³C compilation, and the astronomically calibrated δ¹³C record from the BH-02 core (Saudi Arabia). Shown are the Tethyan composite δ¹³C curve, the Boreal composite from Svalbard, the global marine δ¹³C stack, and the Saudi Arabian bulk-rock δ¹³C record, all plotted against the Geologic Time Scale 2020. The Saudi Arabian δ¹³C record closely resembles the composite Tethyan curve, reproducing the major long-term carbon-isotope evolution from the Early Tithonian to the Berriasian. In particular, it records the Early Tithonian carbon-isotope excursion (CIE), followed by three successive negative carbon-isotope shifts during the latest Tithonian–earliest Berriasian, with the second shift (NCE II) spanning the Jurassic–Cretaceous boundary (143.1 Ma). These characteristic negative excursions provide a robust framework for correlation throughout the Tethyan realm. In contrast to Boreal records, the Saudi Arabian succession shows </w:t>
      </w:r>
      <w:r w:rsidRPr="003F4289">
        <w:rPr>
          <w:rStyle w:val="Strong"/>
          <w:rFonts w:asciiTheme="majorBidi" w:hAnsiTheme="majorBidi" w:cstheme="majorBidi"/>
          <w:sz w:val="22"/>
          <w:szCs w:val="22"/>
        </w:rPr>
        <w:t>no evidence for the Volgian Isotopic Carbon Excursion (VOICE)</w:t>
      </w:r>
      <w:r w:rsidRPr="003F4289">
        <w:rPr>
          <w:rFonts w:asciiTheme="majorBidi" w:hAnsiTheme="majorBidi" w:cstheme="majorBidi"/>
          <w:sz w:val="22"/>
          <w:szCs w:val="22"/>
        </w:rPr>
        <w:t>, supporting previous interpretations that the VOICE represents a regional Boreal carbon-cycle perturbation rather than a global event. The close correspondence between the Saudi Arabian and Tethyan composite curves confirms that the BH-02 core faithfully records the evolution of the low-latitude Tethyan carbon cycle and provides an excellent reference section for correlation across the Jurassic–Cretaceous transition.</w:t>
      </w:r>
    </w:p>
    <w:p w14:paraId="5BCA9265" w14:textId="4B3FE330" w:rsidR="008070D9" w:rsidRPr="003F4289" w:rsidRDefault="008070D9" w:rsidP="00301650">
      <w:pPr>
        <w:spacing w:line="240" w:lineRule="auto"/>
        <w:jc w:val="both"/>
        <w:rPr>
          <w:rFonts w:asciiTheme="majorBidi" w:hAnsiTheme="majorBidi" w:cstheme="majorBidi"/>
        </w:rPr>
      </w:pPr>
    </w:p>
    <w:p w14:paraId="377B4513" w14:textId="65326A13" w:rsidR="006C3645" w:rsidRPr="003F4289" w:rsidRDefault="006C3645" w:rsidP="00301650">
      <w:pPr>
        <w:spacing w:line="240" w:lineRule="auto"/>
        <w:jc w:val="both"/>
        <w:rPr>
          <w:rFonts w:asciiTheme="majorBidi" w:hAnsiTheme="majorBidi" w:cstheme="majorBidi"/>
          <w:lang w:val="en-US"/>
        </w:rPr>
        <w:sectPr w:rsidR="006C3645" w:rsidRPr="003F4289">
          <w:pgSz w:w="12240" w:h="15840"/>
          <w:pgMar w:top="1440" w:right="1440" w:bottom="1440" w:left="1440" w:header="720" w:footer="720" w:gutter="0"/>
          <w:cols w:space="720"/>
          <w:docGrid w:linePitch="360"/>
        </w:sectPr>
      </w:pPr>
    </w:p>
    <w:p w14:paraId="055F1A8A" w14:textId="77777777" w:rsidR="001764C8" w:rsidRPr="003F4289" w:rsidRDefault="001764C8" w:rsidP="00301650">
      <w:pPr>
        <w:spacing w:line="240" w:lineRule="auto"/>
        <w:jc w:val="both"/>
        <w:rPr>
          <w:rFonts w:asciiTheme="majorBidi" w:hAnsiTheme="majorBidi" w:cstheme="majorBidi"/>
          <w:lang w:val="en-US"/>
        </w:rPr>
      </w:pPr>
      <w:r w:rsidRPr="003F4289">
        <w:rPr>
          <w:rFonts w:asciiTheme="majorBidi" w:hAnsiTheme="majorBidi" w:cstheme="majorBidi"/>
          <w:noProof/>
          <w:lang w:val="en-US"/>
        </w:rPr>
        <w:drawing>
          <wp:inline distT="0" distB="0" distL="0" distR="0" wp14:anchorId="6B002576" wp14:editId="7FAA12F4">
            <wp:extent cx="8217764" cy="4110567"/>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6.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230501" cy="4116938"/>
                    </a:xfrm>
                    <a:prstGeom prst="rect">
                      <a:avLst/>
                    </a:prstGeom>
                  </pic:spPr>
                </pic:pic>
              </a:graphicData>
            </a:graphic>
          </wp:inline>
        </w:drawing>
      </w:r>
    </w:p>
    <w:p w14:paraId="2C89DE8D" w14:textId="77777777" w:rsidR="001764C8" w:rsidRPr="003F4289" w:rsidRDefault="001764C8" w:rsidP="00301650">
      <w:pPr>
        <w:spacing w:line="240" w:lineRule="auto"/>
        <w:jc w:val="both"/>
        <w:rPr>
          <w:rFonts w:asciiTheme="majorBidi" w:hAnsiTheme="majorBidi" w:cstheme="majorBidi"/>
          <w:lang w:val="en-US"/>
        </w:rPr>
      </w:pPr>
    </w:p>
    <w:p w14:paraId="402B8676" w14:textId="77777777" w:rsidR="001764C8" w:rsidRPr="003F4289" w:rsidRDefault="001764C8" w:rsidP="00301650">
      <w:pPr>
        <w:spacing w:line="240" w:lineRule="auto"/>
        <w:jc w:val="both"/>
        <w:rPr>
          <w:rFonts w:asciiTheme="majorBidi" w:hAnsiTheme="majorBidi" w:cstheme="majorBidi"/>
          <w:lang w:val="en-US"/>
        </w:rPr>
        <w:sectPr w:rsidR="001764C8" w:rsidRPr="003F4289" w:rsidSect="001764C8">
          <w:pgSz w:w="15840" w:h="12240" w:orient="landscape"/>
          <w:pgMar w:top="1440" w:right="1440" w:bottom="1440" w:left="1440" w:header="720" w:footer="720" w:gutter="0"/>
          <w:cols w:space="720"/>
          <w:docGrid w:linePitch="360"/>
        </w:sectPr>
      </w:pPr>
    </w:p>
    <w:p w14:paraId="60D24265" w14:textId="6068764E" w:rsidR="001764C8" w:rsidRPr="003F4289" w:rsidRDefault="00AC6B2A" w:rsidP="00301650">
      <w:pPr>
        <w:pStyle w:val="NormalWeb"/>
        <w:jc w:val="both"/>
        <w:rPr>
          <w:rFonts w:asciiTheme="majorBidi" w:hAnsiTheme="majorBidi" w:cstheme="majorBidi"/>
          <w:color w:val="000000"/>
          <w:sz w:val="22"/>
          <w:szCs w:val="22"/>
        </w:rPr>
      </w:pPr>
      <w:r w:rsidRPr="003F4289">
        <w:rPr>
          <w:rFonts w:asciiTheme="majorBidi" w:hAnsiTheme="majorBidi" w:cstheme="majorBidi"/>
          <w:b/>
          <w:bCs/>
          <w:i/>
          <w:iCs/>
          <w:sz w:val="22"/>
          <w:szCs w:val="22"/>
        </w:rPr>
        <w:t>Figure S27</w:t>
      </w:r>
      <w:r w:rsidR="001764C8" w:rsidRPr="003F4289">
        <w:rPr>
          <w:rFonts w:asciiTheme="majorBidi" w:hAnsiTheme="majorBidi" w:cstheme="majorBidi"/>
          <w:b/>
          <w:bCs/>
          <w:i/>
          <w:iCs/>
          <w:sz w:val="22"/>
          <w:szCs w:val="22"/>
        </w:rPr>
        <w:t>. Integrated climatic, eustatic, biotic, and paleoceanographic evolution across the Jurassic–Cretaceous transition.</w:t>
      </w:r>
      <w:r w:rsidR="001764C8" w:rsidRPr="003F4289">
        <w:rPr>
          <w:rFonts w:asciiTheme="majorBidi" w:hAnsiTheme="majorBidi" w:cstheme="majorBidi"/>
          <w:i/>
          <w:iCs/>
          <w:sz w:val="22"/>
          <w:szCs w:val="22"/>
        </w:rPr>
        <w:t xml:space="preserve"> </w:t>
      </w:r>
      <w:r w:rsidR="001764C8" w:rsidRPr="003F4289">
        <w:rPr>
          <w:rFonts w:asciiTheme="majorBidi" w:hAnsiTheme="majorBidi" w:cstheme="majorBidi"/>
          <w:i/>
          <w:iCs/>
          <w:color w:val="27251E"/>
          <w:sz w:val="22"/>
          <w:szCs w:val="22"/>
        </w:rPr>
        <w:t xml:space="preserve">The panel summarizes changes in global mean sea level, average surface temperature, and estimated ice volume through the Late Jurassic to Early Cretaceous, highlighting the Tithonian–Berriasian interval as the phase of maximum inferred ice volume and a general long-term sea-level fall during the Tithonian. It also shows the humidity–aridity reconstruction from the northern Tethyan margin, with maximum aridity occurring near the Jurassic/Cretaceous boundary, alongside carbon-isotope records </w:t>
      </w:r>
      <w:r w:rsidR="001764C8" w:rsidRPr="003F4289">
        <w:rPr>
          <w:rStyle w:val="katex-mathml"/>
          <w:rFonts w:asciiTheme="majorBidi" w:eastAsiaTheme="majorEastAsia" w:hAnsiTheme="majorBidi" w:cstheme="majorBidi"/>
          <w:i/>
          <w:iCs/>
          <w:color w:val="27251E"/>
          <w:sz w:val="22"/>
          <w:szCs w:val="22"/>
          <w:bdr w:val="none" w:sz="0" w:space="0" w:color="auto" w:frame="1"/>
        </w:rPr>
        <w:t>δ</w:t>
      </w:r>
      <w:r w:rsidR="001764C8" w:rsidRPr="003F4289">
        <w:rPr>
          <w:rStyle w:val="katex-mathml"/>
          <w:rFonts w:asciiTheme="majorBidi" w:eastAsiaTheme="majorEastAsia" w:hAnsiTheme="majorBidi" w:cstheme="majorBidi"/>
          <w:i/>
          <w:iCs/>
          <w:color w:val="27251E"/>
          <w:sz w:val="22"/>
          <w:szCs w:val="22"/>
          <w:bdr w:val="none" w:sz="0" w:space="0" w:color="auto" w:frame="1"/>
          <w:vertAlign w:val="superscript"/>
        </w:rPr>
        <w:t>13</w:t>
      </w:r>
      <w:r w:rsidR="001764C8" w:rsidRPr="003F4289">
        <w:rPr>
          <w:rStyle w:val="katex-mathml"/>
          <w:rFonts w:asciiTheme="majorBidi" w:eastAsiaTheme="majorEastAsia" w:hAnsiTheme="majorBidi" w:cstheme="majorBidi"/>
          <w:i/>
          <w:iCs/>
          <w:color w:val="27251E"/>
          <w:sz w:val="22"/>
          <w:szCs w:val="22"/>
          <w:bdr w:val="none" w:sz="0" w:space="0" w:color="auto" w:frame="1"/>
        </w:rPr>
        <w:t>C</w:t>
      </w:r>
      <w:r w:rsidR="001764C8" w:rsidRPr="003F4289">
        <w:rPr>
          <w:rStyle w:val="katex-mathml"/>
          <w:rFonts w:asciiTheme="majorBidi" w:eastAsiaTheme="majorEastAsia" w:hAnsiTheme="majorBidi" w:cstheme="majorBidi"/>
          <w:i/>
          <w:iCs/>
          <w:color w:val="27251E"/>
          <w:sz w:val="22"/>
          <w:szCs w:val="22"/>
          <w:bdr w:val="none" w:sz="0" w:space="0" w:color="auto" w:frame="1"/>
          <w:vertAlign w:val="subscript"/>
        </w:rPr>
        <w:t>carb</w:t>
      </w:r>
      <w:r w:rsidR="001764C8" w:rsidRPr="003F4289">
        <w:rPr>
          <w:rStyle w:val="katex-mathml"/>
          <w:rFonts w:asciiTheme="majorBidi" w:eastAsiaTheme="majorEastAsia" w:hAnsiTheme="majorBidi" w:cstheme="majorBidi"/>
          <w:i/>
          <w:iCs/>
          <w:color w:val="27251E"/>
          <w:sz w:val="22"/>
          <w:szCs w:val="22"/>
          <w:bdr w:val="none" w:sz="0" w:space="0" w:color="auto" w:frame="1"/>
        </w:rPr>
        <w:t xml:space="preserve"> </w:t>
      </w:r>
      <w:r w:rsidR="001764C8" w:rsidRPr="003F4289">
        <w:rPr>
          <w:rFonts w:asciiTheme="majorBidi" w:hAnsiTheme="majorBidi" w:cstheme="majorBidi"/>
          <w:i/>
          <w:iCs/>
          <w:color w:val="27251E"/>
          <w:sz w:val="22"/>
          <w:szCs w:val="22"/>
        </w:rPr>
        <w:t xml:space="preserve">and </w:t>
      </w:r>
      <w:r w:rsidR="001764C8" w:rsidRPr="003F4289">
        <w:rPr>
          <w:rStyle w:val="katex-mathml"/>
          <w:rFonts w:asciiTheme="majorBidi" w:eastAsiaTheme="majorEastAsia" w:hAnsiTheme="majorBidi" w:cstheme="majorBidi"/>
          <w:i/>
          <w:iCs/>
          <w:color w:val="27251E"/>
          <w:sz w:val="22"/>
          <w:szCs w:val="22"/>
          <w:bdr w:val="none" w:sz="0" w:space="0" w:color="auto" w:frame="1"/>
        </w:rPr>
        <w:t>δ</w:t>
      </w:r>
      <w:r w:rsidR="001764C8" w:rsidRPr="003F4289">
        <w:rPr>
          <w:rStyle w:val="katex-mathml"/>
          <w:rFonts w:asciiTheme="majorBidi" w:eastAsiaTheme="majorEastAsia" w:hAnsiTheme="majorBidi" w:cstheme="majorBidi"/>
          <w:i/>
          <w:iCs/>
          <w:color w:val="27251E"/>
          <w:sz w:val="22"/>
          <w:szCs w:val="22"/>
          <w:bdr w:val="none" w:sz="0" w:space="0" w:color="auto" w:frame="1"/>
          <w:vertAlign w:val="superscript"/>
        </w:rPr>
        <w:t>13</w:t>
      </w:r>
      <w:r w:rsidR="001764C8" w:rsidRPr="003F4289">
        <w:rPr>
          <w:rStyle w:val="katex-mathml"/>
          <w:rFonts w:asciiTheme="majorBidi" w:eastAsiaTheme="majorEastAsia" w:hAnsiTheme="majorBidi" w:cstheme="majorBidi"/>
          <w:i/>
          <w:iCs/>
          <w:color w:val="27251E"/>
          <w:sz w:val="22"/>
          <w:szCs w:val="22"/>
          <w:bdr w:val="none" w:sz="0" w:space="0" w:color="auto" w:frame="1"/>
        </w:rPr>
        <w:t>C</w:t>
      </w:r>
      <w:r w:rsidR="001764C8" w:rsidRPr="003F4289">
        <w:rPr>
          <w:rStyle w:val="katex-mathml"/>
          <w:rFonts w:asciiTheme="majorBidi" w:eastAsiaTheme="majorEastAsia" w:hAnsiTheme="majorBidi" w:cstheme="majorBidi"/>
          <w:i/>
          <w:iCs/>
          <w:color w:val="27251E"/>
          <w:sz w:val="22"/>
          <w:szCs w:val="22"/>
          <w:bdr w:val="none" w:sz="0" w:space="0" w:color="auto" w:frame="1"/>
          <w:vertAlign w:val="subscript"/>
        </w:rPr>
        <w:t>org</w:t>
      </w:r>
      <w:r w:rsidR="001764C8" w:rsidRPr="003F4289">
        <w:rPr>
          <w:rStyle w:val="katex-mathml"/>
          <w:rFonts w:asciiTheme="majorBidi" w:eastAsiaTheme="majorEastAsia" w:hAnsiTheme="majorBidi" w:cstheme="majorBidi"/>
          <w:i/>
          <w:iCs/>
          <w:color w:val="27251E"/>
          <w:sz w:val="22"/>
          <w:szCs w:val="22"/>
          <w:bdr w:val="none" w:sz="0" w:space="0" w:color="auto" w:frame="1"/>
        </w:rPr>
        <w:t xml:space="preserve"> </w:t>
      </w:r>
      <w:r w:rsidR="001764C8" w:rsidRPr="003F4289">
        <w:rPr>
          <w:rFonts w:asciiTheme="majorBidi" w:hAnsiTheme="majorBidi" w:cstheme="majorBidi"/>
          <w:i/>
          <w:iCs/>
          <w:color w:val="27251E"/>
          <w:sz w:val="22"/>
          <w:szCs w:val="22"/>
        </w:rPr>
        <w:t>from DSDP Atlantic sites (</w:t>
      </w:r>
      <w:r w:rsidR="001764C8" w:rsidRPr="003F4289">
        <w:rPr>
          <w:rFonts w:asciiTheme="majorBidi" w:hAnsiTheme="majorBidi" w:cstheme="majorBidi"/>
          <w:i/>
          <w:iCs/>
          <w:sz w:val="22"/>
          <w:szCs w:val="22"/>
        </w:rPr>
        <w:t xml:space="preserve">the Blake Plateau, </w:t>
      </w:r>
      <w:r w:rsidR="001764C8" w:rsidRPr="003F4289">
        <w:rPr>
          <w:rFonts w:asciiTheme="majorBidi" w:hAnsiTheme="majorBidi" w:cstheme="majorBidi"/>
          <w:i/>
          <w:iCs/>
          <w:color w:val="00B0F0"/>
          <w:sz w:val="22"/>
          <w:szCs w:val="22"/>
        </w:rPr>
        <w:t>Katz et al., 2005; Falkowski et al., 2005</w:t>
      </w:r>
      <w:r w:rsidR="001764C8" w:rsidRPr="003F4289">
        <w:rPr>
          <w:rFonts w:asciiTheme="majorBidi" w:hAnsiTheme="majorBidi" w:cstheme="majorBidi"/>
          <w:i/>
          <w:iCs/>
          <w:sz w:val="22"/>
          <w:szCs w:val="22"/>
        </w:rPr>
        <w:t>)</w:t>
      </w:r>
      <w:r w:rsidR="001764C8" w:rsidRPr="003F4289">
        <w:rPr>
          <w:rFonts w:asciiTheme="majorBidi" w:hAnsiTheme="majorBidi" w:cstheme="majorBidi"/>
          <w:i/>
          <w:iCs/>
          <w:color w:val="27251E"/>
          <w:sz w:val="22"/>
          <w:szCs w:val="22"/>
        </w:rPr>
        <w:t xml:space="preserve">. </w:t>
      </w:r>
      <w:r w:rsidR="001764C8" w:rsidRPr="003F4289">
        <w:rPr>
          <w:rFonts w:asciiTheme="majorBidi" w:hAnsiTheme="majorBidi" w:cstheme="majorBidi"/>
          <w:i/>
          <w:iCs/>
          <w:sz w:val="22"/>
          <w:szCs w:val="22"/>
        </w:rPr>
        <w:t>Note that the δ¹³C</w:t>
      </w:r>
      <w:r w:rsidR="001764C8" w:rsidRPr="003F4289">
        <w:rPr>
          <w:rFonts w:asciiTheme="majorBidi" w:hAnsiTheme="majorBidi" w:cstheme="majorBidi"/>
          <w:i/>
          <w:iCs/>
          <w:sz w:val="22"/>
          <w:szCs w:val="22"/>
          <w:vertAlign w:val="subscript"/>
        </w:rPr>
        <w:t xml:space="preserve">org </w:t>
      </w:r>
      <w:r w:rsidR="001764C8" w:rsidRPr="003F4289">
        <w:rPr>
          <w:rFonts w:asciiTheme="majorBidi" w:hAnsiTheme="majorBidi" w:cstheme="majorBidi"/>
          <w:i/>
          <w:iCs/>
          <w:sz w:val="22"/>
          <w:szCs w:val="22"/>
        </w:rPr>
        <w:t xml:space="preserve">patterns from these sites differ markedly from those observed in the Boreal realm where a large VOICE negative excursion is recorded in the Tithonian. </w:t>
      </w:r>
      <w:r w:rsidR="001764C8" w:rsidRPr="003F4289">
        <w:rPr>
          <w:rFonts w:asciiTheme="majorBidi" w:hAnsiTheme="majorBidi" w:cstheme="majorBidi"/>
          <w:i/>
          <w:iCs/>
          <w:color w:val="27251E"/>
          <w:sz w:val="22"/>
          <w:szCs w:val="22"/>
        </w:rPr>
        <w:t xml:space="preserve">Nannofossil diversity evolution indicates a peak in endemic species and nannoconids at the Jurassic/Cretaceous boundary, followed by a decline to a minimum in the middle Berriasian and a renewed increase during the Late Berriasian. The figure further illustrates the progressive opening of major ocean gateways after the boundary, including the Drake, Central American Seaway, Indian–Australian, Mozambique, and South Atlantic gateways, contrasted with the closure of the Laurasian Seaway (Viking Corridor) near the base of the Tithonian. Together, these changes suggest that the onset of the westward-flowing circumglobal equatorial current system in the Late Jurassic promoted connections among Tethyan ocean basins, while NCE events coincided with peak Tethyan aridity, maximum northern polar ice volume, the first peak in endemic nannofossils and nannoconids. </w:t>
      </w:r>
      <w:r w:rsidR="001764C8" w:rsidRPr="003F4289">
        <w:rPr>
          <w:rFonts w:asciiTheme="majorBidi" w:hAnsiTheme="majorBidi" w:cstheme="majorBidi"/>
          <w:color w:val="000000"/>
          <w:sz w:val="22"/>
          <w:szCs w:val="22"/>
        </w:rPr>
        <w:t>The carbon-cycle response to these changes was highly heterogeneous. In Tethyan settings, carbonate production remained relatively stable (δ¹³Ccarb ~ +1 to +1.5‰), whereas Boreal basins record large negative δ¹³Corg excursions (up to ~6‰), reflecting enhanced organic carbon burial and restricted circulation. This decoupling highlights the dominance of regional oceanography during eustatic lowstands and the limited connectivity of carbon reservoirs during the J–K transition.</w:t>
      </w:r>
    </w:p>
    <w:p w14:paraId="61301765" w14:textId="77777777" w:rsidR="00321F22" w:rsidRPr="003F4289" w:rsidRDefault="00321F22" w:rsidP="00301650">
      <w:pPr>
        <w:spacing w:line="240" w:lineRule="auto"/>
        <w:jc w:val="both"/>
        <w:rPr>
          <w:rFonts w:asciiTheme="majorBidi" w:hAnsiTheme="majorBidi" w:cstheme="majorBidi"/>
        </w:rPr>
      </w:pPr>
    </w:p>
    <w:sectPr w:rsidR="00321F22" w:rsidRPr="003F42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44BE7B" w14:textId="77777777" w:rsidR="00C16F20" w:rsidRDefault="00C16F20" w:rsidP="00DE5235">
      <w:pPr>
        <w:spacing w:after="0" w:line="240" w:lineRule="auto"/>
      </w:pPr>
      <w:r>
        <w:separator/>
      </w:r>
    </w:p>
  </w:endnote>
  <w:endnote w:type="continuationSeparator" w:id="0">
    <w:p w14:paraId="4A053E7A" w14:textId="77777777" w:rsidR="00C16F20" w:rsidRDefault="00C16F20" w:rsidP="00DE5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BoldItalic">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3012810"/>
      <w:docPartObj>
        <w:docPartGallery w:val="Page Numbers (Bottom of Page)"/>
        <w:docPartUnique/>
      </w:docPartObj>
    </w:sdtPr>
    <w:sdtEndPr>
      <w:rPr>
        <w:noProof/>
      </w:rPr>
    </w:sdtEndPr>
    <w:sdtContent>
      <w:p w14:paraId="56D85F7A" w14:textId="72C15DD8" w:rsidR="001F298A" w:rsidRDefault="001F298A">
        <w:pPr>
          <w:pStyle w:val="Footer"/>
          <w:jc w:val="center"/>
        </w:pPr>
        <w:r>
          <w:fldChar w:fldCharType="begin"/>
        </w:r>
        <w:r>
          <w:instrText xml:space="preserve"> PAGE   \* MERGEFORMAT </w:instrText>
        </w:r>
        <w:r>
          <w:fldChar w:fldCharType="separate"/>
        </w:r>
        <w:r w:rsidR="00C16F20">
          <w:rPr>
            <w:noProof/>
          </w:rPr>
          <w:t>1</w:t>
        </w:r>
        <w:r>
          <w:rPr>
            <w:noProof/>
          </w:rPr>
          <w:fldChar w:fldCharType="end"/>
        </w:r>
      </w:p>
    </w:sdtContent>
  </w:sdt>
  <w:p w14:paraId="086811C3" w14:textId="77777777" w:rsidR="001F298A" w:rsidRDefault="001F29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646E50" w14:textId="77777777" w:rsidR="00C16F20" w:rsidRDefault="00C16F20" w:rsidP="00DE5235">
      <w:pPr>
        <w:spacing w:after="0" w:line="240" w:lineRule="auto"/>
      </w:pPr>
      <w:r>
        <w:separator/>
      </w:r>
    </w:p>
  </w:footnote>
  <w:footnote w:type="continuationSeparator" w:id="0">
    <w:p w14:paraId="2E9BA28A" w14:textId="77777777" w:rsidR="00C16F20" w:rsidRDefault="00C16F20" w:rsidP="00DE52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14B77"/>
    <w:multiLevelType w:val="hybridMultilevel"/>
    <w:tmpl w:val="BA7E03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2452D"/>
    <w:multiLevelType w:val="multilevel"/>
    <w:tmpl w:val="F238CEE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4FE31F9"/>
    <w:multiLevelType w:val="multilevel"/>
    <w:tmpl w:val="CC70A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2B775B"/>
    <w:multiLevelType w:val="hybridMultilevel"/>
    <w:tmpl w:val="00C25570"/>
    <w:lvl w:ilvl="0" w:tplc="07580C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2724C7"/>
    <w:multiLevelType w:val="multilevel"/>
    <w:tmpl w:val="2CA05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551F30"/>
    <w:multiLevelType w:val="multilevel"/>
    <w:tmpl w:val="6F28B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8C696D"/>
    <w:multiLevelType w:val="multilevel"/>
    <w:tmpl w:val="AD588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C70317"/>
    <w:multiLevelType w:val="hybridMultilevel"/>
    <w:tmpl w:val="7A14BB26"/>
    <w:lvl w:ilvl="0" w:tplc="EF68EE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A30BFC"/>
    <w:multiLevelType w:val="hybridMultilevel"/>
    <w:tmpl w:val="0C00C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2C6898"/>
    <w:multiLevelType w:val="hybridMultilevel"/>
    <w:tmpl w:val="AA18D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7E6FD8"/>
    <w:multiLevelType w:val="hybridMultilevel"/>
    <w:tmpl w:val="CACEC3EC"/>
    <w:lvl w:ilvl="0" w:tplc="D5F6FA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B108D0"/>
    <w:multiLevelType w:val="hybridMultilevel"/>
    <w:tmpl w:val="E78C6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3E2A60"/>
    <w:multiLevelType w:val="multilevel"/>
    <w:tmpl w:val="D1648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553320"/>
    <w:multiLevelType w:val="multilevel"/>
    <w:tmpl w:val="A2006B18"/>
    <w:lvl w:ilvl="0">
      <w:start w:val="1"/>
      <w:numFmt w:val="decimal"/>
      <w:lvlText w:val="%1."/>
      <w:lvlJc w:val="left"/>
      <w:pPr>
        <w:ind w:left="928" w:hanging="360"/>
      </w:pPr>
      <w:rPr>
        <w:rFonts w:hint="default"/>
      </w:rPr>
    </w:lvl>
    <w:lvl w:ilvl="1">
      <w:start w:val="2"/>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008" w:hanging="1440"/>
      </w:pPr>
      <w:rPr>
        <w:rFonts w:hint="default"/>
      </w:rPr>
    </w:lvl>
  </w:abstractNum>
  <w:abstractNum w:abstractNumId="14" w15:restartNumberingAfterBreak="0">
    <w:nsid w:val="33A619DD"/>
    <w:multiLevelType w:val="hybridMultilevel"/>
    <w:tmpl w:val="7C1C9D94"/>
    <w:lvl w:ilvl="0" w:tplc="84EE44F2">
      <w:start w:val="1"/>
      <w:numFmt w:val="decimal"/>
      <w:lvlText w:val="%1."/>
      <w:lvlJc w:val="left"/>
      <w:pPr>
        <w:ind w:left="720" w:hanging="360"/>
      </w:pPr>
      <w:rPr>
        <w:rFonts w:ascii="Calibri-BoldItalic" w:hAnsi="Calibri-BoldItalic" w:cs="Calibri-BoldItalic" w:hint="default"/>
        <w:i/>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311473"/>
    <w:multiLevelType w:val="hybridMultilevel"/>
    <w:tmpl w:val="336AB180"/>
    <w:lvl w:ilvl="0" w:tplc="0C09000F">
      <w:start w:val="1"/>
      <w:numFmt w:val="decimal"/>
      <w:lvlText w:val="%1."/>
      <w:lvlJc w:val="left"/>
      <w:pPr>
        <w:ind w:left="928"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B707D8A"/>
    <w:multiLevelType w:val="multilevel"/>
    <w:tmpl w:val="C9961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8A4A46"/>
    <w:multiLevelType w:val="multilevel"/>
    <w:tmpl w:val="58A07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972CBC"/>
    <w:multiLevelType w:val="multilevel"/>
    <w:tmpl w:val="A55A0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B7651B"/>
    <w:multiLevelType w:val="hybridMultilevel"/>
    <w:tmpl w:val="336AB180"/>
    <w:lvl w:ilvl="0" w:tplc="0C09000F">
      <w:start w:val="1"/>
      <w:numFmt w:val="decimal"/>
      <w:lvlText w:val="%1."/>
      <w:lvlJc w:val="left"/>
      <w:pPr>
        <w:ind w:left="928"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F450A47"/>
    <w:multiLevelType w:val="hybridMultilevel"/>
    <w:tmpl w:val="F7B220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6A75B7"/>
    <w:multiLevelType w:val="multilevel"/>
    <w:tmpl w:val="69C4F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B70D88"/>
    <w:multiLevelType w:val="hybridMultilevel"/>
    <w:tmpl w:val="336AB180"/>
    <w:lvl w:ilvl="0" w:tplc="0C09000F">
      <w:start w:val="1"/>
      <w:numFmt w:val="decimal"/>
      <w:lvlText w:val="%1."/>
      <w:lvlJc w:val="left"/>
      <w:pPr>
        <w:ind w:left="928"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FCB2324"/>
    <w:multiLevelType w:val="multilevel"/>
    <w:tmpl w:val="B70CBF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79435D9"/>
    <w:multiLevelType w:val="multilevel"/>
    <w:tmpl w:val="150A9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7FC4BE9"/>
    <w:multiLevelType w:val="hybridMultilevel"/>
    <w:tmpl w:val="FF4EF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5B3569"/>
    <w:multiLevelType w:val="multilevel"/>
    <w:tmpl w:val="7040D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A2795F"/>
    <w:multiLevelType w:val="multilevel"/>
    <w:tmpl w:val="F66AD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80D7A74"/>
    <w:multiLevelType w:val="multilevel"/>
    <w:tmpl w:val="255488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D455173"/>
    <w:multiLevelType w:val="multilevel"/>
    <w:tmpl w:val="DE842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1D7BD7"/>
    <w:multiLevelType w:val="hybridMultilevel"/>
    <w:tmpl w:val="10168EE6"/>
    <w:lvl w:ilvl="0" w:tplc="93FA87B6">
      <w:start w:val="1"/>
      <w:numFmt w:val="lowerLetter"/>
      <w:lvlText w:val="%1."/>
      <w:lvlJc w:val="left"/>
      <w:pPr>
        <w:ind w:left="720" w:hanging="360"/>
      </w:pPr>
      <w:rPr>
        <w:rFonts w:asciiTheme="majorBidi" w:eastAsiaTheme="majorEastAsia" w:hAnsiTheme="majorBidi" w:cstheme="maj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F2A4E3E"/>
    <w:multiLevelType w:val="multilevel"/>
    <w:tmpl w:val="B0BA6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6"/>
  </w:num>
  <w:num w:numId="3">
    <w:abstractNumId w:val="24"/>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5"/>
  </w:num>
  <w:num w:numId="10">
    <w:abstractNumId w:val="12"/>
  </w:num>
  <w:num w:numId="11">
    <w:abstractNumId w:val="11"/>
  </w:num>
  <w:num w:numId="12">
    <w:abstractNumId w:val="31"/>
  </w:num>
  <w:num w:numId="13">
    <w:abstractNumId w:val="4"/>
  </w:num>
  <w:num w:numId="14">
    <w:abstractNumId w:val="29"/>
  </w:num>
  <w:num w:numId="15">
    <w:abstractNumId w:val="13"/>
  </w:num>
  <w:num w:numId="16">
    <w:abstractNumId w:val="20"/>
  </w:num>
  <w:num w:numId="17">
    <w:abstractNumId w:val="8"/>
  </w:num>
  <w:num w:numId="18">
    <w:abstractNumId w:val="0"/>
  </w:num>
  <w:num w:numId="19">
    <w:abstractNumId w:val="27"/>
  </w:num>
  <w:num w:numId="20">
    <w:abstractNumId w:val="9"/>
  </w:num>
  <w:num w:numId="21">
    <w:abstractNumId w:val="10"/>
  </w:num>
  <w:num w:numId="22">
    <w:abstractNumId w:val="15"/>
  </w:num>
  <w:num w:numId="23">
    <w:abstractNumId w:val="2"/>
  </w:num>
  <w:num w:numId="24">
    <w:abstractNumId w:val="17"/>
  </w:num>
  <w:num w:numId="25">
    <w:abstractNumId w:val="18"/>
  </w:num>
  <w:num w:numId="26">
    <w:abstractNumId w:val="16"/>
  </w:num>
  <w:num w:numId="27">
    <w:abstractNumId w:val="21"/>
  </w:num>
  <w:num w:numId="28">
    <w:abstractNumId w:val="6"/>
  </w:num>
  <w:num w:numId="29">
    <w:abstractNumId w:val="28"/>
  </w:num>
  <w:num w:numId="30">
    <w:abstractNumId w:val="14"/>
  </w:num>
  <w:num w:numId="31">
    <w:abstractNumId w:val="7"/>
  </w:num>
  <w:num w:numId="32">
    <w:abstractNumId w:val="3"/>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B20"/>
    <w:rsid w:val="00014DC6"/>
    <w:rsid w:val="000177AB"/>
    <w:rsid w:val="000231C7"/>
    <w:rsid w:val="000244B3"/>
    <w:rsid w:val="00030584"/>
    <w:rsid w:val="0003383E"/>
    <w:rsid w:val="00033A58"/>
    <w:rsid w:val="00040C05"/>
    <w:rsid w:val="0004244F"/>
    <w:rsid w:val="000425EF"/>
    <w:rsid w:val="000437E2"/>
    <w:rsid w:val="00043BE6"/>
    <w:rsid w:val="00051A77"/>
    <w:rsid w:val="0005309C"/>
    <w:rsid w:val="00055059"/>
    <w:rsid w:val="0005538B"/>
    <w:rsid w:val="00056A61"/>
    <w:rsid w:val="00060AC6"/>
    <w:rsid w:val="00061CFC"/>
    <w:rsid w:val="00071047"/>
    <w:rsid w:val="0007307C"/>
    <w:rsid w:val="00080C05"/>
    <w:rsid w:val="00084505"/>
    <w:rsid w:val="00086B25"/>
    <w:rsid w:val="00087462"/>
    <w:rsid w:val="00093DF6"/>
    <w:rsid w:val="000B2E39"/>
    <w:rsid w:val="000B3ABF"/>
    <w:rsid w:val="000C0A89"/>
    <w:rsid w:val="000C3189"/>
    <w:rsid w:val="000D5CA5"/>
    <w:rsid w:val="000E3A31"/>
    <w:rsid w:val="000F08CA"/>
    <w:rsid w:val="000F458A"/>
    <w:rsid w:val="000F47AF"/>
    <w:rsid w:val="0010149E"/>
    <w:rsid w:val="00103BFF"/>
    <w:rsid w:val="0010609B"/>
    <w:rsid w:val="001104CD"/>
    <w:rsid w:val="0011535C"/>
    <w:rsid w:val="0012104C"/>
    <w:rsid w:val="00122493"/>
    <w:rsid w:val="00123152"/>
    <w:rsid w:val="00123C94"/>
    <w:rsid w:val="00125366"/>
    <w:rsid w:val="00133B32"/>
    <w:rsid w:val="0014533F"/>
    <w:rsid w:val="00147A2F"/>
    <w:rsid w:val="0015011F"/>
    <w:rsid w:val="00150A35"/>
    <w:rsid w:val="00151E91"/>
    <w:rsid w:val="00154CB9"/>
    <w:rsid w:val="00156B66"/>
    <w:rsid w:val="001630E5"/>
    <w:rsid w:val="00165905"/>
    <w:rsid w:val="00172734"/>
    <w:rsid w:val="00175491"/>
    <w:rsid w:val="001764C8"/>
    <w:rsid w:val="001807E5"/>
    <w:rsid w:val="00180F88"/>
    <w:rsid w:val="0018580C"/>
    <w:rsid w:val="00187CA3"/>
    <w:rsid w:val="00190E09"/>
    <w:rsid w:val="001922FF"/>
    <w:rsid w:val="00194C4C"/>
    <w:rsid w:val="0019593C"/>
    <w:rsid w:val="001A0CBB"/>
    <w:rsid w:val="001A1914"/>
    <w:rsid w:val="001A24C6"/>
    <w:rsid w:val="001A5C8F"/>
    <w:rsid w:val="001A6C26"/>
    <w:rsid w:val="001B7BD8"/>
    <w:rsid w:val="001D3738"/>
    <w:rsid w:val="001D4050"/>
    <w:rsid w:val="001E04B0"/>
    <w:rsid w:val="001E0B4B"/>
    <w:rsid w:val="001E5622"/>
    <w:rsid w:val="001E744A"/>
    <w:rsid w:val="001F298A"/>
    <w:rsid w:val="00211A08"/>
    <w:rsid w:val="00217468"/>
    <w:rsid w:val="00220D77"/>
    <w:rsid w:val="002212DD"/>
    <w:rsid w:val="0022331A"/>
    <w:rsid w:val="002432C2"/>
    <w:rsid w:val="002433AD"/>
    <w:rsid w:val="002452C0"/>
    <w:rsid w:val="0025102B"/>
    <w:rsid w:val="002524F3"/>
    <w:rsid w:val="00256EE2"/>
    <w:rsid w:val="0026011B"/>
    <w:rsid w:val="00265713"/>
    <w:rsid w:val="00270EE5"/>
    <w:rsid w:val="0027331D"/>
    <w:rsid w:val="00276594"/>
    <w:rsid w:val="00277C0E"/>
    <w:rsid w:val="00280A87"/>
    <w:rsid w:val="00281ED7"/>
    <w:rsid w:val="00285C40"/>
    <w:rsid w:val="00290CBB"/>
    <w:rsid w:val="00293B0D"/>
    <w:rsid w:val="002A16F9"/>
    <w:rsid w:val="002A47F1"/>
    <w:rsid w:val="002A7C3F"/>
    <w:rsid w:val="002B239E"/>
    <w:rsid w:val="002B2533"/>
    <w:rsid w:val="002B3BBD"/>
    <w:rsid w:val="002B4F60"/>
    <w:rsid w:val="002C72F0"/>
    <w:rsid w:val="002C7639"/>
    <w:rsid w:val="002D33EA"/>
    <w:rsid w:val="002D4969"/>
    <w:rsid w:val="002D5B40"/>
    <w:rsid w:val="002E1B02"/>
    <w:rsid w:val="002E6F0A"/>
    <w:rsid w:val="002E7E59"/>
    <w:rsid w:val="002F0B24"/>
    <w:rsid w:val="002F4116"/>
    <w:rsid w:val="002F64E4"/>
    <w:rsid w:val="002F78F9"/>
    <w:rsid w:val="002F7C71"/>
    <w:rsid w:val="00301650"/>
    <w:rsid w:val="003038D6"/>
    <w:rsid w:val="00305962"/>
    <w:rsid w:val="00312671"/>
    <w:rsid w:val="0031651D"/>
    <w:rsid w:val="00321F22"/>
    <w:rsid w:val="0032205E"/>
    <w:rsid w:val="00322DB2"/>
    <w:rsid w:val="00325CD2"/>
    <w:rsid w:val="00344268"/>
    <w:rsid w:val="00345A51"/>
    <w:rsid w:val="00353CB8"/>
    <w:rsid w:val="00356DEA"/>
    <w:rsid w:val="00360EEC"/>
    <w:rsid w:val="003640A3"/>
    <w:rsid w:val="00365133"/>
    <w:rsid w:val="003703F6"/>
    <w:rsid w:val="00372010"/>
    <w:rsid w:val="00375B4C"/>
    <w:rsid w:val="00385D75"/>
    <w:rsid w:val="00385F2C"/>
    <w:rsid w:val="0038771F"/>
    <w:rsid w:val="00395380"/>
    <w:rsid w:val="00395A6A"/>
    <w:rsid w:val="003A3E0E"/>
    <w:rsid w:val="003A7A87"/>
    <w:rsid w:val="003B7292"/>
    <w:rsid w:val="003C56B1"/>
    <w:rsid w:val="003C7A33"/>
    <w:rsid w:val="003D1610"/>
    <w:rsid w:val="003D5E29"/>
    <w:rsid w:val="003E0F2A"/>
    <w:rsid w:val="003E1456"/>
    <w:rsid w:val="003E2B3F"/>
    <w:rsid w:val="003E3817"/>
    <w:rsid w:val="003E526F"/>
    <w:rsid w:val="003F1568"/>
    <w:rsid w:val="003F4289"/>
    <w:rsid w:val="00402D1A"/>
    <w:rsid w:val="00404924"/>
    <w:rsid w:val="00404E8D"/>
    <w:rsid w:val="00411F23"/>
    <w:rsid w:val="00413D41"/>
    <w:rsid w:val="00416956"/>
    <w:rsid w:val="00417A58"/>
    <w:rsid w:val="00424918"/>
    <w:rsid w:val="00424C1F"/>
    <w:rsid w:val="00425318"/>
    <w:rsid w:val="00426CB1"/>
    <w:rsid w:val="004277D0"/>
    <w:rsid w:val="004319EE"/>
    <w:rsid w:val="0043637A"/>
    <w:rsid w:val="00437E09"/>
    <w:rsid w:val="00443E2B"/>
    <w:rsid w:val="00444308"/>
    <w:rsid w:val="00444B1F"/>
    <w:rsid w:val="00445C37"/>
    <w:rsid w:val="004648DC"/>
    <w:rsid w:val="00467809"/>
    <w:rsid w:val="00467E98"/>
    <w:rsid w:val="00472CCE"/>
    <w:rsid w:val="004733E9"/>
    <w:rsid w:val="00476977"/>
    <w:rsid w:val="004800D4"/>
    <w:rsid w:val="00480BC7"/>
    <w:rsid w:val="00482636"/>
    <w:rsid w:val="00482A1C"/>
    <w:rsid w:val="00482C55"/>
    <w:rsid w:val="00484A37"/>
    <w:rsid w:val="00493DA2"/>
    <w:rsid w:val="00493E91"/>
    <w:rsid w:val="00494B5F"/>
    <w:rsid w:val="00496487"/>
    <w:rsid w:val="0049677F"/>
    <w:rsid w:val="004A09B2"/>
    <w:rsid w:val="004A18F9"/>
    <w:rsid w:val="004A77A2"/>
    <w:rsid w:val="004B61E5"/>
    <w:rsid w:val="004C3486"/>
    <w:rsid w:val="004C3B40"/>
    <w:rsid w:val="004C5822"/>
    <w:rsid w:val="004C72D5"/>
    <w:rsid w:val="004D218E"/>
    <w:rsid w:val="004D2C43"/>
    <w:rsid w:val="004D2DFB"/>
    <w:rsid w:val="004D750A"/>
    <w:rsid w:val="004E1473"/>
    <w:rsid w:val="004E5F66"/>
    <w:rsid w:val="004F0187"/>
    <w:rsid w:val="004F31FF"/>
    <w:rsid w:val="005008E2"/>
    <w:rsid w:val="00501771"/>
    <w:rsid w:val="0050202F"/>
    <w:rsid w:val="00507F87"/>
    <w:rsid w:val="00513408"/>
    <w:rsid w:val="00515362"/>
    <w:rsid w:val="005204ED"/>
    <w:rsid w:val="0052206E"/>
    <w:rsid w:val="00525225"/>
    <w:rsid w:val="005322FD"/>
    <w:rsid w:val="0053515B"/>
    <w:rsid w:val="00535EAF"/>
    <w:rsid w:val="00543236"/>
    <w:rsid w:val="00547C49"/>
    <w:rsid w:val="00552911"/>
    <w:rsid w:val="00555C72"/>
    <w:rsid w:val="0055685F"/>
    <w:rsid w:val="00561CEB"/>
    <w:rsid w:val="0056342A"/>
    <w:rsid w:val="00566EDC"/>
    <w:rsid w:val="00571233"/>
    <w:rsid w:val="00572F0B"/>
    <w:rsid w:val="005762DF"/>
    <w:rsid w:val="005779EB"/>
    <w:rsid w:val="005806FE"/>
    <w:rsid w:val="00581B3B"/>
    <w:rsid w:val="00594679"/>
    <w:rsid w:val="005959CC"/>
    <w:rsid w:val="005B40F4"/>
    <w:rsid w:val="005B72B4"/>
    <w:rsid w:val="005C01B9"/>
    <w:rsid w:val="005C2C70"/>
    <w:rsid w:val="005C3EED"/>
    <w:rsid w:val="005C4830"/>
    <w:rsid w:val="005D27BB"/>
    <w:rsid w:val="005D2AEB"/>
    <w:rsid w:val="005D2F0C"/>
    <w:rsid w:val="005E034B"/>
    <w:rsid w:val="005E1DE8"/>
    <w:rsid w:val="005E2259"/>
    <w:rsid w:val="005E4357"/>
    <w:rsid w:val="005E56DE"/>
    <w:rsid w:val="005E6DBF"/>
    <w:rsid w:val="005E6ED6"/>
    <w:rsid w:val="00600191"/>
    <w:rsid w:val="00604017"/>
    <w:rsid w:val="006061F3"/>
    <w:rsid w:val="00620312"/>
    <w:rsid w:val="0062207C"/>
    <w:rsid w:val="006251F4"/>
    <w:rsid w:val="00626436"/>
    <w:rsid w:val="0062747E"/>
    <w:rsid w:val="00632AD9"/>
    <w:rsid w:val="00635F13"/>
    <w:rsid w:val="00636716"/>
    <w:rsid w:val="00641FC5"/>
    <w:rsid w:val="00646291"/>
    <w:rsid w:val="006512A0"/>
    <w:rsid w:val="0065266F"/>
    <w:rsid w:val="006550DD"/>
    <w:rsid w:val="00655500"/>
    <w:rsid w:val="00661D66"/>
    <w:rsid w:val="0067464E"/>
    <w:rsid w:val="00677543"/>
    <w:rsid w:val="0067756E"/>
    <w:rsid w:val="0068215C"/>
    <w:rsid w:val="006856BE"/>
    <w:rsid w:val="00685F07"/>
    <w:rsid w:val="00686BF8"/>
    <w:rsid w:val="0069347F"/>
    <w:rsid w:val="00697DD4"/>
    <w:rsid w:val="006B05DD"/>
    <w:rsid w:val="006B1802"/>
    <w:rsid w:val="006B4081"/>
    <w:rsid w:val="006B71EA"/>
    <w:rsid w:val="006C2C23"/>
    <w:rsid w:val="006C3645"/>
    <w:rsid w:val="006C41BF"/>
    <w:rsid w:val="006C73CF"/>
    <w:rsid w:val="006D0465"/>
    <w:rsid w:val="006E0B8E"/>
    <w:rsid w:val="006E7157"/>
    <w:rsid w:val="006F31B1"/>
    <w:rsid w:val="006F4975"/>
    <w:rsid w:val="00703F54"/>
    <w:rsid w:val="00706562"/>
    <w:rsid w:val="00714F7F"/>
    <w:rsid w:val="00722C2A"/>
    <w:rsid w:val="00724BC1"/>
    <w:rsid w:val="00735EA9"/>
    <w:rsid w:val="007404FF"/>
    <w:rsid w:val="0074287D"/>
    <w:rsid w:val="00745535"/>
    <w:rsid w:val="007475A2"/>
    <w:rsid w:val="007530DB"/>
    <w:rsid w:val="007621A0"/>
    <w:rsid w:val="007621C0"/>
    <w:rsid w:val="0076222C"/>
    <w:rsid w:val="007652B2"/>
    <w:rsid w:val="00766046"/>
    <w:rsid w:val="00774242"/>
    <w:rsid w:val="00775E95"/>
    <w:rsid w:val="00785511"/>
    <w:rsid w:val="007869F7"/>
    <w:rsid w:val="00787DDD"/>
    <w:rsid w:val="007923D2"/>
    <w:rsid w:val="00794735"/>
    <w:rsid w:val="00795DED"/>
    <w:rsid w:val="007B25F0"/>
    <w:rsid w:val="007B6A8B"/>
    <w:rsid w:val="007C1968"/>
    <w:rsid w:val="007C3A0C"/>
    <w:rsid w:val="007C581E"/>
    <w:rsid w:val="007D02BA"/>
    <w:rsid w:val="007D3FD5"/>
    <w:rsid w:val="007D4294"/>
    <w:rsid w:val="007E0661"/>
    <w:rsid w:val="007E2EAC"/>
    <w:rsid w:val="007F6C15"/>
    <w:rsid w:val="00802D34"/>
    <w:rsid w:val="008060CD"/>
    <w:rsid w:val="008070D9"/>
    <w:rsid w:val="00810AA1"/>
    <w:rsid w:val="00813602"/>
    <w:rsid w:val="0082175A"/>
    <w:rsid w:val="0083125E"/>
    <w:rsid w:val="0083638A"/>
    <w:rsid w:val="00841962"/>
    <w:rsid w:val="008530A3"/>
    <w:rsid w:val="00854602"/>
    <w:rsid w:val="00854DEC"/>
    <w:rsid w:val="0085601B"/>
    <w:rsid w:val="00857A42"/>
    <w:rsid w:val="00860A62"/>
    <w:rsid w:val="00865DBB"/>
    <w:rsid w:val="00866392"/>
    <w:rsid w:val="00866BF7"/>
    <w:rsid w:val="00867699"/>
    <w:rsid w:val="008777F4"/>
    <w:rsid w:val="008805DB"/>
    <w:rsid w:val="0089083E"/>
    <w:rsid w:val="00894222"/>
    <w:rsid w:val="008A153B"/>
    <w:rsid w:val="008A547B"/>
    <w:rsid w:val="008A72D2"/>
    <w:rsid w:val="008A747F"/>
    <w:rsid w:val="008B0CAE"/>
    <w:rsid w:val="008B1106"/>
    <w:rsid w:val="008B1BD9"/>
    <w:rsid w:val="008B38F7"/>
    <w:rsid w:val="008C32CE"/>
    <w:rsid w:val="008C7144"/>
    <w:rsid w:val="008D1344"/>
    <w:rsid w:val="008D1516"/>
    <w:rsid w:val="008D3169"/>
    <w:rsid w:val="008E26EC"/>
    <w:rsid w:val="008E2F9A"/>
    <w:rsid w:val="008E48C1"/>
    <w:rsid w:val="008E717B"/>
    <w:rsid w:val="008F3178"/>
    <w:rsid w:val="00902A9C"/>
    <w:rsid w:val="00902D91"/>
    <w:rsid w:val="00903A93"/>
    <w:rsid w:val="00904232"/>
    <w:rsid w:val="00904611"/>
    <w:rsid w:val="009161FF"/>
    <w:rsid w:val="00921E91"/>
    <w:rsid w:val="00922A8A"/>
    <w:rsid w:val="00924F63"/>
    <w:rsid w:val="00932A2F"/>
    <w:rsid w:val="009361CA"/>
    <w:rsid w:val="009403BA"/>
    <w:rsid w:val="00940642"/>
    <w:rsid w:val="00943C29"/>
    <w:rsid w:val="009604E9"/>
    <w:rsid w:val="00960BA2"/>
    <w:rsid w:val="00963813"/>
    <w:rsid w:val="00976EED"/>
    <w:rsid w:val="00977054"/>
    <w:rsid w:val="00982527"/>
    <w:rsid w:val="009833D5"/>
    <w:rsid w:val="0098406D"/>
    <w:rsid w:val="00984A16"/>
    <w:rsid w:val="00986309"/>
    <w:rsid w:val="00990F95"/>
    <w:rsid w:val="009941DA"/>
    <w:rsid w:val="00996AA8"/>
    <w:rsid w:val="009A062C"/>
    <w:rsid w:val="009A43FC"/>
    <w:rsid w:val="009B0180"/>
    <w:rsid w:val="009B04DF"/>
    <w:rsid w:val="009B0C3D"/>
    <w:rsid w:val="009B2584"/>
    <w:rsid w:val="009B4F8D"/>
    <w:rsid w:val="009C18EC"/>
    <w:rsid w:val="009C1B9C"/>
    <w:rsid w:val="009C4324"/>
    <w:rsid w:val="009C6D70"/>
    <w:rsid w:val="009D4F28"/>
    <w:rsid w:val="009D76E1"/>
    <w:rsid w:val="009E1974"/>
    <w:rsid w:val="009E2307"/>
    <w:rsid w:val="009E5B6E"/>
    <w:rsid w:val="009F0638"/>
    <w:rsid w:val="009F0D6C"/>
    <w:rsid w:val="009F2AE3"/>
    <w:rsid w:val="00A013B0"/>
    <w:rsid w:val="00A150F9"/>
    <w:rsid w:val="00A2105E"/>
    <w:rsid w:val="00A246AC"/>
    <w:rsid w:val="00A24C01"/>
    <w:rsid w:val="00A32575"/>
    <w:rsid w:val="00A341D9"/>
    <w:rsid w:val="00A34E30"/>
    <w:rsid w:val="00A40432"/>
    <w:rsid w:val="00A40888"/>
    <w:rsid w:val="00A4333F"/>
    <w:rsid w:val="00A4525F"/>
    <w:rsid w:val="00A559CC"/>
    <w:rsid w:val="00A561F4"/>
    <w:rsid w:val="00A56A3F"/>
    <w:rsid w:val="00A60A3B"/>
    <w:rsid w:val="00A65F38"/>
    <w:rsid w:val="00A66A9B"/>
    <w:rsid w:val="00A66B62"/>
    <w:rsid w:val="00A7025C"/>
    <w:rsid w:val="00A864C2"/>
    <w:rsid w:val="00AA00E8"/>
    <w:rsid w:val="00AA18BE"/>
    <w:rsid w:val="00AA71BD"/>
    <w:rsid w:val="00AB005C"/>
    <w:rsid w:val="00AB4863"/>
    <w:rsid w:val="00AB5756"/>
    <w:rsid w:val="00AC317C"/>
    <w:rsid w:val="00AC32FC"/>
    <w:rsid w:val="00AC361A"/>
    <w:rsid w:val="00AC49F3"/>
    <w:rsid w:val="00AC6B2A"/>
    <w:rsid w:val="00AD2A1F"/>
    <w:rsid w:val="00AD60AA"/>
    <w:rsid w:val="00AD6804"/>
    <w:rsid w:val="00AD6BC3"/>
    <w:rsid w:val="00AE13D8"/>
    <w:rsid w:val="00AE27D5"/>
    <w:rsid w:val="00AF4957"/>
    <w:rsid w:val="00AF5071"/>
    <w:rsid w:val="00B03238"/>
    <w:rsid w:val="00B03372"/>
    <w:rsid w:val="00B1019A"/>
    <w:rsid w:val="00B131EE"/>
    <w:rsid w:val="00B16D3F"/>
    <w:rsid w:val="00B16E7A"/>
    <w:rsid w:val="00B1759F"/>
    <w:rsid w:val="00B202FB"/>
    <w:rsid w:val="00B21B15"/>
    <w:rsid w:val="00B2204E"/>
    <w:rsid w:val="00B24F05"/>
    <w:rsid w:val="00B2749F"/>
    <w:rsid w:val="00B27D79"/>
    <w:rsid w:val="00B31D46"/>
    <w:rsid w:val="00B329B3"/>
    <w:rsid w:val="00B40E1B"/>
    <w:rsid w:val="00B476BC"/>
    <w:rsid w:val="00B54FC3"/>
    <w:rsid w:val="00B63A8D"/>
    <w:rsid w:val="00B64573"/>
    <w:rsid w:val="00B64D44"/>
    <w:rsid w:val="00B65A7F"/>
    <w:rsid w:val="00B66660"/>
    <w:rsid w:val="00B670D1"/>
    <w:rsid w:val="00B820B1"/>
    <w:rsid w:val="00B83D7B"/>
    <w:rsid w:val="00B86322"/>
    <w:rsid w:val="00B86D0C"/>
    <w:rsid w:val="00B91E75"/>
    <w:rsid w:val="00B920E3"/>
    <w:rsid w:val="00B945DA"/>
    <w:rsid w:val="00BA1274"/>
    <w:rsid w:val="00BA6649"/>
    <w:rsid w:val="00BB0CDF"/>
    <w:rsid w:val="00BB3263"/>
    <w:rsid w:val="00BB5A6F"/>
    <w:rsid w:val="00BD1875"/>
    <w:rsid w:val="00BF03C3"/>
    <w:rsid w:val="00C00574"/>
    <w:rsid w:val="00C03646"/>
    <w:rsid w:val="00C064C4"/>
    <w:rsid w:val="00C16F20"/>
    <w:rsid w:val="00C17A2B"/>
    <w:rsid w:val="00C25B0F"/>
    <w:rsid w:val="00C31D68"/>
    <w:rsid w:val="00C332B7"/>
    <w:rsid w:val="00C437EE"/>
    <w:rsid w:val="00C43DE2"/>
    <w:rsid w:val="00C43E15"/>
    <w:rsid w:val="00C4586D"/>
    <w:rsid w:val="00C46F70"/>
    <w:rsid w:val="00C601FB"/>
    <w:rsid w:val="00C602C4"/>
    <w:rsid w:val="00C62596"/>
    <w:rsid w:val="00C65BE5"/>
    <w:rsid w:val="00C67A28"/>
    <w:rsid w:val="00C73860"/>
    <w:rsid w:val="00C76707"/>
    <w:rsid w:val="00C83294"/>
    <w:rsid w:val="00C8516E"/>
    <w:rsid w:val="00C93BF8"/>
    <w:rsid w:val="00C94549"/>
    <w:rsid w:val="00C95820"/>
    <w:rsid w:val="00C95B3F"/>
    <w:rsid w:val="00CA1485"/>
    <w:rsid w:val="00CA274D"/>
    <w:rsid w:val="00CA5617"/>
    <w:rsid w:val="00CB1DFD"/>
    <w:rsid w:val="00CB26FE"/>
    <w:rsid w:val="00CC1102"/>
    <w:rsid w:val="00CD4736"/>
    <w:rsid w:val="00CE04F9"/>
    <w:rsid w:val="00CE3BDA"/>
    <w:rsid w:val="00D02F15"/>
    <w:rsid w:val="00D03C7E"/>
    <w:rsid w:val="00D056B6"/>
    <w:rsid w:val="00D10E08"/>
    <w:rsid w:val="00D11ED4"/>
    <w:rsid w:val="00D11FFA"/>
    <w:rsid w:val="00D12955"/>
    <w:rsid w:val="00D138D9"/>
    <w:rsid w:val="00D13D06"/>
    <w:rsid w:val="00D152DF"/>
    <w:rsid w:val="00D15A04"/>
    <w:rsid w:val="00D16241"/>
    <w:rsid w:val="00D2173E"/>
    <w:rsid w:val="00D21D68"/>
    <w:rsid w:val="00D24D42"/>
    <w:rsid w:val="00D27791"/>
    <w:rsid w:val="00D41E52"/>
    <w:rsid w:val="00D46FF8"/>
    <w:rsid w:val="00D558D8"/>
    <w:rsid w:val="00D76106"/>
    <w:rsid w:val="00D81F2B"/>
    <w:rsid w:val="00D907A6"/>
    <w:rsid w:val="00D96803"/>
    <w:rsid w:val="00D96C2C"/>
    <w:rsid w:val="00D96FD4"/>
    <w:rsid w:val="00DA6137"/>
    <w:rsid w:val="00DA7CD0"/>
    <w:rsid w:val="00DA7E28"/>
    <w:rsid w:val="00DB6820"/>
    <w:rsid w:val="00DC4ECF"/>
    <w:rsid w:val="00DC6044"/>
    <w:rsid w:val="00DD4E5D"/>
    <w:rsid w:val="00DD4FD6"/>
    <w:rsid w:val="00DD579A"/>
    <w:rsid w:val="00DE5235"/>
    <w:rsid w:val="00DF467C"/>
    <w:rsid w:val="00DF6A0E"/>
    <w:rsid w:val="00E01502"/>
    <w:rsid w:val="00E062EA"/>
    <w:rsid w:val="00E06D5A"/>
    <w:rsid w:val="00E07FCC"/>
    <w:rsid w:val="00E153AF"/>
    <w:rsid w:val="00E16707"/>
    <w:rsid w:val="00E17A07"/>
    <w:rsid w:val="00E27D21"/>
    <w:rsid w:val="00E3453E"/>
    <w:rsid w:val="00E4114F"/>
    <w:rsid w:val="00E53B62"/>
    <w:rsid w:val="00E773A0"/>
    <w:rsid w:val="00E82DC2"/>
    <w:rsid w:val="00E833F2"/>
    <w:rsid w:val="00E84628"/>
    <w:rsid w:val="00E8688E"/>
    <w:rsid w:val="00E950A7"/>
    <w:rsid w:val="00EA336C"/>
    <w:rsid w:val="00EA7ECD"/>
    <w:rsid w:val="00EB0435"/>
    <w:rsid w:val="00EB123A"/>
    <w:rsid w:val="00EB1349"/>
    <w:rsid w:val="00EB1AB5"/>
    <w:rsid w:val="00EB2706"/>
    <w:rsid w:val="00EC2F6A"/>
    <w:rsid w:val="00EC3B20"/>
    <w:rsid w:val="00ED03C1"/>
    <w:rsid w:val="00ED0B43"/>
    <w:rsid w:val="00ED3DFD"/>
    <w:rsid w:val="00ED4201"/>
    <w:rsid w:val="00ED7270"/>
    <w:rsid w:val="00EE46CB"/>
    <w:rsid w:val="00EE4E00"/>
    <w:rsid w:val="00EF00BC"/>
    <w:rsid w:val="00EF4D32"/>
    <w:rsid w:val="00EF5AFF"/>
    <w:rsid w:val="00EF69B4"/>
    <w:rsid w:val="00F0266E"/>
    <w:rsid w:val="00F07E12"/>
    <w:rsid w:val="00F17C9B"/>
    <w:rsid w:val="00F2393F"/>
    <w:rsid w:val="00F249E5"/>
    <w:rsid w:val="00F349E1"/>
    <w:rsid w:val="00F34B9A"/>
    <w:rsid w:val="00F368B3"/>
    <w:rsid w:val="00F400D5"/>
    <w:rsid w:val="00F41850"/>
    <w:rsid w:val="00F47545"/>
    <w:rsid w:val="00F47C5F"/>
    <w:rsid w:val="00F5039E"/>
    <w:rsid w:val="00F5143D"/>
    <w:rsid w:val="00F60B8E"/>
    <w:rsid w:val="00F62B90"/>
    <w:rsid w:val="00F63D30"/>
    <w:rsid w:val="00F721C2"/>
    <w:rsid w:val="00F7674C"/>
    <w:rsid w:val="00F842A9"/>
    <w:rsid w:val="00F85D12"/>
    <w:rsid w:val="00F91F3E"/>
    <w:rsid w:val="00FA0C51"/>
    <w:rsid w:val="00FA63BF"/>
    <w:rsid w:val="00FB071C"/>
    <w:rsid w:val="00FB1FBE"/>
    <w:rsid w:val="00FB646F"/>
    <w:rsid w:val="00FC2D30"/>
    <w:rsid w:val="00FC3C3D"/>
    <w:rsid w:val="00FC4D4A"/>
    <w:rsid w:val="00FD10BD"/>
    <w:rsid w:val="00FD1747"/>
    <w:rsid w:val="00FD25D4"/>
    <w:rsid w:val="00FD37E8"/>
    <w:rsid w:val="00FD57F2"/>
    <w:rsid w:val="00FD78DA"/>
    <w:rsid w:val="00FE50E2"/>
    <w:rsid w:val="00FE669C"/>
    <w:rsid w:val="00FF358F"/>
    <w:rsid w:val="00FF3FA4"/>
    <w:rsid w:val="00FF6342"/>
    <w:rsid w:val="00FF7B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84D47"/>
  <w14:defaultImageDpi w14:val="330"/>
  <w15:chartTrackingRefBased/>
  <w15:docId w15:val="{0195EFD3-B934-46CC-A8B5-15AEC7C14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650"/>
    <w:rPr>
      <w:kern w:val="2"/>
      <w:lang w:val="en-AU"/>
      <w14:ligatures w14:val="standardContextual"/>
    </w:rPr>
  </w:style>
  <w:style w:type="paragraph" w:styleId="Heading1">
    <w:name w:val="heading 1"/>
    <w:basedOn w:val="Normal"/>
    <w:next w:val="Normal"/>
    <w:link w:val="Heading1Char"/>
    <w:autoRedefine/>
    <w:uiPriority w:val="9"/>
    <w:qFormat/>
    <w:rsid w:val="00802D34"/>
    <w:pPr>
      <w:spacing w:after="0" w:line="360" w:lineRule="auto"/>
      <w:outlineLvl w:val="0"/>
    </w:pPr>
    <w:rPr>
      <w:rFonts w:asciiTheme="majorBidi" w:hAnsiTheme="majorBidi" w:cstheme="majorBidi"/>
      <w:b/>
      <w:bCs/>
      <w:kern w:val="0"/>
      <w:sz w:val="28"/>
      <w:szCs w:val="28"/>
      <w:lang w:val="en-US"/>
      <w14:ligatures w14:val="none"/>
    </w:rPr>
  </w:style>
  <w:style w:type="paragraph" w:styleId="Heading2">
    <w:name w:val="heading 2"/>
    <w:basedOn w:val="Normal"/>
    <w:next w:val="Normal"/>
    <w:link w:val="Heading2Char"/>
    <w:uiPriority w:val="9"/>
    <w:unhideWhenUsed/>
    <w:qFormat/>
    <w:rsid w:val="00030584"/>
    <w:pPr>
      <w:keepNext/>
      <w:keepLines/>
      <w:spacing w:before="40" w:after="0" w:line="240" w:lineRule="auto"/>
      <w:outlineLvl w:val="1"/>
    </w:pPr>
    <w:rPr>
      <w:rFonts w:asciiTheme="majorHAnsi" w:eastAsiaTheme="majorEastAsia" w:hAnsiTheme="majorHAnsi" w:cstheme="majorBidi"/>
      <w:color w:val="2E74B5" w:themeColor="accent1" w:themeShade="BF"/>
      <w:kern w:val="0"/>
      <w:sz w:val="26"/>
      <w:szCs w:val="26"/>
      <w:lang w:val="en-US"/>
      <w14:ligatures w14:val="none"/>
    </w:rPr>
  </w:style>
  <w:style w:type="paragraph" w:styleId="Heading3">
    <w:name w:val="heading 3"/>
    <w:basedOn w:val="Normal"/>
    <w:next w:val="Normal"/>
    <w:link w:val="Heading3Char"/>
    <w:autoRedefine/>
    <w:uiPriority w:val="9"/>
    <w:unhideWhenUsed/>
    <w:qFormat/>
    <w:rsid w:val="00F47545"/>
    <w:pPr>
      <w:keepNext/>
      <w:keepLines/>
      <w:spacing w:before="40" w:after="0"/>
      <w:outlineLvl w:val="2"/>
    </w:pPr>
    <w:rPr>
      <w:rFonts w:asciiTheme="majorHAnsi" w:hAnsiTheme="majorHAnsi"/>
      <w:color w:val="000000" w:themeColor="text1"/>
      <w:sz w:val="28"/>
    </w:rPr>
  </w:style>
  <w:style w:type="paragraph" w:styleId="Heading4">
    <w:name w:val="heading 4"/>
    <w:basedOn w:val="Normal"/>
    <w:next w:val="Normal"/>
    <w:link w:val="Heading4Char"/>
    <w:uiPriority w:val="9"/>
    <w:semiHidden/>
    <w:unhideWhenUsed/>
    <w:qFormat/>
    <w:rsid w:val="009E5B6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7545"/>
    <w:rPr>
      <w:rFonts w:asciiTheme="majorHAnsi" w:eastAsiaTheme="majorEastAsia" w:hAnsiTheme="majorHAnsi" w:cstheme="majorBidi"/>
      <w:color w:val="000000" w:themeColor="text1"/>
      <w:sz w:val="28"/>
      <w:szCs w:val="24"/>
    </w:rPr>
  </w:style>
  <w:style w:type="character" w:customStyle="1" w:styleId="Heading1Char">
    <w:name w:val="Heading 1 Char"/>
    <w:basedOn w:val="DefaultParagraphFont"/>
    <w:link w:val="Heading1"/>
    <w:uiPriority w:val="9"/>
    <w:rsid w:val="00802D34"/>
    <w:rPr>
      <w:rFonts w:asciiTheme="majorBidi" w:hAnsiTheme="majorBidi" w:cstheme="majorBidi"/>
      <w:b/>
      <w:bCs/>
      <w:sz w:val="28"/>
      <w:szCs w:val="28"/>
    </w:rPr>
  </w:style>
  <w:style w:type="paragraph" w:styleId="ListParagraph">
    <w:name w:val="List Paragraph"/>
    <w:basedOn w:val="Normal"/>
    <w:uiPriority w:val="34"/>
    <w:qFormat/>
    <w:rsid w:val="00EC3B20"/>
    <w:pPr>
      <w:ind w:left="720"/>
      <w:contextualSpacing/>
    </w:pPr>
  </w:style>
  <w:style w:type="character" w:customStyle="1" w:styleId="Heading2Char">
    <w:name w:val="Heading 2 Char"/>
    <w:basedOn w:val="DefaultParagraphFont"/>
    <w:link w:val="Heading2"/>
    <w:uiPriority w:val="9"/>
    <w:rsid w:val="00030584"/>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030584"/>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Emphasis">
    <w:name w:val="Emphasis"/>
    <w:basedOn w:val="DefaultParagraphFont"/>
    <w:uiPriority w:val="20"/>
    <w:qFormat/>
    <w:rsid w:val="00030584"/>
    <w:rPr>
      <w:i/>
      <w:iCs/>
    </w:rPr>
  </w:style>
  <w:style w:type="character" w:styleId="Hyperlink">
    <w:name w:val="Hyperlink"/>
    <w:basedOn w:val="DefaultParagraphFont"/>
    <w:uiPriority w:val="99"/>
    <w:unhideWhenUsed/>
    <w:rsid w:val="00030584"/>
    <w:rPr>
      <w:color w:val="0000FF"/>
      <w:u w:val="single"/>
    </w:rPr>
  </w:style>
  <w:style w:type="character" w:styleId="Strong">
    <w:name w:val="Strong"/>
    <w:basedOn w:val="DefaultParagraphFont"/>
    <w:uiPriority w:val="22"/>
    <w:qFormat/>
    <w:rsid w:val="00030584"/>
    <w:rPr>
      <w:b/>
      <w:bCs/>
    </w:rPr>
  </w:style>
  <w:style w:type="character" w:customStyle="1" w:styleId="anchor-text">
    <w:name w:val="anchor-text"/>
    <w:basedOn w:val="DefaultParagraphFont"/>
    <w:rsid w:val="00030584"/>
  </w:style>
  <w:style w:type="character" w:customStyle="1" w:styleId="overflow-hidden">
    <w:name w:val="overflow-hidden"/>
    <w:basedOn w:val="DefaultParagraphFont"/>
    <w:rsid w:val="00030584"/>
  </w:style>
  <w:style w:type="character" w:customStyle="1" w:styleId="label">
    <w:name w:val="label"/>
    <w:basedOn w:val="DefaultParagraphFont"/>
    <w:rsid w:val="00030584"/>
  </w:style>
  <w:style w:type="paragraph" w:customStyle="1" w:styleId="Default">
    <w:name w:val="Default"/>
    <w:rsid w:val="00030584"/>
    <w:pPr>
      <w:autoSpaceDE w:val="0"/>
      <w:autoSpaceDN w:val="0"/>
      <w:adjustRightInd w:val="0"/>
      <w:spacing w:after="0" w:line="240" w:lineRule="auto"/>
    </w:pPr>
    <w:rPr>
      <w:rFonts w:ascii="Calibri" w:hAnsi="Calibri" w:cs="Calibri"/>
      <w:color w:val="000000"/>
      <w:sz w:val="24"/>
      <w:szCs w:val="24"/>
      <w:lang w:val="en-GB"/>
    </w:rPr>
  </w:style>
  <w:style w:type="table" w:styleId="TableGrid">
    <w:name w:val="Table Grid"/>
    <w:basedOn w:val="TableNormal"/>
    <w:uiPriority w:val="39"/>
    <w:rsid w:val="0003058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030584"/>
  </w:style>
  <w:style w:type="paragraph" w:styleId="BalloonText">
    <w:name w:val="Balloon Text"/>
    <w:basedOn w:val="Normal"/>
    <w:link w:val="BalloonTextChar"/>
    <w:uiPriority w:val="99"/>
    <w:semiHidden/>
    <w:unhideWhenUsed/>
    <w:rsid w:val="00030584"/>
    <w:pPr>
      <w:spacing w:after="0" w:line="240" w:lineRule="auto"/>
    </w:pPr>
    <w:rPr>
      <w:rFonts w:ascii="Segoe UI" w:eastAsiaTheme="majorEastAsia" w:hAnsi="Segoe UI" w:cs="Segoe UI"/>
      <w:kern w:val="0"/>
      <w:sz w:val="18"/>
      <w:szCs w:val="18"/>
      <w:lang w:val="en-US"/>
      <w14:ligatures w14:val="none"/>
    </w:rPr>
  </w:style>
  <w:style w:type="character" w:customStyle="1" w:styleId="BalloonTextChar">
    <w:name w:val="Balloon Text Char"/>
    <w:basedOn w:val="DefaultParagraphFont"/>
    <w:link w:val="BalloonText"/>
    <w:uiPriority w:val="99"/>
    <w:semiHidden/>
    <w:rsid w:val="00030584"/>
    <w:rPr>
      <w:rFonts w:ascii="Segoe UI" w:eastAsiaTheme="majorEastAsia" w:hAnsi="Segoe UI" w:cs="Segoe UI"/>
      <w:sz w:val="18"/>
      <w:szCs w:val="18"/>
    </w:rPr>
  </w:style>
  <w:style w:type="character" w:styleId="CommentReference">
    <w:name w:val="annotation reference"/>
    <w:uiPriority w:val="99"/>
    <w:qFormat/>
    <w:rsid w:val="00030584"/>
    <w:rPr>
      <w:sz w:val="18"/>
      <w:szCs w:val="18"/>
    </w:rPr>
  </w:style>
  <w:style w:type="character" w:styleId="FootnoteReference">
    <w:name w:val="footnote reference"/>
    <w:qFormat/>
    <w:rsid w:val="00030584"/>
    <w:rPr>
      <w:vertAlign w:val="superscript"/>
    </w:rPr>
  </w:style>
  <w:style w:type="table" w:styleId="GridTable1Light">
    <w:name w:val="Grid Table 1 Light"/>
    <w:basedOn w:val="TableNormal"/>
    <w:uiPriority w:val="46"/>
    <w:rsid w:val="0003058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3">
    <w:name w:val="Plain Table 3"/>
    <w:basedOn w:val="TableNormal"/>
    <w:uiPriority w:val="43"/>
    <w:rsid w:val="00030584"/>
    <w:pPr>
      <w:spacing w:after="0" w:line="240" w:lineRule="auto"/>
    </w:pPr>
    <w:rPr>
      <w:sz w:val="24"/>
      <w:szCs w:val="24"/>
      <w:lang w:val="fr-FR"/>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whitespace-normal">
    <w:name w:val="whitespace-normal"/>
    <w:basedOn w:val="DefaultParagraphFont"/>
    <w:rsid w:val="00646291"/>
  </w:style>
  <w:style w:type="character" w:customStyle="1" w:styleId="katex-mathml">
    <w:name w:val="katex-mathml"/>
    <w:basedOn w:val="DefaultParagraphFont"/>
    <w:rsid w:val="001764C8"/>
  </w:style>
  <w:style w:type="paragraph" w:styleId="CommentText">
    <w:name w:val="annotation text"/>
    <w:basedOn w:val="Normal"/>
    <w:link w:val="CommentTextChar"/>
    <w:uiPriority w:val="99"/>
    <w:unhideWhenUsed/>
    <w:rsid w:val="001764C8"/>
    <w:pPr>
      <w:spacing w:after="0" w:line="240" w:lineRule="auto"/>
    </w:pPr>
    <w:rPr>
      <w:rFonts w:ascii="Times New Roman" w:eastAsia="Times New Roman" w:hAnsi="Times New Roman" w:cs="Times New Roman"/>
      <w:kern w:val="0"/>
      <w:sz w:val="20"/>
      <w:szCs w:val="20"/>
      <w:lang w:val="en-US"/>
      <w14:ligatures w14:val="none"/>
    </w:rPr>
  </w:style>
  <w:style w:type="character" w:customStyle="1" w:styleId="CommentTextChar">
    <w:name w:val="Comment Text Char"/>
    <w:basedOn w:val="DefaultParagraphFont"/>
    <w:link w:val="CommentText"/>
    <w:uiPriority w:val="99"/>
    <w:rsid w:val="001764C8"/>
    <w:rPr>
      <w:rFonts w:ascii="Times New Roman" w:eastAsia="Times New Roman" w:hAnsi="Times New Roman" w:cs="Times New Roman"/>
      <w:sz w:val="20"/>
      <w:szCs w:val="20"/>
    </w:rPr>
  </w:style>
  <w:style w:type="character" w:customStyle="1" w:styleId="apple-converted-space">
    <w:name w:val="apple-converted-space"/>
    <w:basedOn w:val="DefaultParagraphFont"/>
    <w:rsid w:val="008B38F7"/>
  </w:style>
  <w:style w:type="paragraph" w:styleId="Subtitle">
    <w:name w:val="Subtitle"/>
    <w:basedOn w:val="Normal"/>
    <w:next w:val="Normal"/>
    <w:link w:val="SubtitleChar"/>
    <w:uiPriority w:val="11"/>
    <w:qFormat/>
    <w:rsid w:val="00EB270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B2706"/>
    <w:rPr>
      <w:rFonts w:eastAsiaTheme="minorEastAsia"/>
      <w:color w:val="5A5A5A" w:themeColor="text1" w:themeTint="A5"/>
      <w:spacing w:val="15"/>
      <w:kern w:val="2"/>
      <w:lang w:val="en-AU"/>
      <w14:ligatures w14:val="standardContextual"/>
    </w:rPr>
  </w:style>
  <w:style w:type="paragraph" w:styleId="Title">
    <w:name w:val="Title"/>
    <w:basedOn w:val="Normal"/>
    <w:next w:val="Normal"/>
    <w:link w:val="TitleChar"/>
    <w:uiPriority w:val="10"/>
    <w:qFormat/>
    <w:rsid w:val="00EB270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2706"/>
    <w:rPr>
      <w:rFonts w:asciiTheme="majorHAnsi" w:eastAsiaTheme="majorEastAsia" w:hAnsiTheme="majorHAnsi" w:cstheme="majorBidi"/>
      <w:spacing w:val="-10"/>
      <w:kern w:val="28"/>
      <w:sz w:val="56"/>
      <w:szCs w:val="56"/>
      <w:lang w:val="en-AU"/>
      <w14:ligatures w14:val="standardContextual"/>
    </w:rPr>
  </w:style>
  <w:style w:type="character" w:customStyle="1" w:styleId="Heading4Char">
    <w:name w:val="Heading 4 Char"/>
    <w:basedOn w:val="DefaultParagraphFont"/>
    <w:link w:val="Heading4"/>
    <w:uiPriority w:val="9"/>
    <w:semiHidden/>
    <w:rsid w:val="009E5B6E"/>
    <w:rPr>
      <w:rFonts w:asciiTheme="majorHAnsi" w:eastAsiaTheme="majorEastAsia" w:hAnsiTheme="majorHAnsi" w:cstheme="majorBidi"/>
      <w:i/>
      <w:iCs/>
      <w:color w:val="2E74B5" w:themeColor="accent1" w:themeShade="BF"/>
      <w:kern w:val="2"/>
      <w:lang w:val="en-AU"/>
      <w14:ligatures w14:val="standardContextual"/>
    </w:rPr>
  </w:style>
  <w:style w:type="paragraph" w:customStyle="1" w:styleId="pdq2pgselectionanchorcontainer">
    <w:name w:val="pdq2pg_selectionanchorcontainer"/>
    <w:basedOn w:val="Normal"/>
    <w:rsid w:val="00686BF8"/>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Header">
    <w:name w:val="header"/>
    <w:basedOn w:val="Normal"/>
    <w:link w:val="HeaderChar"/>
    <w:uiPriority w:val="99"/>
    <w:unhideWhenUsed/>
    <w:rsid w:val="00DE52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5235"/>
    <w:rPr>
      <w:kern w:val="2"/>
      <w:lang w:val="en-AU"/>
      <w14:ligatures w14:val="standardContextual"/>
    </w:rPr>
  </w:style>
  <w:style w:type="paragraph" w:styleId="Footer">
    <w:name w:val="footer"/>
    <w:basedOn w:val="Normal"/>
    <w:link w:val="FooterChar"/>
    <w:uiPriority w:val="99"/>
    <w:unhideWhenUsed/>
    <w:rsid w:val="00DE52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5235"/>
    <w:rPr>
      <w:kern w:val="2"/>
      <w:lang w:val="en-AU"/>
      <w14:ligatures w14:val="standardContextual"/>
    </w:rPr>
  </w:style>
  <w:style w:type="paragraph" w:customStyle="1" w:styleId="p1">
    <w:name w:val="p1"/>
    <w:basedOn w:val="Normal"/>
    <w:rsid w:val="008C7144"/>
    <w:pPr>
      <w:spacing w:after="0" w:line="240" w:lineRule="auto"/>
    </w:pPr>
    <w:rPr>
      <w:rFonts w:ascii="Times New Roman" w:eastAsia="Times New Roman" w:hAnsi="Times New Roman" w:cs="Times New Roman"/>
      <w:color w:val="000000"/>
      <w:kern w:val="0"/>
      <w:sz w:val="14"/>
      <w:szCs w:val="1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8235">
      <w:bodyDiv w:val="1"/>
      <w:marLeft w:val="0"/>
      <w:marRight w:val="0"/>
      <w:marTop w:val="0"/>
      <w:marBottom w:val="0"/>
      <w:divBdr>
        <w:top w:val="none" w:sz="0" w:space="0" w:color="auto"/>
        <w:left w:val="none" w:sz="0" w:space="0" w:color="auto"/>
        <w:bottom w:val="none" w:sz="0" w:space="0" w:color="auto"/>
        <w:right w:val="none" w:sz="0" w:space="0" w:color="auto"/>
      </w:divBdr>
    </w:div>
    <w:div w:id="69086641">
      <w:bodyDiv w:val="1"/>
      <w:marLeft w:val="0"/>
      <w:marRight w:val="0"/>
      <w:marTop w:val="0"/>
      <w:marBottom w:val="0"/>
      <w:divBdr>
        <w:top w:val="none" w:sz="0" w:space="0" w:color="auto"/>
        <w:left w:val="none" w:sz="0" w:space="0" w:color="auto"/>
        <w:bottom w:val="none" w:sz="0" w:space="0" w:color="auto"/>
        <w:right w:val="none" w:sz="0" w:space="0" w:color="auto"/>
      </w:divBdr>
      <w:divsChild>
        <w:div w:id="2047103329">
          <w:marLeft w:val="0"/>
          <w:marRight w:val="0"/>
          <w:marTop w:val="0"/>
          <w:marBottom w:val="0"/>
          <w:divBdr>
            <w:top w:val="none" w:sz="0" w:space="0" w:color="auto"/>
            <w:left w:val="none" w:sz="0" w:space="0" w:color="auto"/>
            <w:bottom w:val="none" w:sz="0" w:space="0" w:color="auto"/>
            <w:right w:val="none" w:sz="0" w:space="0" w:color="auto"/>
          </w:divBdr>
          <w:divsChild>
            <w:div w:id="377357782">
              <w:marLeft w:val="0"/>
              <w:marRight w:val="0"/>
              <w:marTop w:val="0"/>
              <w:marBottom w:val="0"/>
              <w:divBdr>
                <w:top w:val="none" w:sz="0" w:space="0" w:color="auto"/>
                <w:left w:val="none" w:sz="0" w:space="0" w:color="auto"/>
                <w:bottom w:val="none" w:sz="0" w:space="0" w:color="auto"/>
                <w:right w:val="none" w:sz="0" w:space="0" w:color="auto"/>
              </w:divBdr>
              <w:divsChild>
                <w:div w:id="646857296">
                  <w:marLeft w:val="0"/>
                  <w:marRight w:val="0"/>
                  <w:marTop w:val="0"/>
                  <w:marBottom w:val="0"/>
                  <w:divBdr>
                    <w:top w:val="none" w:sz="0" w:space="0" w:color="auto"/>
                    <w:left w:val="none" w:sz="0" w:space="0" w:color="auto"/>
                    <w:bottom w:val="none" w:sz="0" w:space="0" w:color="auto"/>
                    <w:right w:val="none" w:sz="0" w:space="0" w:color="auto"/>
                  </w:divBdr>
                  <w:divsChild>
                    <w:div w:id="1229074673">
                      <w:marLeft w:val="0"/>
                      <w:marRight w:val="0"/>
                      <w:marTop w:val="0"/>
                      <w:marBottom w:val="0"/>
                      <w:divBdr>
                        <w:top w:val="none" w:sz="0" w:space="0" w:color="auto"/>
                        <w:left w:val="none" w:sz="0" w:space="0" w:color="auto"/>
                        <w:bottom w:val="none" w:sz="0" w:space="0" w:color="auto"/>
                        <w:right w:val="none" w:sz="0" w:space="0" w:color="auto"/>
                      </w:divBdr>
                      <w:divsChild>
                        <w:div w:id="612176872">
                          <w:marLeft w:val="0"/>
                          <w:marRight w:val="0"/>
                          <w:marTop w:val="0"/>
                          <w:marBottom w:val="0"/>
                          <w:divBdr>
                            <w:top w:val="none" w:sz="0" w:space="0" w:color="auto"/>
                            <w:left w:val="none" w:sz="0" w:space="0" w:color="auto"/>
                            <w:bottom w:val="none" w:sz="0" w:space="0" w:color="auto"/>
                            <w:right w:val="none" w:sz="0" w:space="0" w:color="auto"/>
                          </w:divBdr>
                          <w:divsChild>
                            <w:div w:id="753429119">
                              <w:marLeft w:val="0"/>
                              <w:marRight w:val="0"/>
                              <w:marTop w:val="0"/>
                              <w:marBottom w:val="0"/>
                              <w:divBdr>
                                <w:top w:val="none" w:sz="0" w:space="0" w:color="auto"/>
                                <w:left w:val="none" w:sz="0" w:space="0" w:color="auto"/>
                                <w:bottom w:val="none" w:sz="0" w:space="0" w:color="auto"/>
                                <w:right w:val="none" w:sz="0" w:space="0" w:color="auto"/>
                              </w:divBdr>
                              <w:divsChild>
                                <w:div w:id="396366704">
                                  <w:marLeft w:val="0"/>
                                  <w:marRight w:val="0"/>
                                  <w:marTop w:val="0"/>
                                  <w:marBottom w:val="0"/>
                                  <w:divBdr>
                                    <w:top w:val="none" w:sz="0" w:space="0" w:color="auto"/>
                                    <w:left w:val="none" w:sz="0" w:space="0" w:color="auto"/>
                                    <w:bottom w:val="none" w:sz="0" w:space="0" w:color="auto"/>
                                    <w:right w:val="none" w:sz="0" w:space="0" w:color="auto"/>
                                  </w:divBdr>
                                  <w:divsChild>
                                    <w:div w:id="126591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452079">
      <w:bodyDiv w:val="1"/>
      <w:marLeft w:val="0"/>
      <w:marRight w:val="0"/>
      <w:marTop w:val="0"/>
      <w:marBottom w:val="0"/>
      <w:divBdr>
        <w:top w:val="none" w:sz="0" w:space="0" w:color="auto"/>
        <w:left w:val="none" w:sz="0" w:space="0" w:color="auto"/>
        <w:bottom w:val="none" w:sz="0" w:space="0" w:color="auto"/>
        <w:right w:val="none" w:sz="0" w:space="0" w:color="auto"/>
      </w:divBdr>
    </w:div>
    <w:div w:id="120803500">
      <w:bodyDiv w:val="1"/>
      <w:marLeft w:val="0"/>
      <w:marRight w:val="0"/>
      <w:marTop w:val="0"/>
      <w:marBottom w:val="0"/>
      <w:divBdr>
        <w:top w:val="none" w:sz="0" w:space="0" w:color="auto"/>
        <w:left w:val="none" w:sz="0" w:space="0" w:color="auto"/>
        <w:bottom w:val="none" w:sz="0" w:space="0" w:color="auto"/>
        <w:right w:val="none" w:sz="0" w:space="0" w:color="auto"/>
      </w:divBdr>
    </w:div>
    <w:div w:id="225066518">
      <w:bodyDiv w:val="1"/>
      <w:marLeft w:val="0"/>
      <w:marRight w:val="0"/>
      <w:marTop w:val="0"/>
      <w:marBottom w:val="0"/>
      <w:divBdr>
        <w:top w:val="none" w:sz="0" w:space="0" w:color="auto"/>
        <w:left w:val="none" w:sz="0" w:space="0" w:color="auto"/>
        <w:bottom w:val="none" w:sz="0" w:space="0" w:color="auto"/>
        <w:right w:val="none" w:sz="0" w:space="0" w:color="auto"/>
      </w:divBdr>
      <w:divsChild>
        <w:div w:id="1437367372">
          <w:marLeft w:val="0"/>
          <w:marRight w:val="0"/>
          <w:marTop w:val="0"/>
          <w:marBottom w:val="0"/>
          <w:divBdr>
            <w:top w:val="none" w:sz="0" w:space="0" w:color="auto"/>
            <w:left w:val="none" w:sz="0" w:space="0" w:color="auto"/>
            <w:bottom w:val="none" w:sz="0" w:space="0" w:color="auto"/>
            <w:right w:val="none" w:sz="0" w:space="0" w:color="auto"/>
          </w:divBdr>
          <w:divsChild>
            <w:div w:id="874079968">
              <w:marLeft w:val="0"/>
              <w:marRight w:val="0"/>
              <w:marTop w:val="0"/>
              <w:marBottom w:val="0"/>
              <w:divBdr>
                <w:top w:val="none" w:sz="0" w:space="0" w:color="auto"/>
                <w:left w:val="none" w:sz="0" w:space="0" w:color="auto"/>
                <w:bottom w:val="none" w:sz="0" w:space="0" w:color="auto"/>
                <w:right w:val="none" w:sz="0" w:space="0" w:color="auto"/>
              </w:divBdr>
              <w:divsChild>
                <w:div w:id="1286697319">
                  <w:marLeft w:val="0"/>
                  <w:marRight w:val="0"/>
                  <w:marTop w:val="0"/>
                  <w:marBottom w:val="0"/>
                  <w:divBdr>
                    <w:top w:val="none" w:sz="0" w:space="0" w:color="auto"/>
                    <w:left w:val="none" w:sz="0" w:space="0" w:color="auto"/>
                    <w:bottom w:val="none" w:sz="0" w:space="0" w:color="auto"/>
                    <w:right w:val="none" w:sz="0" w:space="0" w:color="auto"/>
                  </w:divBdr>
                  <w:divsChild>
                    <w:div w:id="17779432">
                      <w:marLeft w:val="0"/>
                      <w:marRight w:val="0"/>
                      <w:marTop w:val="0"/>
                      <w:marBottom w:val="0"/>
                      <w:divBdr>
                        <w:top w:val="none" w:sz="0" w:space="0" w:color="auto"/>
                        <w:left w:val="none" w:sz="0" w:space="0" w:color="auto"/>
                        <w:bottom w:val="none" w:sz="0" w:space="0" w:color="auto"/>
                        <w:right w:val="none" w:sz="0" w:space="0" w:color="auto"/>
                      </w:divBdr>
                      <w:divsChild>
                        <w:div w:id="417559243">
                          <w:marLeft w:val="0"/>
                          <w:marRight w:val="0"/>
                          <w:marTop w:val="0"/>
                          <w:marBottom w:val="0"/>
                          <w:divBdr>
                            <w:top w:val="none" w:sz="0" w:space="0" w:color="auto"/>
                            <w:left w:val="none" w:sz="0" w:space="0" w:color="auto"/>
                            <w:bottom w:val="none" w:sz="0" w:space="0" w:color="auto"/>
                            <w:right w:val="none" w:sz="0" w:space="0" w:color="auto"/>
                          </w:divBdr>
                          <w:divsChild>
                            <w:div w:id="1541433212">
                              <w:marLeft w:val="0"/>
                              <w:marRight w:val="0"/>
                              <w:marTop w:val="0"/>
                              <w:marBottom w:val="0"/>
                              <w:divBdr>
                                <w:top w:val="none" w:sz="0" w:space="0" w:color="auto"/>
                                <w:left w:val="none" w:sz="0" w:space="0" w:color="auto"/>
                                <w:bottom w:val="none" w:sz="0" w:space="0" w:color="auto"/>
                                <w:right w:val="none" w:sz="0" w:space="0" w:color="auto"/>
                              </w:divBdr>
                              <w:divsChild>
                                <w:div w:id="1868135989">
                                  <w:marLeft w:val="0"/>
                                  <w:marRight w:val="0"/>
                                  <w:marTop w:val="0"/>
                                  <w:marBottom w:val="0"/>
                                  <w:divBdr>
                                    <w:top w:val="none" w:sz="0" w:space="0" w:color="auto"/>
                                    <w:left w:val="none" w:sz="0" w:space="0" w:color="auto"/>
                                    <w:bottom w:val="none" w:sz="0" w:space="0" w:color="auto"/>
                                    <w:right w:val="none" w:sz="0" w:space="0" w:color="auto"/>
                                  </w:divBdr>
                                  <w:divsChild>
                                    <w:div w:id="211589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2349438">
      <w:bodyDiv w:val="1"/>
      <w:marLeft w:val="0"/>
      <w:marRight w:val="0"/>
      <w:marTop w:val="0"/>
      <w:marBottom w:val="0"/>
      <w:divBdr>
        <w:top w:val="none" w:sz="0" w:space="0" w:color="auto"/>
        <w:left w:val="none" w:sz="0" w:space="0" w:color="auto"/>
        <w:bottom w:val="none" w:sz="0" w:space="0" w:color="auto"/>
        <w:right w:val="none" w:sz="0" w:space="0" w:color="auto"/>
      </w:divBdr>
    </w:div>
    <w:div w:id="271279766">
      <w:bodyDiv w:val="1"/>
      <w:marLeft w:val="0"/>
      <w:marRight w:val="0"/>
      <w:marTop w:val="0"/>
      <w:marBottom w:val="0"/>
      <w:divBdr>
        <w:top w:val="none" w:sz="0" w:space="0" w:color="auto"/>
        <w:left w:val="none" w:sz="0" w:space="0" w:color="auto"/>
        <w:bottom w:val="none" w:sz="0" w:space="0" w:color="auto"/>
        <w:right w:val="none" w:sz="0" w:space="0" w:color="auto"/>
      </w:divBdr>
    </w:div>
    <w:div w:id="298658816">
      <w:bodyDiv w:val="1"/>
      <w:marLeft w:val="0"/>
      <w:marRight w:val="0"/>
      <w:marTop w:val="0"/>
      <w:marBottom w:val="0"/>
      <w:divBdr>
        <w:top w:val="none" w:sz="0" w:space="0" w:color="auto"/>
        <w:left w:val="none" w:sz="0" w:space="0" w:color="auto"/>
        <w:bottom w:val="none" w:sz="0" w:space="0" w:color="auto"/>
        <w:right w:val="none" w:sz="0" w:space="0" w:color="auto"/>
      </w:divBdr>
      <w:divsChild>
        <w:div w:id="1848593400">
          <w:marLeft w:val="0"/>
          <w:marRight w:val="0"/>
          <w:marTop w:val="0"/>
          <w:marBottom w:val="0"/>
          <w:divBdr>
            <w:top w:val="none" w:sz="0" w:space="0" w:color="auto"/>
            <w:left w:val="none" w:sz="0" w:space="0" w:color="auto"/>
            <w:bottom w:val="none" w:sz="0" w:space="0" w:color="auto"/>
            <w:right w:val="none" w:sz="0" w:space="0" w:color="auto"/>
          </w:divBdr>
          <w:divsChild>
            <w:div w:id="187107528">
              <w:marLeft w:val="0"/>
              <w:marRight w:val="0"/>
              <w:marTop w:val="0"/>
              <w:marBottom w:val="0"/>
              <w:divBdr>
                <w:top w:val="none" w:sz="0" w:space="0" w:color="auto"/>
                <w:left w:val="none" w:sz="0" w:space="0" w:color="auto"/>
                <w:bottom w:val="none" w:sz="0" w:space="0" w:color="auto"/>
                <w:right w:val="none" w:sz="0" w:space="0" w:color="auto"/>
              </w:divBdr>
              <w:divsChild>
                <w:div w:id="1546335776">
                  <w:marLeft w:val="0"/>
                  <w:marRight w:val="0"/>
                  <w:marTop w:val="0"/>
                  <w:marBottom w:val="0"/>
                  <w:divBdr>
                    <w:top w:val="none" w:sz="0" w:space="0" w:color="auto"/>
                    <w:left w:val="none" w:sz="0" w:space="0" w:color="auto"/>
                    <w:bottom w:val="none" w:sz="0" w:space="0" w:color="auto"/>
                    <w:right w:val="none" w:sz="0" w:space="0" w:color="auto"/>
                  </w:divBdr>
                  <w:divsChild>
                    <w:div w:id="1123691779">
                      <w:marLeft w:val="0"/>
                      <w:marRight w:val="0"/>
                      <w:marTop w:val="0"/>
                      <w:marBottom w:val="0"/>
                      <w:divBdr>
                        <w:top w:val="none" w:sz="0" w:space="0" w:color="auto"/>
                        <w:left w:val="none" w:sz="0" w:space="0" w:color="auto"/>
                        <w:bottom w:val="none" w:sz="0" w:space="0" w:color="auto"/>
                        <w:right w:val="none" w:sz="0" w:space="0" w:color="auto"/>
                      </w:divBdr>
                      <w:divsChild>
                        <w:div w:id="1404568251">
                          <w:marLeft w:val="0"/>
                          <w:marRight w:val="0"/>
                          <w:marTop w:val="0"/>
                          <w:marBottom w:val="0"/>
                          <w:divBdr>
                            <w:top w:val="none" w:sz="0" w:space="0" w:color="auto"/>
                            <w:left w:val="none" w:sz="0" w:space="0" w:color="auto"/>
                            <w:bottom w:val="none" w:sz="0" w:space="0" w:color="auto"/>
                            <w:right w:val="none" w:sz="0" w:space="0" w:color="auto"/>
                          </w:divBdr>
                          <w:divsChild>
                            <w:div w:id="8220755">
                              <w:marLeft w:val="0"/>
                              <w:marRight w:val="0"/>
                              <w:marTop w:val="0"/>
                              <w:marBottom w:val="0"/>
                              <w:divBdr>
                                <w:top w:val="none" w:sz="0" w:space="0" w:color="auto"/>
                                <w:left w:val="none" w:sz="0" w:space="0" w:color="auto"/>
                                <w:bottom w:val="none" w:sz="0" w:space="0" w:color="auto"/>
                                <w:right w:val="none" w:sz="0" w:space="0" w:color="auto"/>
                              </w:divBdr>
                              <w:divsChild>
                                <w:div w:id="84832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0253846">
      <w:bodyDiv w:val="1"/>
      <w:marLeft w:val="0"/>
      <w:marRight w:val="0"/>
      <w:marTop w:val="0"/>
      <w:marBottom w:val="0"/>
      <w:divBdr>
        <w:top w:val="none" w:sz="0" w:space="0" w:color="auto"/>
        <w:left w:val="none" w:sz="0" w:space="0" w:color="auto"/>
        <w:bottom w:val="none" w:sz="0" w:space="0" w:color="auto"/>
        <w:right w:val="none" w:sz="0" w:space="0" w:color="auto"/>
      </w:divBdr>
    </w:div>
    <w:div w:id="365761030">
      <w:bodyDiv w:val="1"/>
      <w:marLeft w:val="0"/>
      <w:marRight w:val="0"/>
      <w:marTop w:val="0"/>
      <w:marBottom w:val="0"/>
      <w:divBdr>
        <w:top w:val="none" w:sz="0" w:space="0" w:color="auto"/>
        <w:left w:val="none" w:sz="0" w:space="0" w:color="auto"/>
        <w:bottom w:val="none" w:sz="0" w:space="0" w:color="auto"/>
        <w:right w:val="none" w:sz="0" w:space="0" w:color="auto"/>
      </w:divBdr>
    </w:div>
    <w:div w:id="405032925">
      <w:bodyDiv w:val="1"/>
      <w:marLeft w:val="0"/>
      <w:marRight w:val="0"/>
      <w:marTop w:val="0"/>
      <w:marBottom w:val="0"/>
      <w:divBdr>
        <w:top w:val="none" w:sz="0" w:space="0" w:color="auto"/>
        <w:left w:val="none" w:sz="0" w:space="0" w:color="auto"/>
        <w:bottom w:val="none" w:sz="0" w:space="0" w:color="auto"/>
        <w:right w:val="none" w:sz="0" w:space="0" w:color="auto"/>
      </w:divBdr>
    </w:div>
    <w:div w:id="423383064">
      <w:bodyDiv w:val="1"/>
      <w:marLeft w:val="0"/>
      <w:marRight w:val="0"/>
      <w:marTop w:val="0"/>
      <w:marBottom w:val="0"/>
      <w:divBdr>
        <w:top w:val="none" w:sz="0" w:space="0" w:color="auto"/>
        <w:left w:val="none" w:sz="0" w:space="0" w:color="auto"/>
        <w:bottom w:val="none" w:sz="0" w:space="0" w:color="auto"/>
        <w:right w:val="none" w:sz="0" w:space="0" w:color="auto"/>
      </w:divBdr>
    </w:div>
    <w:div w:id="550268448">
      <w:bodyDiv w:val="1"/>
      <w:marLeft w:val="0"/>
      <w:marRight w:val="0"/>
      <w:marTop w:val="0"/>
      <w:marBottom w:val="0"/>
      <w:divBdr>
        <w:top w:val="none" w:sz="0" w:space="0" w:color="auto"/>
        <w:left w:val="none" w:sz="0" w:space="0" w:color="auto"/>
        <w:bottom w:val="none" w:sz="0" w:space="0" w:color="auto"/>
        <w:right w:val="none" w:sz="0" w:space="0" w:color="auto"/>
      </w:divBdr>
    </w:div>
    <w:div w:id="581909621">
      <w:bodyDiv w:val="1"/>
      <w:marLeft w:val="0"/>
      <w:marRight w:val="0"/>
      <w:marTop w:val="0"/>
      <w:marBottom w:val="0"/>
      <w:divBdr>
        <w:top w:val="none" w:sz="0" w:space="0" w:color="auto"/>
        <w:left w:val="none" w:sz="0" w:space="0" w:color="auto"/>
        <w:bottom w:val="none" w:sz="0" w:space="0" w:color="auto"/>
        <w:right w:val="none" w:sz="0" w:space="0" w:color="auto"/>
      </w:divBdr>
    </w:div>
    <w:div w:id="602415600">
      <w:bodyDiv w:val="1"/>
      <w:marLeft w:val="0"/>
      <w:marRight w:val="0"/>
      <w:marTop w:val="0"/>
      <w:marBottom w:val="0"/>
      <w:divBdr>
        <w:top w:val="none" w:sz="0" w:space="0" w:color="auto"/>
        <w:left w:val="none" w:sz="0" w:space="0" w:color="auto"/>
        <w:bottom w:val="none" w:sz="0" w:space="0" w:color="auto"/>
        <w:right w:val="none" w:sz="0" w:space="0" w:color="auto"/>
      </w:divBdr>
    </w:div>
    <w:div w:id="726270062">
      <w:bodyDiv w:val="1"/>
      <w:marLeft w:val="0"/>
      <w:marRight w:val="0"/>
      <w:marTop w:val="0"/>
      <w:marBottom w:val="0"/>
      <w:divBdr>
        <w:top w:val="none" w:sz="0" w:space="0" w:color="auto"/>
        <w:left w:val="none" w:sz="0" w:space="0" w:color="auto"/>
        <w:bottom w:val="none" w:sz="0" w:space="0" w:color="auto"/>
        <w:right w:val="none" w:sz="0" w:space="0" w:color="auto"/>
      </w:divBdr>
    </w:div>
    <w:div w:id="754782453">
      <w:bodyDiv w:val="1"/>
      <w:marLeft w:val="0"/>
      <w:marRight w:val="0"/>
      <w:marTop w:val="0"/>
      <w:marBottom w:val="0"/>
      <w:divBdr>
        <w:top w:val="none" w:sz="0" w:space="0" w:color="auto"/>
        <w:left w:val="none" w:sz="0" w:space="0" w:color="auto"/>
        <w:bottom w:val="none" w:sz="0" w:space="0" w:color="auto"/>
        <w:right w:val="none" w:sz="0" w:space="0" w:color="auto"/>
      </w:divBdr>
    </w:div>
    <w:div w:id="824320138">
      <w:bodyDiv w:val="1"/>
      <w:marLeft w:val="0"/>
      <w:marRight w:val="0"/>
      <w:marTop w:val="0"/>
      <w:marBottom w:val="0"/>
      <w:divBdr>
        <w:top w:val="none" w:sz="0" w:space="0" w:color="auto"/>
        <w:left w:val="none" w:sz="0" w:space="0" w:color="auto"/>
        <w:bottom w:val="none" w:sz="0" w:space="0" w:color="auto"/>
        <w:right w:val="none" w:sz="0" w:space="0" w:color="auto"/>
      </w:divBdr>
    </w:div>
    <w:div w:id="870189384">
      <w:bodyDiv w:val="1"/>
      <w:marLeft w:val="0"/>
      <w:marRight w:val="0"/>
      <w:marTop w:val="0"/>
      <w:marBottom w:val="0"/>
      <w:divBdr>
        <w:top w:val="none" w:sz="0" w:space="0" w:color="auto"/>
        <w:left w:val="none" w:sz="0" w:space="0" w:color="auto"/>
        <w:bottom w:val="none" w:sz="0" w:space="0" w:color="auto"/>
        <w:right w:val="none" w:sz="0" w:space="0" w:color="auto"/>
      </w:divBdr>
      <w:divsChild>
        <w:div w:id="1747343257">
          <w:marLeft w:val="0"/>
          <w:marRight w:val="0"/>
          <w:marTop w:val="0"/>
          <w:marBottom w:val="0"/>
          <w:divBdr>
            <w:top w:val="none" w:sz="0" w:space="0" w:color="auto"/>
            <w:left w:val="none" w:sz="0" w:space="0" w:color="auto"/>
            <w:bottom w:val="none" w:sz="0" w:space="0" w:color="auto"/>
            <w:right w:val="none" w:sz="0" w:space="0" w:color="auto"/>
          </w:divBdr>
          <w:divsChild>
            <w:div w:id="1042167254">
              <w:marLeft w:val="0"/>
              <w:marRight w:val="0"/>
              <w:marTop w:val="0"/>
              <w:marBottom w:val="0"/>
              <w:divBdr>
                <w:top w:val="none" w:sz="0" w:space="0" w:color="auto"/>
                <w:left w:val="none" w:sz="0" w:space="0" w:color="auto"/>
                <w:bottom w:val="none" w:sz="0" w:space="0" w:color="auto"/>
                <w:right w:val="none" w:sz="0" w:space="0" w:color="auto"/>
              </w:divBdr>
              <w:divsChild>
                <w:div w:id="695156648">
                  <w:marLeft w:val="0"/>
                  <w:marRight w:val="0"/>
                  <w:marTop w:val="0"/>
                  <w:marBottom w:val="0"/>
                  <w:divBdr>
                    <w:top w:val="none" w:sz="0" w:space="0" w:color="auto"/>
                    <w:left w:val="none" w:sz="0" w:space="0" w:color="auto"/>
                    <w:bottom w:val="none" w:sz="0" w:space="0" w:color="auto"/>
                    <w:right w:val="none" w:sz="0" w:space="0" w:color="auto"/>
                  </w:divBdr>
                  <w:divsChild>
                    <w:div w:id="1569413878">
                      <w:marLeft w:val="0"/>
                      <w:marRight w:val="0"/>
                      <w:marTop w:val="0"/>
                      <w:marBottom w:val="0"/>
                      <w:divBdr>
                        <w:top w:val="none" w:sz="0" w:space="0" w:color="auto"/>
                        <w:left w:val="none" w:sz="0" w:space="0" w:color="auto"/>
                        <w:bottom w:val="none" w:sz="0" w:space="0" w:color="auto"/>
                        <w:right w:val="none" w:sz="0" w:space="0" w:color="auto"/>
                      </w:divBdr>
                      <w:divsChild>
                        <w:div w:id="1828520926">
                          <w:marLeft w:val="0"/>
                          <w:marRight w:val="0"/>
                          <w:marTop w:val="0"/>
                          <w:marBottom w:val="0"/>
                          <w:divBdr>
                            <w:top w:val="none" w:sz="0" w:space="0" w:color="auto"/>
                            <w:left w:val="none" w:sz="0" w:space="0" w:color="auto"/>
                            <w:bottom w:val="none" w:sz="0" w:space="0" w:color="auto"/>
                            <w:right w:val="none" w:sz="0" w:space="0" w:color="auto"/>
                          </w:divBdr>
                          <w:divsChild>
                            <w:div w:id="877162206">
                              <w:marLeft w:val="0"/>
                              <w:marRight w:val="0"/>
                              <w:marTop w:val="0"/>
                              <w:marBottom w:val="0"/>
                              <w:divBdr>
                                <w:top w:val="none" w:sz="0" w:space="0" w:color="auto"/>
                                <w:left w:val="none" w:sz="0" w:space="0" w:color="auto"/>
                                <w:bottom w:val="none" w:sz="0" w:space="0" w:color="auto"/>
                                <w:right w:val="none" w:sz="0" w:space="0" w:color="auto"/>
                              </w:divBdr>
                              <w:divsChild>
                                <w:div w:id="783309224">
                                  <w:marLeft w:val="0"/>
                                  <w:marRight w:val="0"/>
                                  <w:marTop w:val="0"/>
                                  <w:marBottom w:val="0"/>
                                  <w:divBdr>
                                    <w:top w:val="none" w:sz="0" w:space="0" w:color="auto"/>
                                    <w:left w:val="none" w:sz="0" w:space="0" w:color="auto"/>
                                    <w:bottom w:val="none" w:sz="0" w:space="0" w:color="auto"/>
                                    <w:right w:val="none" w:sz="0" w:space="0" w:color="auto"/>
                                  </w:divBdr>
                                  <w:divsChild>
                                    <w:div w:id="4557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9367594">
      <w:bodyDiv w:val="1"/>
      <w:marLeft w:val="0"/>
      <w:marRight w:val="0"/>
      <w:marTop w:val="0"/>
      <w:marBottom w:val="0"/>
      <w:divBdr>
        <w:top w:val="none" w:sz="0" w:space="0" w:color="auto"/>
        <w:left w:val="none" w:sz="0" w:space="0" w:color="auto"/>
        <w:bottom w:val="none" w:sz="0" w:space="0" w:color="auto"/>
        <w:right w:val="none" w:sz="0" w:space="0" w:color="auto"/>
      </w:divBdr>
    </w:div>
    <w:div w:id="979118632">
      <w:bodyDiv w:val="1"/>
      <w:marLeft w:val="0"/>
      <w:marRight w:val="0"/>
      <w:marTop w:val="0"/>
      <w:marBottom w:val="0"/>
      <w:divBdr>
        <w:top w:val="none" w:sz="0" w:space="0" w:color="auto"/>
        <w:left w:val="none" w:sz="0" w:space="0" w:color="auto"/>
        <w:bottom w:val="none" w:sz="0" w:space="0" w:color="auto"/>
        <w:right w:val="none" w:sz="0" w:space="0" w:color="auto"/>
      </w:divBdr>
      <w:divsChild>
        <w:div w:id="503205661">
          <w:marLeft w:val="0"/>
          <w:marRight w:val="0"/>
          <w:marTop w:val="0"/>
          <w:marBottom w:val="0"/>
          <w:divBdr>
            <w:top w:val="none" w:sz="0" w:space="0" w:color="auto"/>
            <w:left w:val="none" w:sz="0" w:space="0" w:color="auto"/>
            <w:bottom w:val="none" w:sz="0" w:space="0" w:color="auto"/>
            <w:right w:val="none" w:sz="0" w:space="0" w:color="auto"/>
          </w:divBdr>
          <w:divsChild>
            <w:div w:id="1530100385">
              <w:marLeft w:val="0"/>
              <w:marRight w:val="0"/>
              <w:marTop w:val="0"/>
              <w:marBottom w:val="0"/>
              <w:divBdr>
                <w:top w:val="none" w:sz="0" w:space="0" w:color="auto"/>
                <w:left w:val="none" w:sz="0" w:space="0" w:color="auto"/>
                <w:bottom w:val="none" w:sz="0" w:space="0" w:color="auto"/>
                <w:right w:val="none" w:sz="0" w:space="0" w:color="auto"/>
              </w:divBdr>
              <w:divsChild>
                <w:div w:id="1944804000">
                  <w:marLeft w:val="0"/>
                  <w:marRight w:val="0"/>
                  <w:marTop w:val="0"/>
                  <w:marBottom w:val="0"/>
                  <w:divBdr>
                    <w:top w:val="none" w:sz="0" w:space="0" w:color="auto"/>
                    <w:left w:val="none" w:sz="0" w:space="0" w:color="auto"/>
                    <w:bottom w:val="none" w:sz="0" w:space="0" w:color="auto"/>
                    <w:right w:val="none" w:sz="0" w:space="0" w:color="auto"/>
                  </w:divBdr>
                  <w:divsChild>
                    <w:div w:id="167985910">
                      <w:marLeft w:val="0"/>
                      <w:marRight w:val="0"/>
                      <w:marTop w:val="0"/>
                      <w:marBottom w:val="0"/>
                      <w:divBdr>
                        <w:top w:val="none" w:sz="0" w:space="0" w:color="auto"/>
                        <w:left w:val="none" w:sz="0" w:space="0" w:color="auto"/>
                        <w:bottom w:val="none" w:sz="0" w:space="0" w:color="auto"/>
                        <w:right w:val="none" w:sz="0" w:space="0" w:color="auto"/>
                      </w:divBdr>
                      <w:divsChild>
                        <w:div w:id="1937863355">
                          <w:marLeft w:val="0"/>
                          <w:marRight w:val="0"/>
                          <w:marTop w:val="0"/>
                          <w:marBottom w:val="0"/>
                          <w:divBdr>
                            <w:top w:val="none" w:sz="0" w:space="0" w:color="auto"/>
                            <w:left w:val="none" w:sz="0" w:space="0" w:color="auto"/>
                            <w:bottom w:val="none" w:sz="0" w:space="0" w:color="auto"/>
                            <w:right w:val="none" w:sz="0" w:space="0" w:color="auto"/>
                          </w:divBdr>
                          <w:divsChild>
                            <w:div w:id="410811173">
                              <w:marLeft w:val="0"/>
                              <w:marRight w:val="0"/>
                              <w:marTop w:val="0"/>
                              <w:marBottom w:val="0"/>
                              <w:divBdr>
                                <w:top w:val="none" w:sz="0" w:space="0" w:color="auto"/>
                                <w:left w:val="none" w:sz="0" w:space="0" w:color="auto"/>
                                <w:bottom w:val="none" w:sz="0" w:space="0" w:color="auto"/>
                                <w:right w:val="none" w:sz="0" w:space="0" w:color="auto"/>
                              </w:divBdr>
                              <w:divsChild>
                                <w:div w:id="709913872">
                                  <w:marLeft w:val="0"/>
                                  <w:marRight w:val="0"/>
                                  <w:marTop w:val="0"/>
                                  <w:marBottom w:val="0"/>
                                  <w:divBdr>
                                    <w:top w:val="none" w:sz="0" w:space="0" w:color="auto"/>
                                    <w:left w:val="none" w:sz="0" w:space="0" w:color="auto"/>
                                    <w:bottom w:val="none" w:sz="0" w:space="0" w:color="auto"/>
                                    <w:right w:val="none" w:sz="0" w:space="0" w:color="auto"/>
                                  </w:divBdr>
                                  <w:divsChild>
                                    <w:div w:id="148727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8529867">
      <w:bodyDiv w:val="1"/>
      <w:marLeft w:val="0"/>
      <w:marRight w:val="0"/>
      <w:marTop w:val="0"/>
      <w:marBottom w:val="0"/>
      <w:divBdr>
        <w:top w:val="none" w:sz="0" w:space="0" w:color="auto"/>
        <w:left w:val="none" w:sz="0" w:space="0" w:color="auto"/>
        <w:bottom w:val="none" w:sz="0" w:space="0" w:color="auto"/>
        <w:right w:val="none" w:sz="0" w:space="0" w:color="auto"/>
      </w:divBdr>
    </w:div>
    <w:div w:id="1042553445">
      <w:bodyDiv w:val="1"/>
      <w:marLeft w:val="0"/>
      <w:marRight w:val="0"/>
      <w:marTop w:val="0"/>
      <w:marBottom w:val="0"/>
      <w:divBdr>
        <w:top w:val="none" w:sz="0" w:space="0" w:color="auto"/>
        <w:left w:val="none" w:sz="0" w:space="0" w:color="auto"/>
        <w:bottom w:val="none" w:sz="0" w:space="0" w:color="auto"/>
        <w:right w:val="none" w:sz="0" w:space="0" w:color="auto"/>
      </w:divBdr>
    </w:div>
    <w:div w:id="1045250921">
      <w:bodyDiv w:val="1"/>
      <w:marLeft w:val="0"/>
      <w:marRight w:val="0"/>
      <w:marTop w:val="0"/>
      <w:marBottom w:val="0"/>
      <w:divBdr>
        <w:top w:val="none" w:sz="0" w:space="0" w:color="auto"/>
        <w:left w:val="none" w:sz="0" w:space="0" w:color="auto"/>
        <w:bottom w:val="none" w:sz="0" w:space="0" w:color="auto"/>
        <w:right w:val="none" w:sz="0" w:space="0" w:color="auto"/>
      </w:divBdr>
    </w:div>
    <w:div w:id="1119758564">
      <w:bodyDiv w:val="1"/>
      <w:marLeft w:val="0"/>
      <w:marRight w:val="0"/>
      <w:marTop w:val="0"/>
      <w:marBottom w:val="0"/>
      <w:divBdr>
        <w:top w:val="none" w:sz="0" w:space="0" w:color="auto"/>
        <w:left w:val="none" w:sz="0" w:space="0" w:color="auto"/>
        <w:bottom w:val="none" w:sz="0" w:space="0" w:color="auto"/>
        <w:right w:val="none" w:sz="0" w:space="0" w:color="auto"/>
      </w:divBdr>
      <w:divsChild>
        <w:div w:id="930821008">
          <w:marLeft w:val="0"/>
          <w:marRight w:val="0"/>
          <w:marTop w:val="0"/>
          <w:marBottom w:val="0"/>
          <w:divBdr>
            <w:top w:val="none" w:sz="0" w:space="0" w:color="auto"/>
            <w:left w:val="none" w:sz="0" w:space="0" w:color="auto"/>
            <w:bottom w:val="none" w:sz="0" w:space="0" w:color="auto"/>
            <w:right w:val="none" w:sz="0" w:space="0" w:color="auto"/>
          </w:divBdr>
          <w:divsChild>
            <w:div w:id="1574121143">
              <w:marLeft w:val="0"/>
              <w:marRight w:val="0"/>
              <w:marTop w:val="0"/>
              <w:marBottom w:val="0"/>
              <w:divBdr>
                <w:top w:val="none" w:sz="0" w:space="0" w:color="auto"/>
                <w:left w:val="none" w:sz="0" w:space="0" w:color="auto"/>
                <w:bottom w:val="none" w:sz="0" w:space="0" w:color="auto"/>
                <w:right w:val="none" w:sz="0" w:space="0" w:color="auto"/>
              </w:divBdr>
              <w:divsChild>
                <w:div w:id="1929656813">
                  <w:marLeft w:val="0"/>
                  <w:marRight w:val="0"/>
                  <w:marTop w:val="0"/>
                  <w:marBottom w:val="0"/>
                  <w:divBdr>
                    <w:top w:val="none" w:sz="0" w:space="0" w:color="auto"/>
                    <w:left w:val="none" w:sz="0" w:space="0" w:color="auto"/>
                    <w:bottom w:val="none" w:sz="0" w:space="0" w:color="auto"/>
                    <w:right w:val="none" w:sz="0" w:space="0" w:color="auto"/>
                  </w:divBdr>
                  <w:divsChild>
                    <w:div w:id="67266183">
                      <w:marLeft w:val="0"/>
                      <w:marRight w:val="0"/>
                      <w:marTop w:val="0"/>
                      <w:marBottom w:val="0"/>
                      <w:divBdr>
                        <w:top w:val="none" w:sz="0" w:space="0" w:color="auto"/>
                        <w:left w:val="none" w:sz="0" w:space="0" w:color="auto"/>
                        <w:bottom w:val="none" w:sz="0" w:space="0" w:color="auto"/>
                        <w:right w:val="none" w:sz="0" w:space="0" w:color="auto"/>
                      </w:divBdr>
                      <w:divsChild>
                        <w:div w:id="2126457389">
                          <w:marLeft w:val="0"/>
                          <w:marRight w:val="0"/>
                          <w:marTop w:val="0"/>
                          <w:marBottom w:val="0"/>
                          <w:divBdr>
                            <w:top w:val="none" w:sz="0" w:space="0" w:color="auto"/>
                            <w:left w:val="none" w:sz="0" w:space="0" w:color="auto"/>
                            <w:bottom w:val="none" w:sz="0" w:space="0" w:color="auto"/>
                            <w:right w:val="none" w:sz="0" w:space="0" w:color="auto"/>
                          </w:divBdr>
                          <w:divsChild>
                            <w:div w:id="376392172">
                              <w:marLeft w:val="0"/>
                              <w:marRight w:val="0"/>
                              <w:marTop w:val="0"/>
                              <w:marBottom w:val="0"/>
                              <w:divBdr>
                                <w:top w:val="none" w:sz="0" w:space="0" w:color="auto"/>
                                <w:left w:val="none" w:sz="0" w:space="0" w:color="auto"/>
                                <w:bottom w:val="none" w:sz="0" w:space="0" w:color="auto"/>
                                <w:right w:val="none" w:sz="0" w:space="0" w:color="auto"/>
                              </w:divBdr>
                              <w:divsChild>
                                <w:div w:id="420875078">
                                  <w:marLeft w:val="0"/>
                                  <w:marRight w:val="0"/>
                                  <w:marTop w:val="0"/>
                                  <w:marBottom w:val="0"/>
                                  <w:divBdr>
                                    <w:top w:val="none" w:sz="0" w:space="0" w:color="auto"/>
                                    <w:left w:val="none" w:sz="0" w:space="0" w:color="auto"/>
                                    <w:bottom w:val="none" w:sz="0" w:space="0" w:color="auto"/>
                                    <w:right w:val="none" w:sz="0" w:space="0" w:color="auto"/>
                                  </w:divBdr>
                                  <w:divsChild>
                                    <w:div w:id="40403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0654714">
      <w:bodyDiv w:val="1"/>
      <w:marLeft w:val="0"/>
      <w:marRight w:val="0"/>
      <w:marTop w:val="0"/>
      <w:marBottom w:val="0"/>
      <w:divBdr>
        <w:top w:val="none" w:sz="0" w:space="0" w:color="auto"/>
        <w:left w:val="none" w:sz="0" w:space="0" w:color="auto"/>
        <w:bottom w:val="none" w:sz="0" w:space="0" w:color="auto"/>
        <w:right w:val="none" w:sz="0" w:space="0" w:color="auto"/>
      </w:divBdr>
    </w:div>
    <w:div w:id="1226180104">
      <w:bodyDiv w:val="1"/>
      <w:marLeft w:val="0"/>
      <w:marRight w:val="0"/>
      <w:marTop w:val="0"/>
      <w:marBottom w:val="0"/>
      <w:divBdr>
        <w:top w:val="none" w:sz="0" w:space="0" w:color="auto"/>
        <w:left w:val="none" w:sz="0" w:space="0" w:color="auto"/>
        <w:bottom w:val="none" w:sz="0" w:space="0" w:color="auto"/>
        <w:right w:val="none" w:sz="0" w:space="0" w:color="auto"/>
      </w:divBdr>
    </w:div>
    <w:div w:id="1400597527">
      <w:bodyDiv w:val="1"/>
      <w:marLeft w:val="0"/>
      <w:marRight w:val="0"/>
      <w:marTop w:val="0"/>
      <w:marBottom w:val="0"/>
      <w:divBdr>
        <w:top w:val="none" w:sz="0" w:space="0" w:color="auto"/>
        <w:left w:val="none" w:sz="0" w:space="0" w:color="auto"/>
        <w:bottom w:val="none" w:sz="0" w:space="0" w:color="auto"/>
        <w:right w:val="none" w:sz="0" w:space="0" w:color="auto"/>
      </w:divBdr>
    </w:div>
    <w:div w:id="1496265612">
      <w:bodyDiv w:val="1"/>
      <w:marLeft w:val="0"/>
      <w:marRight w:val="0"/>
      <w:marTop w:val="0"/>
      <w:marBottom w:val="0"/>
      <w:divBdr>
        <w:top w:val="none" w:sz="0" w:space="0" w:color="auto"/>
        <w:left w:val="none" w:sz="0" w:space="0" w:color="auto"/>
        <w:bottom w:val="none" w:sz="0" w:space="0" w:color="auto"/>
        <w:right w:val="none" w:sz="0" w:space="0" w:color="auto"/>
      </w:divBdr>
    </w:div>
    <w:div w:id="1539506751">
      <w:bodyDiv w:val="1"/>
      <w:marLeft w:val="0"/>
      <w:marRight w:val="0"/>
      <w:marTop w:val="0"/>
      <w:marBottom w:val="0"/>
      <w:divBdr>
        <w:top w:val="none" w:sz="0" w:space="0" w:color="auto"/>
        <w:left w:val="none" w:sz="0" w:space="0" w:color="auto"/>
        <w:bottom w:val="none" w:sz="0" w:space="0" w:color="auto"/>
        <w:right w:val="none" w:sz="0" w:space="0" w:color="auto"/>
      </w:divBdr>
    </w:div>
    <w:div w:id="1720132121">
      <w:bodyDiv w:val="1"/>
      <w:marLeft w:val="0"/>
      <w:marRight w:val="0"/>
      <w:marTop w:val="0"/>
      <w:marBottom w:val="0"/>
      <w:divBdr>
        <w:top w:val="none" w:sz="0" w:space="0" w:color="auto"/>
        <w:left w:val="none" w:sz="0" w:space="0" w:color="auto"/>
        <w:bottom w:val="none" w:sz="0" w:space="0" w:color="auto"/>
        <w:right w:val="none" w:sz="0" w:space="0" w:color="auto"/>
      </w:divBdr>
    </w:div>
    <w:div w:id="1778720633">
      <w:bodyDiv w:val="1"/>
      <w:marLeft w:val="0"/>
      <w:marRight w:val="0"/>
      <w:marTop w:val="0"/>
      <w:marBottom w:val="0"/>
      <w:divBdr>
        <w:top w:val="none" w:sz="0" w:space="0" w:color="auto"/>
        <w:left w:val="none" w:sz="0" w:space="0" w:color="auto"/>
        <w:bottom w:val="none" w:sz="0" w:space="0" w:color="auto"/>
        <w:right w:val="none" w:sz="0" w:space="0" w:color="auto"/>
      </w:divBdr>
    </w:div>
    <w:div w:id="1792165269">
      <w:bodyDiv w:val="1"/>
      <w:marLeft w:val="0"/>
      <w:marRight w:val="0"/>
      <w:marTop w:val="0"/>
      <w:marBottom w:val="0"/>
      <w:divBdr>
        <w:top w:val="none" w:sz="0" w:space="0" w:color="auto"/>
        <w:left w:val="none" w:sz="0" w:space="0" w:color="auto"/>
        <w:bottom w:val="none" w:sz="0" w:space="0" w:color="auto"/>
        <w:right w:val="none" w:sz="0" w:space="0" w:color="auto"/>
      </w:divBdr>
    </w:div>
    <w:div w:id="1800419602">
      <w:bodyDiv w:val="1"/>
      <w:marLeft w:val="0"/>
      <w:marRight w:val="0"/>
      <w:marTop w:val="0"/>
      <w:marBottom w:val="0"/>
      <w:divBdr>
        <w:top w:val="none" w:sz="0" w:space="0" w:color="auto"/>
        <w:left w:val="none" w:sz="0" w:space="0" w:color="auto"/>
        <w:bottom w:val="none" w:sz="0" w:space="0" w:color="auto"/>
        <w:right w:val="none" w:sz="0" w:space="0" w:color="auto"/>
      </w:divBdr>
    </w:div>
    <w:div w:id="1818913148">
      <w:bodyDiv w:val="1"/>
      <w:marLeft w:val="0"/>
      <w:marRight w:val="0"/>
      <w:marTop w:val="0"/>
      <w:marBottom w:val="0"/>
      <w:divBdr>
        <w:top w:val="none" w:sz="0" w:space="0" w:color="auto"/>
        <w:left w:val="none" w:sz="0" w:space="0" w:color="auto"/>
        <w:bottom w:val="none" w:sz="0" w:space="0" w:color="auto"/>
        <w:right w:val="none" w:sz="0" w:space="0" w:color="auto"/>
      </w:divBdr>
    </w:div>
    <w:div w:id="1838615345">
      <w:bodyDiv w:val="1"/>
      <w:marLeft w:val="0"/>
      <w:marRight w:val="0"/>
      <w:marTop w:val="0"/>
      <w:marBottom w:val="0"/>
      <w:divBdr>
        <w:top w:val="none" w:sz="0" w:space="0" w:color="auto"/>
        <w:left w:val="none" w:sz="0" w:space="0" w:color="auto"/>
        <w:bottom w:val="none" w:sz="0" w:space="0" w:color="auto"/>
        <w:right w:val="none" w:sz="0" w:space="0" w:color="auto"/>
      </w:divBdr>
    </w:div>
    <w:div w:id="1881432988">
      <w:bodyDiv w:val="1"/>
      <w:marLeft w:val="0"/>
      <w:marRight w:val="0"/>
      <w:marTop w:val="0"/>
      <w:marBottom w:val="0"/>
      <w:divBdr>
        <w:top w:val="none" w:sz="0" w:space="0" w:color="auto"/>
        <w:left w:val="none" w:sz="0" w:space="0" w:color="auto"/>
        <w:bottom w:val="none" w:sz="0" w:space="0" w:color="auto"/>
        <w:right w:val="none" w:sz="0" w:space="0" w:color="auto"/>
      </w:divBdr>
    </w:div>
    <w:div w:id="2040616411">
      <w:bodyDiv w:val="1"/>
      <w:marLeft w:val="0"/>
      <w:marRight w:val="0"/>
      <w:marTop w:val="0"/>
      <w:marBottom w:val="0"/>
      <w:divBdr>
        <w:top w:val="none" w:sz="0" w:space="0" w:color="auto"/>
        <w:left w:val="none" w:sz="0" w:space="0" w:color="auto"/>
        <w:bottom w:val="none" w:sz="0" w:space="0" w:color="auto"/>
        <w:right w:val="none" w:sz="0" w:space="0" w:color="auto"/>
      </w:divBdr>
    </w:div>
    <w:div w:id="206467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4217</TotalTime>
  <Pages>35</Pages>
  <Words>7104</Words>
  <Characters>40498</Characters>
  <Application>Microsoft Office Word</Application>
  <DocSecurity>0</DocSecurity>
  <Lines>337</Lines>
  <Paragraphs>95</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Supplementary Note 1.</vt:lpstr>
      <vt:lpstr>Supplementary Note 2.Definition of the Jurassic-Cretaceous boundary</vt:lpstr>
      <vt:lpstr>    Interregional Depth–Age Conversion </vt:lpstr>
      <vt:lpstr>Cyclostratigraphy and time series analysis</vt:lpstr>
      <vt:lpstr>    Spectral gamma-ray interpretation</vt:lpstr>
      <vt:lpstr>    Methods of time series analysis</vt:lpstr>
      <vt:lpstr>Supplementary Note 5. Supporting discussion</vt:lpstr>
      <vt:lpstr>    Climate control on orbital signal preservation across the Jurassic–Cretaceous tr</vt:lpstr>
      <vt:lpstr>    Records from western Tethys DSDP 105 and 534</vt:lpstr>
      <vt:lpstr>    Records from Hungary</vt:lpstr>
      <vt:lpstr>    Records from Italy</vt:lpstr>
      <vt:lpstr>    Jurassic-Cretaceous Boundary from the Jura Platform</vt:lpstr>
    </vt:vector>
  </TitlesOfParts>
  <Company>KAUST</Company>
  <LinksUpToDate>false</LinksUpToDate>
  <CharactersWithSpaces>47507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Jihede Haj Messaoud</dc:creator>
  <cp:keywords/>
  <dc:description/>
  <cp:lastModifiedBy>Jihede Haj Messaoud</cp:lastModifiedBy>
  <cp:revision>50</cp:revision>
  <dcterms:created xsi:type="dcterms:W3CDTF">2026-06-30T16:45:00Z</dcterms:created>
  <dcterms:modified xsi:type="dcterms:W3CDTF">2026-08-01T14:29:00Z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227e0680-99e2-4466-a785-3952aae03918</vt:lpwstr>
  </property>
</Properties>
</file>