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22CC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Data S1</w:t>
      </w:r>
    </w:p>
    <w:p w14:paraId="5DA7B2C4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S1</w:t>
      </w:r>
      <w:r>
        <w:t xml:space="preserve">: </w:t>
      </w:r>
      <w:r w:rsidRPr="00A23826">
        <w:rPr>
          <w:b/>
          <w:bCs/>
        </w:rPr>
        <w:t>Flow diagram</w:t>
      </w:r>
      <w:r w:rsidRPr="00174094">
        <w:t xml:space="preserve"> of the full analysis pipeline, from assembly of the balanced case–control cohort (306 IHD cases and 306 controls; N = 612) through data curation and imputation, additive genotype coding, case–control comparison, Hardy–Weinberg and linkage-disequilibrium checks, single-SNP association testing, classic polygenic scoring, the quantitative-trait scan, the 80:20</w:t>
      </w:r>
      <w:r>
        <w:t xml:space="preserve"> </w:t>
      </w:r>
      <w:r w:rsidRPr="00174094">
        <w:t>machine-learning analysis, the three EW-cgPRS tiers, formal model comparison, and robustness/sensitivity analyses.</w:t>
      </w:r>
    </w:p>
    <w:p w14:paraId="0581EE0F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2: </w:t>
      </w:r>
      <w:r w:rsidRPr="00611994">
        <w:rPr>
          <w:rFonts w:eastAsia="Calibri"/>
          <w:b/>
          <w:bCs/>
        </w:rPr>
        <w:t>Distribution of clinical and lipid variables by case status.</w:t>
      </w:r>
      <w:r w:rsidRPr="00611994">
        <w:rPr>
          <w:rFonts w:eastAsia="Calibri"/>
        </w:rPr>
        <w:t xml:space="preserve"> Box-and-whisker plots of age and the five lipid measures (triglycerides, total cholesterol, VLDL-C, LDL-C, HDL-C) in cases versus controls; boxes show median and interquartile range, whiskers the 1.5×IQR range, and points the outliers.</w:t>
      </w:r>
    </w:p>
    <w:p w14:paraId="64967BA8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 xml:space="preserve">Supplementary Figure </w:t>
      </w:r>
      <w:r>
        <w:rPr>
          <w:rFonts w:eastAsia="Calibri"/>
        </w:rPr>
        <w:t xml:space="preserve">S3: </w:t>
      </w:r>
      <w:r w:rsidRPr="00427311">
        <w:rPr>
          <w:rFonts w:eastAsia="Calibri"/>
          <w:b/>
          <w:bCs/>
        </w:rPr>
        <w:t>Hardy–Weinberg equilibrium in controls.</w:t>
      </w:r>
      <w:r w:rsidRPr="00427311">
        <w:rPr>
          <w:rFonts w:eastAsia="Calibri"/>
        </w:rPr>
        <w:t xml:space="preserve"> Observed versus HWE-expected genotype counts for each of the eight SNPs among controls, with the per-SNP χ² goodness-of-fit p-value. ADAMTS7 and ADAMTS13 are in equilibrium; the remaining six loci deviate.</w:t>
      </w:r>
    </w:p>
    <w:p w14:paraId="7C12BD6F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4: </w:t>
      </w:r>
      <w:r w:rsidRPr="00427311">
        <w:rPr>
          <w:rFonts w:eastAsia="Calibri"/>
          <w:b/>
          <w:bCs/>
        </w:rPr>
        <w:t>Confusion matrices — machine-learning models without the polygenic score.</w:t>
      </w:r>
      <w:r w:rsidRPr="00427311">
        <w:rPr>
          <w:rFonts w:eastAsia="Calibri"/>
        </w:rPr>
        <w:t xml:space="preserve"> Confusion matrices for the four classifiers (logistic regression, random forest, XGBoost, LightGBM) using the eight risk-allele doses plus the nine covariates, shown for both training (80%, 5-fold cross-validation) and hold-out (20%) sets at a 0.5 threshold.</w:t>
      </w:r>
    </w:p>
    <w:p w14:paraId="75FA509E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5: </w:t>
      </w:r>
      <w:r w:rsidRPr="006D0780">
        <w:rPr>
          <w:rFonts w:eastAsia="Calibri"/>
          <w:b/>
          <w:bCs/>
        </w:rPr>
        <w:t>Confusion matrices — machine-learning models with the polygenic score.</w:t>
      </w:r>
      <w:r w:rsidRPr="006D0780">
        <w:rPr>
          <w:rFonts w:eastAsia="Calibri"/>
        </w:rPr>
        <w:t xml:space="preserve"> As S4, but replacing the eight doses with a single training-derived weighted PRS plus the same nine covariates.</w:t>
      </w:r>
    </w:p>
    <w:p w14:paraId="1EF3C2FF" w14:textId="77777777" w:rsidR="0025606D" w:rsidRPr="008921DE" w:rsidRDefault="0025606D" w:rsidP="0025606D">
      <w:pPr>
        <w:keepNext/>
        <w:spacing w:before="240" w:after="100" w:line="276" w:lineRule="auto"/>
        <w:rPr>
          <w:rFonts w:eastAsia="Calibri"/>
          <w:lang w:val="en-US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6: </w:t>
      </w:r>
      <w:r w:rsidRPr="00FA130D">
        <w:rPr>
          <w:rFonts w:eastAsia="Calibri"/>
          <w:b/>
          <w:bCs/>
        </w:rPr>
        <w:t>Calibration (reliability) curves.</w:t>
      </w:r>
      <w:r w:rsidRPr="00FA130D">
        <w:rPr>
          <w:rFonts w:eastAsia="Calibri"/>
        </w:rPr>
        <w:t xml:space="preserve"> Observed versus predicted event fractions for the four classifiers, for the models without the polygenic score (a) and with the polygenic score (b), on both training and hold-out sets, with the diagonal indicating perfect calibration.</w:t>
      </w:r>
    </w:p>
    <w:p w14:paraId="088C8562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7: </w:t>
      </w:r>
      <w:r w:rsidRPr="00E2076B">
        <w:rPr>
          <w:rFonts w:eastAsia="Calibri"/>
          <w:b/>
          <w:bCs/>
        </w:rPr>
        <w:t>SHAP feature importance</w:t>
      </w:r>
      <w:r w:rsidRPr="00E2076B">
        <w:rPr>
          <w:rFonts w:eastAsia="Calibri"/>
        </w:rPr>
        <w:t xml:space="preserve"> (bar) — models without the polygenic score. Mean absolute SHAP values for all four classifiers on the eight-dose-plus-covariate feature set, for both training and hold-out splits.</w:t>
      </w:r>
    </w:p>
    <w:p w14:paraId="11E5C4CA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8: </w:t>
      </w:r>
      <w:r w:rsidRPr="00B6637B">
        <w:rPr>
          <w:rFonts w:eastAsia="Calibri"/>
          <w:b/>
          <w:bCs/>
        </w:rPr>
        <w:t>SHAP feature importance — models with the polygenic score.</w:t>
      </w:r>
      <w:r w:rsidRPr="00B6637B">
        <w:rPr>
          <w:rFonts w:eastAsia="Calibri"/>
        </w:rPr>
        <w:t xml:space="preserve"> As S6, for the weighted-PRS-plus-covariate feature set.</w:t>
      </w:r>
    </w:p>
    <w:p w14:paraId="36BB3819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9: </w:t>
      </w:r>
      <w:r w:rsidRPr="002C7ACE">
        <w:rPr>
          <w:rFonts w:eastAsia="Calibri"/>
          <w:b/>
          <w:bCs/>
        </w:rPr>
        <w:t>SHAP beeswarm plots — models without the polygenic score, training set.</w:t>
      </w:r>
      <w:r w:rsidRPr="002C7ACE">
        <w:rPr>
          <w:rFonts w:eastAsia="Calibri"/>
        </w:rPr>
        <w:t xml:space="preserve"> Per-participant SHAP value distributions (direction and magnitude of each feature's </w:t>
      </w:r>
      <w:r w:rsidRPr="002C7ACE">
        <w:rPr>
          <w:rFonts w:eastAsia="Calibri"/>
        </w:rPr>
        <w:lastRenderedPageBreak/>
        <w:t>effect) for the four classifiers on the eight-dose feature set in the training split; colour encodes feature value.</w:t>
      </w:r>
    </w:p>
    <w:p w14:paraId="4763F232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10: </w:t>
      </w:r>
      <w:r w:rsidRPr="002C7ACE">
        <w:rPr>
          <w:rFonts w:eastAsia="Calibri"/>
          <w:b/>
          <w:bCs/>
        </w:rPr>
        <w:t>SHAP beeswarm plots — models without the polygenic score, hold-out set.</w:t>
      </w:r>
      <w:r w:rsidRPr="002C7ACE">
        <w:rPr>
          <w:rFonts w:eastAsia="Calibri"/>
        </w:rPr>
        <w:t xml:space="preserve"> As S8, for the 20% hold-out set.</w:t>
      </w:r>
    </w:p>
    <w:p w14:paraId="604F3D35" w14:textId="77777777" w:rsidR="0025606D" w:rsidRPr="00611C73" w:rsidRDefault="0025606D" w:rsidP="0025606D">
      <w:pPr>
        <w:keepNext/>
        <w:spacing w:before="240" w:after="100" w:line="276" w:lineRule="auto"/>
        <w:rPr>
          <w:rFonts w:eastAsia="Calibri"/>
          <w:lang w:val="en-US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11: </w:t>
      </w:r>
      <w:r w:rsidRPr="00E74866">
        <w:rPr>
          <w:rFonts w:eastAsia="Calibri"/>
          <w:b/>
          <w:bCs/>
        </w:rPr>
        <w:t>SHAP beeswarm plots — models with the polygenic score, training set.</w:t>
      </w:r>
      <w:r w:rsidRPr="00E74866">
        <w:rPr>
          <w:rFonts w:eastAsia="Calibri"/>
        </w:rPr>
        <w:t xml:space="preserve"> As S8, for the weighted-PRS-plus-covariate feature set.</w:t>
      </w:r>
    </w:p>
    <w:p w14:paraId="5AEBFA50" w14:textId="77777777" w:rsidR="0025606D" w:rsidRPr="00D44997" w:rsidRDefault="0025606D" w:rsidP="0025606D">
      <w:pPr>
        <w:keepNext/>
        <w:spacing w:before="240" w:after="100" w:line="276" w:lineRule="auto"/>
        <w:rPr>
          <w:rFonts w:eastAsia="Calibri"/>
          <w:lang w:val="en-US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12: </w:t>
      </w:r>
      <w:r w:rsidRPr="00E74866">
        <w:rPr>
          <w:rFonts w:eastAsia="Calibri"/>
          <w:b/>
          <w:bCs/>
        </w:rPr>
        <w:t>SHAP beeswarm plots — models with the polygenic score, hold-out set.</w:t>
      </w:r>
      <w:r w:rsidRPr="00E74866">
        <w:rPr>
          <w:rFonts w:eastAsia="Calibri"/>
        </w:rPr>
        <w:t xml:space="preserve"> As S10, for the 20% hold-out set.</w:t>
      </w:r>
    </w:p>
    <w:p w14:paraId="29EEA3A9" w14:textId="77777777" w:rsidR="0025606D" w:rsidRPr="00D44997" w:rsidRDefault="0025606D" w:rsidP="0025606D">
      <w:pPr>
        <w:keepNext/>
        <w:spacing w:before="240" w:after="100" w:line="276" w:lineRule="auto"/>
        <w:rPr>
          <w:rFonts w:eastAsia="Calibri"/>
          <w:lang w:val="en-US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13: </w:t>
      </w:r>
      <w:r w:rsidRPr="00FA130D">
        <w:rPr>
          <w:rFonts w:eastAsia="Calibri"/>
          <w:b/>
          <w:bCs/>
        </w:rPr>
        <w:t>SHAP local explanation for an example participant.</w:t>
      </w:r>
      <w:r w:rsidRPr="00FA130D">
        <w:rPr>
          <w:rFonts w:eastAsia="Calibri"/>
        </w:rPr>
        <w:t xml:space="preserve"> Waterfall plots decomposing the XGBoost prediction for a single representative participant (models without the polygenic score), showing each feature's contribution from the base value to the final output for a training-set case (a) and a hold-out case (b).</w:t>
      </w:r>
    </w:p>
    <w:p w14:paraId="430940A5" w14:textId="77777777" w:rsidR="0025606D" w:rsidRDefault="0025606D" w:rsidP="0025606D">
      <w:pPr>
        <w:keepNext/>
        <w:spacing w:before="240" w:after="100" w:line="276" w:lineRule="auto"/>
        <w:rPr>
          <w:rFonts w:eastAsia="Calibri"/>
        </w:rPr>
      </w:pPr>
      <w:r w:rsidRPr="00384EDB">
        <w:rPr>
          <w:rFonts w:eastAsia="Calibri"/>
        </w:rPr>
        <w:t>Supplementary Figure S</w:t>
      </w:r>
      <w:r>
        <w:rPr>
          <w:rFonts w:eastAsia="Calibri"/>
        </w:rPr>
        <w:t xml:space="preserve">14: </w:t>
      </w:r>
      <w:r w:rsidRPr="005578B2">
        <w:rPr>
          <w:rFonts w:eastAsia="Calibri"/>
          <w:b/>
          <w:bCs/>
        </w:rPr>
        <w:t>Mutual-information epistasis network (EW-cgPRS Tier I).</w:t>
      </w:r>
      <w:r w:rsidRPr="005578B2">
        <w:rPr>
          <w:rFonts w:eastAsia="Calibri"/>
        </w:rPr>
        <w:t xml:space="preserve"> (A) Pairwise mutual-information adjacency matrix (bits) among the eight loci; (B) the derived epistasis network retaining locus pairs with mutual information above the mean (0.021 bits), with edge weight proportional to mutual information.</w:t>
      </w:r>
    </w:p>
    <w:p w14:paraId="5501C0E6" w14:textId="77777777" w:rsidR="0025606D" w:rsidRPr="00384EDB" w:rsidRDefault="0025606D" w:rsidP="0025606D">
      <w:pPr>
        <w:keepNext/>
        <w:spacing w:before="240" w:after="100" w:line="276" w:lineRule="auto"/>
        <w:rPr>
          <w:rFonts w:eastAsia="Calibri"/>
        </w:rPr>
      </w:pPr>
      <w:r>
        <w:rPr>
          <w:rFonts w:eastAsia="Calibri"/>
        </w:rPr>
        <w:t xml:space="preserve">Supplementary Figure S15: </w:t>
      </w:r>
      <w:r w:rsidRPr="005578B2">
        <w:rPr>
          <w:rFonts w:eastAsia="Calibri"/>
          <w:b/>
          <w:bCs/>
        </w:rPr>
        <w:t>Confusion matrices — polygenic-score formulations.</w:t>
      </w:r>
      <w:r w:rsidRPr="005578B2">
        <w:rPr>
          <w:rFonts w:eastAsia="Calibri"/>
        </w:rPr>
        <w:t xml:space="preserve"> Confusion matrices for the unweighted score, the weighted score, and EW-cgPRS Tiers I–III, on both training (80%, 5-fold cross-validation) and hold-out (20%) sets at a 0.5 threshold.</w:t>
      </w:r>
    </w:p>
    <w:p w14:paraId="3F5211EB" w14:textId="77777777" w:rsidR="0025606D" w:rsidRPr="00CF23E0" w:rsidRDefault="0025606D" w:rsidP="0025606D">
      <w:pPr>
        <w:keepNext/>
        <w:spacing w:before="240" w:after="100" w:line="276" w:lineRule="auto"/>
      </w:pPr>
      <w:r>
        <w:rPr>
          <w:rFonts w:eastAsia="Calibri"/>
        </w:rPr>
        <w:t xml:space="preserve">Supplementary </w:t>
      </w:r>
      <w:r w:rsidRPr="00CF23E0">
        <w:rPr>
          <w:rFonts w:eastAsia="Calibri"/>
        </w:rPr>
        <w:t xml:space="preserve">Table S1. </w:t>
      </w:r>
      <w:r w:rsidRPr="00CF23E0">
        <w:t>Primer sequences, annealing temperatures and expected amplicon sizes for tetra-primer ARMS–PCR genotyping of the eight candidate variants.</w:t>
      </w:r>
    </w:p>
    <w:p w14:paraId="4A864075" w14:textId="77777777" w:rsidR="0025606D" w:rsidRPr="00CF23E0" w:rsidRDefault="0025606D" w:rsidP="0025606D">
      <w:pPr>
        <w:spacing w:after="100"/>
        <w:rPr>
          <w:rFonts w:eastAsia="Calibri"/>
        </w:rPr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S2. SNP weights used to construct the classic weighted PRS (updated: + ElasticNet-shrunk beta, + functional-annotation tier)</w:t>
      </w:r>
    </w:p>
    <w:p w14:paraId="1B63AB69" w14:textId="77777777" w:rsidR="0025606D" w:rsidRPr="00CF23E0" w:rsidRDefault="0025606D" w:rsidP="0025606D">
      <w:pPr>
        <w:spacing w:after="100"/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S3. Quantitative trait analysis (QTL-style) (unchanged)</w:t>
      </w:r>
    </w:p>
    <w:p w14:paraId="59B3ABFE" w14:textId="77777777" w:rsidR="0025606D" w:rsidRPr="00CF23E0" w:rsidRDefault="0025606D" w:rsidP="0025606D">
      <w:pPr>
        <w:spacing w:after="100"/>
        <w:rPr>
          <w:rFonts w:eastAsia="Calibri"/>
        </w:rPr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S4. Full classification performance for machine-learning classifiers (updated: no SMOTE; + AUC/Brier columns)</w:t>
      </w:r>
    </w:p>
    <w:p w14:paraId="5CDA08BD" w14:textId="77777777" w:rsidR="0025606D" w:rsidRPr="00CF23E0" w:rsidRDefault="0025606D" w:rsidP="0025606D">
      <w:pPr>
        <w:spacing w:after="100"/>
        <w:rPr>
          <w:rFonts w:eastAsia="Calibri"/>
        </w:rPr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S5. Full master comparison of PRS formulations (updated numbers)</w:t>
      </w:r>
    </w:p>
    <w:p w14:paraId="338E0FDB" w14:textId="77777777" w:rsidR="0025606D" w:rsidRPr="00CF23E0" w:rsidRDefault="0025606D" w:rsidP="0025606D">
      <w:pPr>
        <w:spacing w:after="100"/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S6. Sensitivity analyses of the classic weighted PRS (updated: fully populated, incl. 2 new checks)</w:t>
      </w:r>
    </w:p>
    <w:p w14:paraId="6C030C30" w14:textId="77777777" w:rsidR="0025606D" w:rsidRPr="00CF23E0" w:rsidRDefault="0025606D" w:rsidP="0025606D">
      <w:pPr>
        <w:spacing w:after="100"/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S7. Robustness and generalization checks (updated numbers; + explicit .632-corrected AUC column)</w:t>
      </w:r>
    </w:p>
    <w:p w14:paraId="4BF78027" w14:textId="77777777" w:rsidR="0025606D" w:rsidRPr="00CF23E0" w:rsidRDefault="0025606D" w:rsidP="0025606D">
      <w:pPr>
        <w:spacing w:after="100"/>
        <w:rPr>
          <w:rFonts w:eastAsia="Calibri"/>
        </w:rPr>
      </w:pPr>
      <w:r>
        <w:rPr>
          <w:rFonts w:eastAsia="Calibri"/>
        </w:rPr>
        <w:t>Supplementary</w:t>
      </w:r>
      <w:r w:rsidRPr="00CF23E0">
        <w:rPr>
          <w:rFonts w:eastAsia="Calibri"/>
        </w:rPr>
        <w:t xml:space="preserve"> Table S8. Variance inflation factors (updated: Cholesterol/VLDL removed from the ML/PRS covariate set)</w:t>
      </w:r>
    </w:p>
    <w:p w14:paraId="70FC359A" w14:textId="77777777" w:rsidR="0025606D" w:rsidRDefault="0025606D" w:rsidP="0025606D">
      <w:r>
        <w:br w:type="page"/>
      </w:r>
    </w:p>
    <w:p w14:paraId="56850F34" w14:textId="77777777" w:rsidR="00DC2479" w:rsidRPr="0025606D" w:rsidRDefault="00DC2479" w:rsidP="0025606D"/>
    <w:sectPr w:rsidR="00DC2479" w:rsidRPr="0025606D" w:rsidSect="00277002">
      <w:footerReference w:type="default" r:id="rId4"/>
      <w:pgSz w:w="12240" w:h="15840"/>
      <w:pgMar w:top="1440" w:right="1440" w:bottom="1440" w:left="144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779041"/>
      <w:docPartObj>
        <w:docPartGallery w:val="Page Numbers (Bottom of Page)"/>
        <w:docPartUnique/>
      </w:docPartObj>
    </w:sdtPr>
    <w:sdtContent>
      <w:p w14:paraId="3727F09C" w14:textId="77777777" w:rsidR="00277002" w:rsidRDefault="002770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67155" w14:textId="77777777" w:rsidR="00277002" w:rsidRDefault="0027700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02"/>
    <w:rsid w:val="0025606D"/>
    <w:rsid w:val="00277002"/>
    <w:rsid w:val="005B6877"/>
    <w:rsid w:val="00AA0C39"/>
    <w:rsid w:val="00DC2479"/>
    <w:rsid w:val="00DE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D40F"/>
  <w15:chartTrackingRefBased/>
  <w15:docId w15:val="{03F58EBE-F835-4FC5-9979-B0453C14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002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0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0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0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0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0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0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0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0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0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7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0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7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0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7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0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7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0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7002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70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002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77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2</cp:revision>
  <dcterms:created xsi:type="dcterms:W3CDTF">2026-08-04T07:02:00Z</dcterms:created>
  <dcterms:modified xsi:type="dcterms:W3CDTF">2026-08-04T07:02:00Z</dcterms:modified>
</cp:coreProperties>
</file>