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3F94" w14:textId="6957D444" w:rsidR="00837CBA" w:rsidRPr="00C36572" w:rsidRDefault="009056AB" w:rsidP="00837CBA">
      <w:pPr>
        <w:tabs>
          <w:tab w:val="center" w:pos="3647"/>
          <w:tab w:val="center" w:pos="5911"/>
        </w:tabs>
        <w:jc w:val="center"/>
        <w:rPr>
          <w:b/>
          <w:sz w:val="29"/>
        </w:rPr>
      </w:pPr>
      <w:r>
        <w:rPr>
          <w:b/>
          <w:sz w:val="29"/>
        </w:rPr>
        <w:t>Diffusion</w:t>
      </w:r>
      <w:r w:rsidR="00837CBA" w:rsidRPr="00C36572">
        <w:rPr>
          <w:b/>
          <w:sz w:val="29"/>
        </w:rPr>
        <w:t xml:space="preserve"> and Operation Strategies of Residential Batteries in Europe</w:t>
      </w:r>
    </w:p>
    <w:p w14:paraId="0F76B2A9" w14:textId="2D674ED9" w:rsidR="00705AFD" w:rsidRPr="00C36572" w:rsidRDefault="00524413" w:rsidP="00E949D2">
      <w:pPr>
        <w:tabs>
          <w:tab w:val="center" w:pos="3647"/>
          <w:tab w:val="center" w:pos="5911"/>
        </w:tabs>
        <w:spacing w:after="260"/>
        <w:jc w:val="center"/>
        <w:rPr>
          <w:sz w:val="18"/>
          <w:szCs w:val="18"/>
        </w:rPr>
      </w:pPr>
      <w:r w:rsidRPr="00C36572">
        <w:rPr>
          <w:sz w:val="24"/>
          <w:szCs w:val="18"/>
        </w:rPr>
        <w:t>Á</w:t>
      </w:r>
      <w:r w:rsidR="0068047F" w:rsidRPr="00C36572">
        <w:rPr>
          <w:sz w:val="24"/>
          <w:szCs w:val="18"/>
        </w:rPr>
        <w:t>ron D</w:t>
      </w:r>
      <w:r w:rsidRPr="00C36572">
        <w:rPr>
          <w:sz w:val="24"/>
          <w:szCs w:val="18"/>
        </w:rPr>
        <w:t>é</w:t>
      </w:r>
      <w:r w:rsidR="0068047F" w:rsidRPr="00C36572">
        <w:rPr>
          <w:sz w:val="24"/>
          <w:szCs w:val="18"/>
        </w:rPr>
        <w:t>nes Hartvig</w:t>
      </w:r>
      <w:r w:rsidR="0068047F" w:rsidRPr="00C36572">
        <w:rPr>
          <w:color w:val="0000FF"/>
          <w:sz w:val="24"/>
          <w:szCs w:val="18"/>
          <w:vertAlign w:val="superscript"/>
        </w:rPr>
        <w:footnoteReference w:id="1"/>
      </w:r>
    </w:p>
    <w:p w14:paraId="69DA0B64" w14:textId="6AD6B92A" w:rsidR="00950EDD" w:rsidRPr="00C36572" w:rsidRDefault="00950EDD" w:rsidP="00950EDD">
      <w:pPr>
        <w:pStyle w:val="Heading1"/>
      </w:pPr>
      <w:r w:rsidRPr="00C36572">
        <w:t>Appendix A</w:t>
      </w:r>
    </w:p>
    <w:p w14:paraId="352DED5F" w14:textId="5D9972B4" w:rsidR="00E31DA5" w:rsidRDefault="00E31DA5" w:rsidP="00E31DA5">
      <w:pPr>
        <w:spacing w:after="240"/>
      </w:pPr>
      <w:r w:rsidRPr="0068047F">
        <w:t>The analysis</w:t>
      </w:r>
      <w:r>
        <w:t xml:space="preserve"> builds on a previous version of the CLEARS model focusing on the </w:t>
      </w:r>
      <w:r w:rsidR="006915C9" w:rsidRPr="006915C9">
        <w:t>Central and Eastern Europe</w:t>
      </w:r>
      <w:r w:rsidR="006915C9">
        <w:t>an</w:t>
      </w:r>
      <w:r w:rsidR="006915C9" w:rsidRPr="006915C9">
        <w:t xml:space="preserve"> </w:t>
      </w:r>
      <w:r>
        <w:t xml:space="preserve">region </w:t>
      </w:r>
      <w:r w:rsidR="00975B76">
        <w:fldChar w:fldCharType="begin"/>
      </w:r>
      <w:r w:rsidR="00D84FA5">
        <w:instrText xml:space="preserve"> ADDIN ZOTERO_ITEM CSL_CITATION {"citationID":"p5eBByUX","properties":{"formattedCitation":"[1]","plainCitation":"[1]","noteIndex":0},"citationItems":[{"id":"scpM1cJf/ouemm9mu","uris":["http://zotero.org/users/local/Y4BoQvkR/items/23BGKDE8"],"itemData":{"id":13,"type":"article-journal","container-title":"Solar Energy","DOI":"10.1016/j.solener.2025.113499","ISSN":"0038092X","journalAbbreviation":"Solar Energy","language":"en","page":"113499","source":"DOI.org (Crossref)","title":"Trade-offs in feed-in tariff scenarios for incentivizing clean technologies in Central and Eastern Europe","volume":"294","author":[{"family":"Hartvig","given":"Áron Dénes"}],"issued":{"date-parts":[["2025",7]]}}}],"schema":"https://github.com/citation-style-language/schema/raw/master/csl-citation.json"} </w:instrText>
      </w:r>
      <w:r w:rsidR="00975B76">
        <w:fldChar w:fldCharType="separate"/>
      </w:r>
      <w:r w:rsidR="00975B76" w:rsidRPr="00975B76">
        <w:t>[1]</w:t>
      </w:r>
      <w:r w:rsidR="00975B76">
        <w:fldChar w:fldCharType="end"/>
      </w:r>
      <w:r>
        <w:t xml:space="preserve">. The inputs of the model are summarised in </w:t>
      </w:r>
      <w:r>
        <w:fldChar w:fldCharType="begin"/>
      </w:r>
      <w:r>
        <w:instrText xml:space="preserve"> REF _Ref179378448 \h </w:instrText>
      </w:r>
      <w:r>
        <w:fldChar w:fldCharType="separate"/>
      </w:r>
      <w:r w:rsidR="00516370">
        <w:t>Table A.</w:t>
      </w:r>
      <w:r w:rsidR="00516370">
        <w:rPr>
          <w:noProof/>
        </w:rPr>
        <w:t>1</w:t>
      </w:r>
      <w:r>
        <w:fldChar w:fldCharType="end"/>
      </w:r>
      <w:r>
        <w:t>.</w:t>
      </w:r>
    </w:p>
    <w:p w14:paraId="3DF817D3" w14:textId="300CEB3A" w:rsidR="00E31DA5" w:rsidRDefault="00E31DA5" w:rsidP="00E31DA5">
      <w:pPr>
        <w:pStyle w:val="Caption"/>
        <w:keepNext/>
      </w:pPr>
      <w:bookmarkStart w:id="0" w:name="_Ref179378448"/>
      <w:r>
        <w:t>Table A.</w:t>
      </w:r>
      <w:fldSimple w:instr=" SEQ Table \* ARABIC ">
        <w:r w:rsidR="00B2572C">
          <w:rPr>
            <w:noProof/>
          </w:rPr>
          <w:t>1</w:t>
        </w:r>
      </w:fldSimple>
      <w:bookmarkEnd w:id="0"/>
      <w:r>
        <w:t xml:space="preserve"> Rooftop PV and residential battery storage system specifications</w:t>
      </w:r>
    </w:p>
    <w:tbl>
      <w:tblPr>
        <w:tblStyle w:val="TableGrid"/>
        <w:tblW w:w="7862" w:type="dxa"/>
        <w:jc w:val="center"/>
        <w:tblInd w:w="0" w:type="dxa"/>
        <w:tblCellMar>
          <w:top w:w="85" w:type="dxa"/>
          <w:right w:w="119" w:type="dxa"/>
        </w:tblCellMar>
        <w:tblLook w:val="04A0" w:firstRow="1" w:lastRow="0" w:firstColumn="1" w:lastColumn="0" w:noHBand="0" w:noVBand="1"/>
      </w:tblPr>
      <w:tblGrid>
        <w:gridCol w:w="3892"/>
        <w:gridCol w:w="1135"/>
        <w:gridCol w:w="2835"/>
      </w:tblGrid>
      <w:tr w:rsidR="00E31DA5" w:rsidRPr="0068047F" w14:paraId="79FAE32D" w14:textId="77777777" w:rsidTr="002E5868">
        <w:trPr>
          <w:trHeight w:val="227"/>
          <w:jc w:val="center"/>
        </w:trPr>
        <w:tc>
          <w:tcPr>
            <w:tcW w:w="3892" w:type="dxa"/>
            <w:tcBorders>
              <w:top w:val="single" w:sz="3" w:space="0" w:color="000000"/>
              <w:left w:val="nil"/>
              <w:bottom w:val="single" w:sz="3" w:space="0" w:color="000000"/>
              <w:right w:val="nil"/>
            </w:tcBorders>
            <w:vAlign w:val="center"/>
          </w:tcPr>
          <w:p w14:paraId="71B6C9F9" w14:textId="77777777" w:rsidR="00E31DA5" w:rsidRPr="0068047F" w:rsidRDefault="00E31DA5" w:rsidP="002E5868">
            <w:pPr>
              <w:spacing w:after="0"/>
              <w:ind w:left="120"/>
              <w:jc w:val="left"/>
            </w:pPr>
            <w:r w:rsidRPr="0068047F">
              <w:rPr>
                <w:sz w:val="18"/>
              </w:rPr>
              <w:t>Parameter</w:t>
            </w:r>
          </w:p>
        </w:tc>
        <w:tc>
          <w:tcPr>
            <w:tcW w:w="1135" w:type="dxa"/>
            <w:tcBorders>
              <w:top w:val="single" w:sz="3" w:space="0" w:color="000000"/>
              <w:left w:val="nil"/>
              <w:bottom w:val="single" w:sz="3" w:space="0" w:color="000000"/>
              <w:right w:val="nil"/>
            </w:tcBorders>
            <w:vAlign w:val="center"/>
          </w:tcPr>
          <w:p w14:paraId="0C6F4AE0" w14:textId="77777777" w:rsidR="00E31DA5" w:rsidRPr="0068047F" w:rsidRDefault="00E31DA5" w:rsidP="002E5868">
            <w:pPr>
              <w:spacing w:after="0"/>
              <w:ind w:left="61"/>
              <w:jc w:val="center"/>
            </w:pPr>
            <w:r w:rsidRPr="0068047F">
              <w:rPr>
                <w:sz w:val="18"/>
              </w:rPr>
              <w:t>Value</w:t>
            </w:r>
          </w:p>
        </w:tc>
        <w:tc>
          <w:tcPr>
            <w:tcW w:w="2835" w:type="dxa"/>
            <w:tcBorders>
              <w:top w:val="single" w:sz="3" w:space="0" w:color="000000"/>
              <w:left w:val="nil"/>
              <w:bottom w:val="single" w:sz="3" w:space="0" w:color="000000"/>
              <w:right w:val="nil"/>
            </w:tcBorders>
            <w:vAlign w:val="center"/>
          </w:tcPr>
          <w:p w14:paraId="249818C4" w14:textId="77777777" w:rsidR="00E31DA5" w:rsidRPr="0068047F" w:rsidRDefault="00E31DA5" w:rsidP="002E5868">
            <w:pPr>
              <w:spacing w:after="0"/>
              <w:ind w:left="533"/>
              <w:jc w:val="right"/>
            </w:pPr>
            <w:r w:rsidRPr="0068047F">
              <w:rPr>
                <w:sz w:val="18"/>
              </w:rPr>
              <w:t>Sources</w:t>
            </w:r>
          </w:p>
        </w:tc>
      </w:tr>
      <w:tr w:rsidR="00E31DA5" w:rsidRPr="0068047F" w14:paraId="6047EED6" w14:textId="77777777" w:rsidTr="002E5868">
        <w:trPr>
          <w:trHeight w:val="227"/>
          <w:jc w:val="center"/>
        </w:trPr>
        <w:tc>
          <w:tcPr>
            <w:tcW w:w="3892" w:type="dxa"/>
            <w:tcBorders>
              <w:top w:val="nil"/>
              <w:left w:val="nil"/>
              <w:bottom w:val="nil"/>
              <w:right w:val="nil"/>
            </w:tcBorders>
          </w:tcPr>
          <w:p w14:paraId="76095844" w14:textId="77777777" w:rsidR="00E31DA5" w:rsidRPr="0068047F" w:rsidRDefault="00E31DA5" w:rsidP="002E5868">
            <w:pPr>
              <w:spacing w:after="0"/>
              <w:ind w:left="120"/>
              <w:jc w:val="left"/>
            </w:pPr>
            <w:r w:rsidRPr="0068047F">
              <w:rPr>
                <w:sz w:val="18"/>
              </w:rPr>
              <w:t>Battery cost (EUR/kWh)</w:t>
            </w:r>
          </w:p>
        </w:tc>
        <w:tc>
          <w:tcPr>
            <w:tcW w:w="1135" w:type="dxa"/>
            <w:tcBorders>
              <w:top w:val="nil"/>
              <w:left w:val="nil"/>
              <w:bottom w:val="nil"/>
              <w:right w:val="nil"/>
            </w:tcBorders>
          </w:tcPr>
          <w:p w14:paraId="5F8C2635" w14:textId="77777777" w:rsidR="00E31DA5" w:rsidRPr="0068047F" w:rsidRDefault="00E31DA5" w:rsidP="002E5868">
            <w:pPr>
              <w:spacing w:after="0"/>
              <w:ind w:left="328"/>
              <w:jc w:val="right"/>
            </w:pPr>
            <w:r>
              <w:rPr>
                <w:sz w:val="18"/>
              </w:rPr>
              <w:t>459</w:t>
            </w:r>
          </w:p>
        </w:tc>
        <w:tc>
          <w:tcPr>
            <w:tcW w:w="2835" w:type="dxa"/>
            <w:tcBorders>
              <w:top w:val="nil"/>
              <w:left w:val="nil"/>
              <w:bottom w:val="nil"/>
              <w:right w:val="nil"/>
            </w:tcBorders>
          </w:tcPr>
          <w:p w14:paraId="1EA2A2B0" w14:textId="64C765C7" w:rsidR="00E31DA5" w:rsidRPr="0068047F" w:rsidRDefault="00975B76" w:rsidP="002E5868">
            <w:pPr>
              <w:spacing w:after="0"/>
              <w:jc w:val="right"/>
            </w:pPr>
            <w:r>
              <w:rPr>
                <w:sz w:val="18"/>
                <w:szCs w:val="18"/>
                <w:vertAlign w:val="superscript"/>
              </w:rPr>
              <w:fldChar w:fldCharType="begin"/>
            </w:r>
            <w:r w:rsidR="00D84FA5">
              <w:rPr>
                <w:sz w:val="18"/>
                <w:szCs w:val="18"/>
                <w:vertAlign w:val="superscript"/>
              </w:rPr>
              <w:instrText xml:space="preserve"> ADDIN ZOTERO_ITEM CSL_CITATION {"citationID":"dujG2jhn","properties":{"formattedCitation":"[2]","plainCitation":"[2]","noteIndex":0},"citationItems":[{"id":"scpM1cJf/GmUMfcJW","uris":["http://zotero.org/users/local/Y4BoQvkR/items/SR27QELZ"],"itemData":{"id":11,"type":"article-journal","container-title":"Renewable and Sustainable Energy Reviews","DOI":"10.1016/j.rser.2021.112028","ISSN":"13640321","journalAbbreviation":"Renewable and Sustainable Energy Reviews","language":"en","page":"112028","source":"DOI.org (Crossref)","title":"Techno-economic analysis of PV-battery systems in Switzerland","volume":"158","author":[{"family":"Han","given":"Xuejiao"},{"family":"Garrison","given":"Jared"},{"family":"Hug","given":"Gabriela"}],"issued":{"date-parts":[["2022",4]]}}}],"schema":"https://github.com/citation-style-language/schema/raw/master/csl-citation.json"} </w:instrText>
            </w:r>
            <w:r>
              <w:rPr>
                <w:sz w:val="18"/>
                <w:szCs w:val="18"/>
                <w:vertAlign w:val="superscript"/>
              </w:rPr>
              <w:fldChar w:fldCharType="separate"/>
            </w:r>
            <w:r w:rsidRPr="00975B76">
              <w:rPr>
                <w:sz w:val="18"/>
              </w:rPr>
              <w:t>[2]</w:t>
            </w:r>
            <w:r>
              <w:rPr>
                <w:sz w:val="18"/>
                <w:szCs w:val="18"/>
                <w:vertAlign w:val="superscript"/>
              </w:rPr>
              <w:fldChar w:fldCharType="end"/>
            </w:r>
            <w:r w:rsidR="00D15F50">
              <w:rPr>
                <w:sz w:val="18"/>
                <w:szCs w:val="18"/>
                <w:vertAlign w:val="superscript"/>
              </w:rPr>
              <w:t>a</w:t>
            </w:r>
          </w:p>
        </w:tc>
      </w:tr>
      <w:tr w:rsidR="00E31DA5" w:rsidRPr="0068047F" w14:paraId="7BC2C452" w14:textId="77777777" w:rsidTr="002E5868">
        <w:trPr>
          <w:trHeight w:val="227"/>
          <w:jc w:val="center"/>
        </w:trPr>
        <w:tc>
          <w:tcPr>
            <w:tcW w:w="3892" w:type="dxa"/>
            <w:tcBorders>
              <w:top w:val="nil"/>
              <w:left w:val="nil"/>
              <w:bottom w:val="nil"/>
              <w:right w:val="nil"/>
            </w:tcBorders>
          </w:tcPr>
          <w:p w14:paraId="42A26AB9" w14:textId="77777777" w:rsidR="00E31DA5" w:rsidRDefault="00E31DA5" w:rsidP="002E5868">
            <w:pPr>
              <w:spacing w:after="0"/>
              <w:ind w:left="120"/>
              <w:jc w:val="left"/>
              <w:rPr>
                <w:sz w:val="18"/>
              </w:rPr>
            </w:pPr>
            <w:r w:rsidRPr="0068047F">
              <w:rPr>
                <w:sz w:val="18"/>
              </w:rPr>
              <w:t xml:space="preserve">Battery </w:t>
            </w:r>
            <w:r>
              <w:rPr>
                <w:sz w:val="18"/>
              </w:rPr>
              <w:t xml:space="preserve">power </w:t>
            </w:r>
            <w:r w:rsidRPr="0068047F">
              <w:rPr>
                <w:sz w:val="18"/>
              </w:rPr>
              <w:t>cost (EUR/kW)</w:t>
            </w:r>
          </w:p>
        </w:tc>
        <w:tc>
          <w:tcPr>
            <w:tcW w:w="1135" w:type="dxa"/>
            <w:tcBorders>
              <w:top w:val="nil"/>
              <w:left w:val="nil"/>
              <w:bottom w:val="nil"/>
              <w:right w:val="nil"/>
            </w:tcBorders>
          </w:tcPr>
          <w:p w14:paraId="6BE51305" w14:textId="77777777" w:rsidR="00E31DA5" w:rsidRPr="0068047F" w:rsidRDefault="00E31DA5" w:rsidP="002E5868">
            <w:pPr>
              <w:spacing w:after="0"/>
              <w:ind w:left="328"/>
              <w:jc w:val="right"/>
              <w:rPr>
                <w:sz w:val="18"/>
              </w:rPr>
            </w:pPr>
            <w:r>
              <w:rPr>
                <w:sz w:val="18"/>
              </w:rPr>
              <w:t>388</w:t>
            </w:r>
          </w:p>
        </w:tc>
        <w:tc>
          <w:tcPr>
            <w:tcW w:w="2835" w:type="dxa"/>
            <w:tcBorders>
              <w:top w:val="nil"/>
              <w:left w:val="nil"/>
              <w:bottom w:val="nil"/>
              <w:right w:val="nil"/>
            </w:tcBorders>
          </w:tcPr>
          <w:p w14:paraId="4E17A286" w14:textId="24063E0A" w:rsidR="00E31DA5" w:rsidRPr="0068047F" w:rsidRDefault="00975B76" w:rsidP="002E5868">
            <w:pPr>
              <w:spacing w:after="0"/>
              <w:jc w:val="right"/>
              <w:rPr>
                <w:sz w:val="18"/>
              </w:rPr>
            </w:pPr>
            <w:r>
              <w:rPr>
                <w:sz w:val="18"/>
                <w:szCs w:val="18"/>
                <w:vertAlign w:val="superscript"/>
              </w:rPr>
              <w:fldChar w:fldCharType="begin"/>
            </w:r>
            <w:r w:rsidR="00D84FA5">
              <w:rPr>
                <w:sz w:val="18"/>
                <w:szCs w:val="18"/>
                <w:vertAlign w:val="superscript"/>
              </w:rPr>
              <w:instrText xml:space="preserve"> ADDIN ZOTERO_ITEM CSL_CITATION {"citationID":"cabob4uZ","properties":{"formattedCitation":"[2]","plainCitation":"[2]","noteIndex":0},"citationItems":[{"id":"scpM1cJf/GmUMfcJW","uris":["http://zotero.org/users/local/Y4BoQvkR/items/SR27QELZ"],"itemData":{"id":11,"type":"article-journal","container-title":"Renewable and Sustainable Energy Reviews","DOI":"10.1016/j.rser.2021.112028","ISSN":"13640321","journalAbbreviation":"Renewable and Sustainable Energy Reviews","language":"en","page":"112028","source":"DOI.org (Crossref)","title":"Techno-economic analysis of PV-battery systems in Switzerland","volume":"158","author":[{"family":"Han","given":"Xuejiao"},{"family":"Garrison","given":"Jared"},{"family":"Hug","given":"Gabriela"}],"issued":{"date-parts":[["2022",4]]}}}],"schema":"https://github.com/citation-style-language/schema/raw/master/csl-citation.json"} </w:instrText>
            </w:r>
            <w:r>
              <w:rPr>
                <w:sz w:val="18"/>
                <w:szCs w:val="18"/>
                <w:vertAlign w:val="superscript"/>
              </w:rPr>
              <w:fldChar w:fldCharType="separate"/>
            </w:r>
            <w:r w:rsidRPr="00975B76">
              <w:rPr>
                <w:sz w:val="18"/>
              </w:rPr>
              <w:t>[2]</w:t>
            </w:r>
            <w:r>
              <w:rPr>
                <w:sz w:val="18"/>
                <w:szCs w:val="18"/>
                <w:vertAlign w:val="superscript"/>
              </w:rPr>
              <w:fldChar w:fldCharType="end"/>
            </w:r>
            <w:r w:rsidR="00D15F50">
              <w:rPr>
                <w:sz w:val="18"/>
                <w:szCs w:val="18"/>
                <w:vertAlign w:val="superscript"/>
              </w:rPr>
              <w:t>a</w:t>
            </w:r>
          </w:p>
        </w:tc>
      </w:tr>
      <w:tr w:rsidR="00E31DA5" w:rsidRPr="0068047F" w14:paraId="3D881D45" w14:textId="77777777" w:rsidTr="002E5868">
        <w:trPr>
          <w:trHeight w:val="227"/>
          <w:jc w:val="center"/>
        </w:trPr>
        <w:tc>
          <w:tcPr>
            <w:tcW w:w="3892" w:type="dxa"/>
            <w:tcBorders>
              <w:top w:val="nil"/>
              <w:left w:val="nil"/>
              <w:bottom w:val="nil"/>
              <w:right w:val="nil"/>
            </w:tcBorders>
          </w:tcPr>
          <w:p w14:paraId="79F26F3A" w14:textId="77777777" w:rsidR="00E31DA5" w:rsidRDefault="00E31DA5" w:rsidP="002E5868">
            <w:pPr>
              <w:spacing w:after="0"/>
              <w:ind w:left="120"/>
              <w:jc w:val="left"/>
              <w:rPr>
                <w:sz w:val="18"/>
              </w:rPr>
            </w:pPr>
            <w:r w:rsidRPr="0068047F">
              <w:rPr>
                <w:sz w:val="18"/>
              </w:rPr>
              <w:t>Battery cost relative std. (%)</w:t>
            </w:r>
          </w:p>
        </w:tc>
        <w:tc>
          <w:tcPr>
            <w:tcW w:w="1135" w:type="dxa"/>
            <w:tcBorders>
              <w:top w:val="nil"/>
              <w:left w:val="nil"/>
              <w:bottom w:val="nil"/>
              <w:right w:val="nil"/>
            </w:tcBorders>
          </w:tcPr>
          <w:p w14:paraId="64A20492" w14:textId="77777777" w:rsidR="00E31DA5" w:rsidRPr="0068047F" w:rsidRDefault="00E31DA5" w:rsidP="002E5868">
            <w:pPr>
              <w:spacing w:after="0"/>
              <w:ind w:left="328"/>
              <w:jc w:val="right"/>
              <w:rPr>
                <w:sz w:val="18"/>
              </w:rPr>
            </w:pPr>
            <w:r w:rsidRPr="0068047F">
              <w:rPr>
                <w:sz w:val="18"/>
              </w:rPr>
              <w:t>20</w:t>
            </w:r>
          </w:p>
        </w:tc>
        <w:tc>
          <w:tcPr>
            <w:tcW w:w="2835" w:type="dxa"/>
            <w:tcBorders>
              <w:top w:val="nil"/>
              <w:left w:val="nil"/>
              <w:bottom w:val="nil"/>
              <w:right w:val="nil"/>
            </w:tcBorders>
          </w:tcPr>
          <w:p w14:paraId="369642A9" w14:textId="0613D1AF" w:rsidR="00E31DA5" w:rsidRPr="0068047F" w:rsidRDefault="00E31DA5" w:rsidP="002E5868">
            <w:pPr>
              <w:spacing w:after="0"/>
              <w:jc w:val="right"/>
              <w:rPr>
                <w:sz w:val="18"/>
              </w:rPr>
            </w:pPr>
            <w:r w:rsidRPr="00A729DB">
              <w:rPr>
                <w:sz w:val="18"/>
                <w:szCs w:val="18"/>
              </w:rPr>
              <w:t xml:space="preserve">based on </w:t>
            </w:r>
            <w:r w:rsidR="00975B76">
              <w:rPr>
                <w:sz w:val="18"/>
                <w:szCs w:val="18"/>
              </w:rPr>
              <w:fldChar w:fldCharType="begin"/>
            </w:r>
            <w:r w:rsidR="00D84FA5">
              <w:rPr>
                <w:sz w:val="18"/>
                <w:szCs w:val="18"/>
              </w:rPr>
              <w:instrText xml:space="preserve"> ADDIN ZOTERO_ITEM CSL_CITATION {"citationID":"3t7dT6K9","properties":{"formattedCitation":"[3]","plainCitation":"[3]","noteIndex":0},"citationItems":[{"id":"scpM1cJf/FclohV7F","uris":["http://zotero.org/users/local/Y4BoQvkR/items/FXBM7FSY"],"itemData":{"id":57,"type":"report","ISBN":"978-92-9260-544-5","publisher":"International Renewable Energy Agency","publisher-place":"Abu Dhabi","title":"Renewable power generation costs in 2022","URL":"https://www.irena.org/Publications/2023/Aug/Renewable-Power-Generation-Costs-in-2022","author":[{"family":"IRENA","given":""}],"issued":{"date-parts":[["2023"]]}}}],"schema":"https://github.com/citation-style-language/schema/raw/master/csl-citation.json"} </w:instrText>
            </w:r>
            <w:r w:rsidR="00975B76">
              <w:rPr>
                <w:sz w:val="18"/>
                <w:szCs w:val="18"/>
              </w:rPr>
              <w:fldChar w:fldCharType="separate"/>
            </w:r>
            <w:r w:rsidR="00975B76" w:rsidRPr="00975B76">
              <w:rPr>
                <w:sz w:val="18"/>
              </w:rPr>
              <w:t>[3]</w:t>
            </w:r>
            <w:r w:rsidR="00975B76">
              <w:rPr>
                <w:sz w:val="18"/>
                <w:szCs w:val="18"/>
              </w:rPr>
              <w:fldChar w:fldCharType="end"/>
            </w:r>
            <w:r w:rsidR="00D15F50">
              <w:rPr>
                <w:sz w:val="18"/>
                <w:szCs w:val="18"/>
                <w:vertAlign w:val="superscript"/>
              </w:rPr>
              <w:t>b</w:t>
            </w:r>
          </w:p>
        </w:tc>
      </w:tr>
      <w:tr w:rsidR="00E31DA5" w:rsidRPr="0068047F" w14:paraId="5835969B" w14:textId="77777777" w:rsidTr="002E5868">
        <w:trPr>
          <w:trHeight w:val="227"/>
          <w:jc w:val="center"/>
        </w:trPr>
        <w:tc>
          <w:tcPr>
            <w:tcW w:w="3892" w:type="dxa"/>
            <w:tcBorders>
              <w:top w:val="nil"/>
              <w:left w:val="nil"/>
              <w:bottom w:val="nil"/>
              <w:right w:val="nil"/>
            </w:tcBorders>
          </w:tcPr>
          <w:p w14:paraId="29D7ABAC" w14:textId="77777777" w:rsidR="00E31DA5" w:rsidRPr="0068047F" w:rsidRDefault="00E31DA5" w:rsidP="002E5868">
            <w:pPr>
              <w:spacing w:after="0"/>
              <w:ind w:left="120"/>
              <w:jc w:val="left"/>
            </w:pPr>
            <w:r w:rsidRPr="0068047F">
              <w:rPr>
                <w:sz w:val="18"/>
              </w:rPr>
              <w:t xml:space="preserve">Depth of </w:t>
            </w:r>
            <w:r>
              <w:rPr>
                <w:sz w:val="18"/>
              </w:rPr>
              <w:t>dis</w:t>
            </w:r>
            <w:r w:rsidRPr="0068047F">
              <w:rPr>
                <w:sz w:val="18"/>
              </w:rPr>
              <w:t>charge (%)</w:t>
            </w:r>
          </w:p>
        </w:tc>
        <w:tc>
          <w:tcPr>
            <w:tcW w:w="1135" w:type="dxa"/>
            <w:tcBorders>
              <w:top w:val="nil"/>
              <w:left w:val="nil"/>
              <w:bottom w:val="nil"/>
              <w:right w:val="nil"/>
            </w:tcBorders>
          </w:tcPr>
          <w:p w14:paraId="51E1A386" w14:textId="77777777" w:rsidR="00E31DA5" w:rsidRPr="0068047F" w:rsidRDefault="00E31DA5" w:rsidP="002E5868">
            <w:pPr>
              <w:spacing w:after="0"/>
              <w:ind w:left="420"/>
              <w:jc w:val="right"/>
            </w:pPr>
            <w:r w:rsidRPr="0068047F">
              <w:rPr>
                <w:sz w:val="18"/>
              </w:rPr>
              <w:t>90</w:t>
            </w:r>
          </w:p>
        </w:tc>
        <w:tc>
          <w:tcPr>
            <w:tcW w:w="2835" w:type="dxa"/>
            <w:tcBorders>
              <w:top w:val="nil"/>
              <w:left w:val="nil"/>
              <w:bottom w:val="nil"/>
              <w:right w:val="nil"/>
            </w:tcBorders>
          </w:tcPr>
          <w:p w14:paraId="584B34CE" w14:textId="2668D529" w:rsidR="00E31DA5" w:rsidRPr="00975B76" w:rsidRDefault="00975B76" w:rsidP="002E5868">
            <w:pPr>
              <w:spacing w:after="0"/>
              <w:jc w:val="right"/>
              <w:rPr>
                <w:sz w:val="18"/>
                <w:szCs w:val="18"/>
              </w:rPr>
            </w:pPr>
            <w:r w:rsidRPr="00975B76">
              <w:rPr>
                <w:sz w:val="18"/>
                <w:szCs w:val="18"/>
              </w:rPr>
              <w:fldChar w:fldCharType="begin"/>
            </w:r>
            <w:r w:rsidR="00D84FA5">
              <w:rPr>
                <w:sz w:val="18"/>
                <w:szCs w:val="18"/>
              </w:rPr>
              <w:instrText xml:space="preserve"> ADDIN ZOTERO_ITEM CSL_CITATION {"citationID":"Oa7XMPOw","properties":{"formattedCitation":"[4]","plainCitation":"[4]","noteIndex":0},"citationItems":[{"id":"scpM1cJf/AR79RKKY","uris":["http://zotero.org/users/local/Y4BoQvkR/items/794K3GAN"],"itemData":{"id":54,"type":"article-journal","container-title":"Journal of Energy Storage","DOI":"10.1016/j.est.2021.102641","ISSN":"2352152X","journalAbbreviation":"Journal of Energy Storage","language":"en","page":"102641","source":"DOI.org (Crossref)","title":"Techno-economic optimisation of battery storage for grid-level energy services using curtailed energy from wind","volume":"39","author":[{"family":"Rayit","given":"Narinderjeet Singh"},{"family":"Chowdhury","given":"Jahedul Islam"},{"family":"Balta-Ozkan","given":"Nazmiye"}],"issued":{"date-parts":[["2021",7]]}}}],"schema":"https://github.com/citation-style-language/schema/raw/master/csl-citation.json"} </w:instrText>
            </w:r>
            <w:r w:rsidRPr="00975B76">
              <w:rPr>
                <w:sz w:val="18"/>
                <w:szCs w:val="18"/>
              </w:rPr>
              <w:fldChar w:fldCharType="separate"/>
            </w:r>
            <w:r w:rsidRPr="00975B76">
              <w:rPr>
                <w:sz w:val="18"/>
              </w:rPr>
              <w:t>[4]</w:t>
            </w:r>
            <w:r w:rsidRPr="00975B76">
              <w:rPr>
                <w:sz w:val="18"/>
                <w:szCs w:val="18"/>
              </w:rPr>
              <w:fldChar w:fldCharType="end"/>
            </w:r>
          </w:p>
        </w:tc>
      </w:tr>
      <w:tr w:rsidR="00E31DA5" w:rsidRPr="0068047F" w14:paraId="415EAE0C" w14:textId="77777777" w:rsidTr="002E5868">
        <w:trPr>
          <w:trHeight w:val="227"/>
          <w:jc w:val="center"/>
        </w:trPr>
        <w:tc>
          <w:tcPr>
            <w:tcW w:w="3892" w:type="dxa"/>
            <w:tcBorders>
              <w:top w:val="nil"/>
              <w:left w:val="nil"/>
              <w:bottom w:val="nil"/>
              <w:right w:val="nil"/>
            </w:tcBorders>
          </w:tcPr>
          <w:p w14:paraId="1ADF94FF" w14:textId="77777777" w:rsidR="00E31DA5" w:rsidRPr="0068047F" w:rsidRDefault="00E31DA5" w:rsidP="002E5868">
            <w:pPr>
              <w:spacing w:after="0"/>
              <w:ind w:left="120"/>
              <w:jc w:val="left"/>
              <w:rPr>
                <w:sz w:val="18"/>
              </w:rPr>
            </w:pPr>
            <w:r>
              <w:rPr>
                <w:sz w:val="18"/>
              </w:rPr>
              <w:t>Battery e</w:t>
            </w:r>
            <w:r w:rsidRPr="0068047F">
              <w:rPr>
                <w:sz w:val="18"/>
              </w:rPr>
              <w:t>fficiency (%)</w:t>
            </w:r>
          </w:p>
        </w:tc>
        <w:tc>
          <w:tcPr>
            <w:tcW w:w="1135" w:type="dxa"/>
            <w:tcBorders>
              <w:top w:val="nil"/>
              <w:left w:val="nil"/>
              <w:bottom w:val="nil"/>
              <w:right w:val="nil"/>
            </w:tcBorders>
          </w:tcPr>
          <w:p w14:paraId="0E63C891" w14:textId="77777777" w:rsidR="00E31DA5" w:rsidRPr="0068047F" w:rsidRDefault="00E31DA5" w:rsidP="002E5868">
            <w:pPr>
              <w:spacing w:after="0"/>
              <w:ind w:left="420"/>
              <w:jc w:val="right"/>
              <w:rPr>
                <w:sz w:val="18"/>
              </w:rPr>
            </w:pPr>
            <w:r w:rsidRPr="0068047F">
              <w:rPr>
                <w:sz w:val="18"/>
              </w:rPr>
              <w:t>90</w:t>
            </w:r>
          </w:p>
        </w:tc>
        <w:tc>
          <w:tcPr>
            <w:tcW w:w="2835" w:type="dxa"/>
            <w:tcBorders>
              <w:top w:val="nil"/>
              <w:left w:val="nil"/>
              <w:bottom w:val="nil"/>
              <w:right w:val="nil"/>
            </w:tcBorders>
          </w:tcPr>
          <w:p w14:paraId="2512128F" w14:textId="11D978FE" w:rsidR="00E31DA5" w:rsidRDefault="00975B76" w:rsidP="002E5868">
            <w:pPr>
              <w:spacing w:after="0"/>
              <w:jc w:val="right"/>
              <w:rPr>
                <w:sz w:val="18"/>
              </w:rPr>
            </w:pPr>
            <w:r>
              <w:rPr>
                <w:sz w:val="18"/>
              </w:rPr>
              <w:fldChar w:fldCharType="begin"/>
            </w:r>
            <w:r w:rsidR="00D84FA5">
              <w:rPr>
                <w:sz w:val="18"/>
              </w:rPr>
              <w:instrText xml:space="preserve"> ADDIN ZOTERO_ITEM CSL_CITATION {"citationID":"qcDrY0js","properties":{"formattedCitation":"[4]","plainCitation":"[4]","noteIndex":0},"citationItems":[{"id":"scpM1cJf/AR79RKKY","uris":["http://zotero.org/users/local/Y4BoQvkR/items/794K3GAN"],"itemData":{"id":54,"type":"article-journal","container-title":"Journal of Energy Storage","DOI":"10.1016/j.est.2021.102641","ISSN":"2352152X","journalAbbreviation":"Journal of Energy Storage","language":"en","page":"102641","source":"DOI.org (Crossref)","title":"Techno-economic optimisation of battery storage for grid-level energy services using curtailed energy from wind","volume":"39","author":[{"family":"Rayit","given":"Narinderjeet Singh"},{"family":"Chowdhury","given":"Jahedul Islam"},{"family":"Balta-Ozkan","given":"Nazmiye"}],"issued":{"date-parts":[["2021",7]]}}}],"schema":"https://github.com/citation-style-language/schema/raw/master/csl-citation.json"} </w:instrText>
            </w:r>
            <w:r>
              <w:rPr>
                <w:sz w:val="18"/>
              </w:rPr>
              <w:fldChar w:fldCharType="separate"/>
            </w:r>
            <w:r w:rsidRPr="00975B76">
              <w:rPr>
                <w:sz w:val="18"/>
              </w:rPr>
              <w:t>[4]</w:t>
            </w:r>
            <w:r>
              <w:rPr>
                <w:sz w:val="18"/>
              </w:rPr>
              <w:fldChar w:fldCharType="end"/>
            </w:r>
          </w:p>
        </w:tc>
      </w:tr>
      <w:tr w:rsidR="00E31DA5" w:rsidRPr="0068047F" w14:paraId="59B48F9A" w14:textId="77777777" w:rsidTr="002E5868">
        <w:trPr>
          <w:trHeight w:val="227"/>
          <w:jc w:val="center"/>
        </w:trPr>
        <w:tc>
          <w:tcPr>
            <w:tcW w:w="3892" w:type="dxa"/>
            <w:tcBorders>
              <w:top w:val="nil"/>
              <w:left w:val="nil"/>
              <w:bottom w:val="nil"/>
              <w:right w:val="nil"/>
            </w:tcBorders>
          </w:tcPr>
          <w:p w14:paraId="6847E1BE" w14:textId="77777777" w:rsidR="00E31DA5" w:rsidRPr="0068047F" w:rsidRDefault="00E31DA5" w:rsidP="002E5868">
            <w:pPr>
              <w:spacing w:after="0"/>
              <w:ind w:left="120"/>
              <w:jc w:val="left"/>
              <w:rPr>
                <w:sz w:val="18"/>
              </w:rPr>
            </w:pPr>
            <w:r>
              <w:rPr>
                <w:sz w:val="18"/>
              </w:rPr>
              <w:t>Battery l</w:t>
            </w:r>
            <w:r w:rsidRPr="0068047F">
              <w:rPr>
                <w:sz w:val="18"/>
              </w:rPr>
              <w:t>ifetime (year)</w:t>
            </w:r>
          </w:p>
        </w:tc>
        <w:tc>
          <w:tcPr>
            <w:tcW w:w="1135" w:type="dxa"/>
            <w:tcBorders>
              <w:top w:val="nil"/>
              <w:left w:val="nil"/>
              <w:bottom w:val="nil"/>
              <w:right w:val="nil"/>
            </w:tcBorders>
          </w:tcPr>
          <w:p w14:paraId="28AC18A1" w14:textId="77777777" w:rsidR="00E31DA5" w:rsidRPr="0068047F" w:rsidRDefault="00E31DA5" w:rsidP="002E5868">
            <w:pPr>
              <w:spacing w:after="0"/>
              <w:ind w:left="420"/>
              <w:jc w:val="right"/>
              <w:rPr>
                <w:sz w:val="18"/>
              </w:rPr>
            </w:pPr>
            <w:r w:rsidRPr="0068047F">
              <w:rPr>
                <w:sz w:val="18"/>
              </w:rPr>
              <w:t>15</w:t>
            </w:r>
          </w:p>
        </w:tc>
        <w:tc>
          <w:tcPr>
            <w:tcW w:w="2835" w:type="dxa"/>
            <w:tcBorders>
              <w:top w:val="nil"/>
              <w:left w:val="nil"/>
              <w:bottom w:val="nil"/>
              <w:right w:val="nil"/>
            </w:tcBorders>
          </w:tcPr>
          <w:p w14:paraId="6D39B3D3" w14:textId="78B7F8B8" w:rsidR="00E31DA5" w:rsidRDefault="00975B76" w:rsidP="002E5868">
            <w:pPr>
              <w:spacing w:after="0"/>
              <w:jc w:val="right"/>
              <w:rPr>
                <w:sz w:val="18"/>
              </w:rPr>
            </w:pPr>
            <w:r>
              <w:rPr>
                <w:sz w:val="18"/>
              </w:rPr>
              <w:fldChar w:fldCharType="begin"/>
            </w:r>
            <w:r w:rsidR="00D84FA5">
              <w:rPr>
                <w:sz w:val="18"/>
              </w:rPr>
              <w:instrText xml:space="preserve"> ADDIN ZOTERO_ITEM CSL_CITATION {"citationID":"wzqzxpq7","properties":{"formattedCitation":"[4]","plainCitation":"[4]","noteIndex":0},"citationItems":[{"id":"scpM1cJf/AR79RKKY","uris":["http://zotero.org/users/local/Y4BoQvkR/items/794K3GAN"],"itemData":{"id":54,"type":"article-journal","container-title":"Journal of Energy Storage","DOI":"10.1016/j.est.2021.102641","ISSN":"2352152X","journalAbbreviation":"Journal of Energy Storage","language":"en","page":"102641","source":"DOI.org (Crossref)","title":"Techno-economic optimisation of battery storage for grid-level energy services using curtailed energy from wind","volume":"39","author":[{"family":"Rayit","given":"Narinderjeet Singh"},{"family":"Chowdhury","given":"Jahedul Islam"},{"family":"Balta-Ozkan","given":"Nazmiye"}],"issued":{"date-parts":[["2021",7]]}}}],"schema":"https://github.com/citation-style-language/schema/raw/master/csl-citation.json"} </w:instrText>
            </w:r>
            <w:r>
              <w:rPr>
                <w:sz w:val="18"/>
              </w:rPr>
              <w:fldChar w:fldCharType="separate"/>
            </w:r>
            <w:r w:rsidRPr="00975B76">
              <w:rPr>
                <w:sz w:val="18"/>
              </w:rPr>
              <w:t>[4]</w:t>
            </w:r>
            <w:r>
              <w:rPr>
                <w:sz w:val="18"/>
              </w:rPr>
              <w:fldChar w:fldCharType="end"/>
            </w:r>
          </w:p>
        </w:tc>
      </w:tr>
      <w:tr w:rsidR="00E31DA5" w:rsidRPr="0068047F" w14:paraId="126F570D" w14:textId="77777777" w:rsidTr="002E5868">
        <w:trPr>
          <w:trHeight w:val="227"/>
          <w:jc w:val="center"/>
        </w:trPr>
        <w:tc>
          <w:tcPr>
            <w:tcW w:w="3892" w:type="dxa"/>
            <w:tcBorders>
              <w:top w:val="nil"/>
              <w:left w:val="nil"/>
              <w:bottom w:val="nil"/>
              <w:right w:val="nil"/>
            </w:tcBorders>
          </w:tcPr>
          <w:p w14:paraId="7EF5DAC9" w14:textId="77777777" w:rsidR="00E31DA5" w:rsidRPr="0068047F" w:rsidRDefault="00E31DA5" w:rsidP="002E5868">
            <w:pPr>
              <w:spacing w:after="0"/>
              <w:ind w:left="120"/>
              <w:jc w:val="left"/>
              <w:rPr>
                <w:sz w:val="18"/>
              </w:rPr>
            </w:pPr>
            <w:r w:rsidRPr="0068047F">
              <w:rPr>
                <w:sz w:val="18"/>
              </w:rPr>
              <w:t>Discount rate (%)</w:t>
            </w:r>
          </w:p>
        </w:tc>
        <w:tc>
          <w:tcPr>
            <w:tcW w:w="1135" w:type="dxa"/>
            <w:tcBorders>
              <w:top w:val="nil"/>
              <w:left w:val="nil"/>
              <w:bottom w:val="nil"/>
              <w:right w:val="nil"/>
            </w:tcBorders>
          </w:tcPr>
          <w:p w14:paraId="38D75B0A" w14:textId="77777777" w:rsidR="00E31DA5" w:rsidRPr="0068047F" w:rsidRDefault="00E31DA5" w:rsidP="002E5868">
            <w:pPr>
              <w:spacing w:after="0"/>
              <w:ind w:left="420"/>
              <w:jc w:val="right"/>
              <w:rPr>
                <w:sz w:val="18"/>
              </w:rPr>
            </w:pPr>
            <w:r w:rsidRPr="0068047F">
              <w:rPr>
                <w:sz w:val="18"/>
              </w:rPr>
              <w:t>5</w:t>
            </w:r>
          </w:p>
        </w:tc>
        <w:tc>
          <w:tcPr>
            <w:tcW w:w="2835" w:type="dxa"/>
            <w:tcBorders>
              <w:top w:val="nil"/>
              <w:left w:val="nil"/>
              <w:bottom w:val="nil"/>
              <w:right w:val="nil"/>
            </w:tcBorders>
          </w:tcPr>
          <w:p w14:paraId="38CC5896" w14:textId="7568D45B" w:rsidR="00E31DA5" w:rsidRDefault="00975B76" w:rsidP="002E5868">
            <w:pPr>
              <w:spacing w:after="0"/>
              <w:jc w:val="right"/>
              <w:rPr>
                <w:sz w:val="18"/>
              </w:rPr>
            </w:pPr>
            <w:r>
              <w:rPr>
                <w:sz w:val="18"/>
              </w:rPr>
              <w:fldChar w:fldCharType="begin"/>
            </w:r>
            <w:r w:rsidR="00D84FA5">
              <w:rPr>
                <w:sz w:val="18"/>
              </w:rPr>
              <w:instrText xml:space="preserve"> ADDIN ZOTERO_ITEM CSL_CITATION {"citationID":"8fULqWCd","properties":{"formattedCitation":"[4]","plainCitation":"[4]","noteIndex":0},"citationItems":[{"id":"scpM1cJf/AR79RKKY","uris":["http://zotero.org/users/local/Y4BoQvkR/items/794K3GAN"],"itemData":{"id":54,"type":"article-journal","container-title":"Journal of Energy Storage","DOI":"10.1016/j.est.2021.102641","ISSN":"2352152X","journalAbbreviation":"Journal of Energy Storage","language":"en","page":"102641","source":"DOI.org (Crossref)","title":"Techno-economic optimisation of battery storage for grid-level energy services using curtailed energy from wind","volume":"39","author":[{"family":"Rayit","given":"Narinderjeet Singh"},{"family":"Chowdhury","given":"Jahedul Islam"},{"family":"Balta-Ozkan","given":"Nazmiye"}],"issued":{"date-parts":[["2021",7]]}}}],"schema":"https://github.com/citation-style-language/schema/raw/master/csl-citation.json"} </w:instrText>
            </w:r>
            <w:r>
              <w:rPr>
                <w:sz w:val="18"/>
              </w:rPr>
              <w:fldChar w:fldCharType="separate"/>
            </w:r>
            <w:r w:rsidRPr="00975B76">
              <w:rPr>
                <w:sz w:val="18"/>
              </w:rPr>
              <w:t>[4]</w:t>
            </w:r>
            <w:r>
              <w:rPr>
                <w:sz w:val="18"/>
              </w:rPr>
              <w:fldChar w:fldCharType="end"/>
            </w:r>
          </w:p>
        </w:tc>
      </w:tr>
      <w:tr w:rsidR="00E31DA5" w:rsidRPr="0068047F" w14:paraId="55E020DC" w14:textId="77777777" w:rsidTr="002E5868">
        <w:trPr>
          <w:trHeight w:val="227"/>
          <w:jc w:val="center"/>
        </w:trPr>
        <w:tc>
          <w:tcPr>
            <w:tcW w:w="3892" w:type="dxa"/>
            <w:tcBorders>
              <w:top w:val="nil"/>
              <w:left w:val="nil"/>
              <w:bottom w:val="nil"/>
              <w:right w:val="nil"/>
            </w:tcBorders>
          </w:tcPr>
          <w:p w14:paraId="546B380E" w14:textId="77777777" w:rsidR="00E31DA5" w:rsidRPr="0068047F" w:rsidRDefault="00E31DA5" w:rsidP="002E5868">
            <w:pPr>
              <w:spacing w:after="0"/>
              <w:ind w:left="120"/>
              <w:jc w:val="left"/>
              <w:rPr>
                <w:sz w:val="18"/>
              </w:rPr>
            </w:pPr>
            <w:r w:rsidRPr="0068047F">
              <w:rPr>
                <w:sz w:val="18"/>
              </w:rPr>
              <w:t>Annual electricity price growth (%)</w:t>
            </w:r>
          </w:p>
        </w:tc>
        <w:tc>
          <w:tcPr>
            <w:tcW w:w="1135" w:type="dxa"/>
            <w:tcBorders>
              <w:top w:val="nil"/>
              <w:left w:val="nil"/>
              <w:bottom w:val="nil"/>
              <w:right w:val="nil"/>
            </w:tcBorders>
          </w:tcPr>
          <w:p w14:paraId="305262FA" w14:textId="77777777" w:rsidR="00E31DA5" w:rsidRPr="0068047F" w:rsidRDefault="00E31DA5" w:rsidP="002E5868">
            <w:pPr>
              <w:spacing w:after="0"/>
              <w:ind w:left="420"/>
              <w:jc w:val="right"/>
              <w:rPr>
                <w:sz w:val="18"/>
              </w:rPr>
            </w:pPr>
            <w:r w:rsidRPr="0068047F">
              <w:rPr>
                <w:sz w:val="18"/>
              </w:rPr>
              <w:t>2</w:t>
            </w:r>
          </w:p>
        </w:tc>
        <w:tc>
          <w:tcPr>
            <w:tcW w:w="2835" w:type="dxa"/>
            <w:tcBorders>
              <w:top w:val="nil"/>
              <w:left w:val="nil"/>
              <w:bottom w:val="nil"/>
              <w:right w:val="nil"/>
            </w:tcBorders>
          </w:tcPr>
          <w:p w14:paraId="63ABEE41" w14:textId="5488E621" w:rsidR="00E31DA5" w:rsidRDefault="00975B76" w:rsidP="002E5868">
            <w:pPr>
              <w:spacing w:after="0"/>
              <w:jc w:val="right"/>
              <w:rPr>
                <w:sz w:val="18"/>
              </w:rPr>
            </w:pPr>
            <w:r>
              <w:rPr>
                <w:sz w:val="18"/>
              </w:rPr>
              <w:fldChar w:fldCharType="begin"/>
            </w:r>
            <w:r w:rsidR="00D84FA5">
              <w:rPr>
                <w:sz w:val="18"/>
              </w:rPr>
              <w:instrText xml:space="preserve"> ADDIN ZOTERO_ITEM CSL_CITATION {"citationID":"8uKNWTzs","properties":{"formattedCitation":"[5]","plainCitation":"[5]","noteIndex":0},"citationItems":[{"id":"scpM1cJf/cSleHzso","uris":["http://zotero.org/users/local/Y4BoQvkR/items/3RZK7W7N"],"itemData":{"id":9,"type":"article-journal","container-title":"Journal of Business Economics","DOI":"10.1007/s11573-019-00936-3","ISSN":"0044-2372, 1861-8928","issue":"7","journalAbbreviation":"J Bus Econ","language":"en","page":"867-891","source":"DOI.org (Crossref)","title":"Impacts of self-generation and self-consumption on German household electricity prices","volume":"89","author":[{"family":"Fett","given":"Daniel"},{"family":"Keles","given":"Dogan"},{"family":"Kaschub","given":"Thomas"},{"family":"Fichtner","given":"Wolf"}],"issued":{"date-parts":[["2019",9]]}}}],"schema":"https://github.com/citation-style-language/schema/raw/master/csl-citation.json"} </w:instrText>
            </w:r>
            <w:r>
              <w:rPr>
                <w:sz w:val="18"/>
              </w:rPr>
              <w:fldChar w:fldCharType="separate"/>
            </w:r>
            <w:r w:rsidRPr="00975B76">
              <w:rPr>
                <w:sz w:val="18"/>
              </w:rPr>
              <w:t>[5]</w:t>
            </w:r>
            <w:r>
              <w:rPr>
                <w:sz w:val="18"/>
              </w:rPr>
              <w:fldChar w:fldCharType="end"/>
            </w:r>
          </w:p>
        </w:tc>
      </w:tr>
      <w:tr w:rsidR="00E31DA5" w:rsidRPr="0068047F" w14:paraId="5EE2DAF8" w14:textId="77777777" w:rsidTr="002E5868">
        <w:trPr>
          <w:trHeight w:val="227"/>
          <w:jc w:val="center"/>
        </w:trPr>
        <w:tc>
          <w:tcPr>
            <w:tcW w:w="3892" w:type="dxa"/>
            <w:tcBorders>
              <w:top w:val="nil"/>
              <w:left w:val="nil"/>
              <w:bottom w:val="single" w:sz="4" w:space="0" w:color="auto"/>
              <w:right w:val="nil"/>
            </w:tcBorders>
          </w:tcPr>
          <w:p w14:paraId="12596B52" w14:textId="77777777" w:rsidR="00E31DA5" w:rsidRPr="0068047F" w:rsidRDefault="00E31DA5" w:rsidP="002E5868">
            <w:pPr>
              <w:spacing w:after="0"/>
              <w:ind w:left="120"/>
              <w:jc w:val="left"/>
            </w:pPr>
            <w:r w:rsidRPr="0068047F">
              <w:rPr>
                <w:sz w:val="18"/>
              </w:rPr>
              <w:t xml:space="preserve">Labour cost of </w:t>
            </w:r>
            <w:r>
              <w:rPr>
                <w:sz w:val="18"/>
              </w:rPr>
              <w:t xml:space="preserve">battery </w:t>
            </w:r>
            <w:r w:rsidRPr="0068047F">
              <w:rPr>
                <w:sz w:val="18"/>
              </w:rPr>
              <w:t>installation (EUR/kWh)</w:t>
            </w:r>
          </w:p>
        </w:tc>
        <w:tc>
          <w:tcPr>
            <w:tcW w:w="1135" w:type="dxa"/>
            <w:tcBorders>
              <w:top w:val="nil"/>
              <w:left w:val="nil"/>
              <w:bottom w:val="single" w:sz="4" w:space="0" w:color="auto"/>
              <w:right w:val="nil"/>
            </w:tcBorders>
          </w:tcPr>
          <w:p w14:paraId="0B76E2A3" w14:textId="77777777" w:rsidR="00E31DA5" w:rsidRPr="0068047F" w:rsidRDefault="00E31DA5" w:rsidP="002E5868">
            <w:pPr>
              <w:spacing w:after="0"/>
              <w:ind w:left="236"/>
              <w:jc w:val="right"/>
            </w:pPr>
            <w:r w:rsidRPr="0068047F">
              <w:rPr>
                <w:sz w:val="18"/>
              </w:rPr>
              <w:t>240</w:t>
            </w:r>
          </w:p>
        </w:tc>
        <w:tc>
          <w:tcPr>
            <w:tcW w:w="2835" w:type="dxa"/>
            <w:tcBorders>
              <w:top w:val="nil"/>
              <w:left w:val="nil"/>
              <w:bottom w:val="single" w:sz="4" w:space="0" w:color="auto"/>
              <w:right w:val="nil"/>
            </w:tcBorders>
          </w:tcPr>
          <w:p w14:paraId="6AE14361" w14:textId="53DF3FF9" w:rsidR="00E31DA5" w:rsidRPr="0068047F" w:rsidRDefault="00E31DA5" w:rsidP="002E5868">
            <w:pPr>
              <w:spacing w:after="0"/>
              <w:jc w:val="right"/>
            </w:pPr>
            <w:r w:rsidRPr="0068047F">
              <w:rPr>
                <w:sz w:val="18"/>
              </w:rPr>
              <w:t>based on</w:t>
            </w:r>
            <w:r w:rsidRPr="00A729DB">
              <w:rPr>
                <w:sz w:val="18"/>
                <w:szCs w:val="18"/>
              </w:rPr>
              <w:t xml:space="preserve"> </w:t>
            </w:r>
            <w:r w:rsidR="00975B76">
              <w:rPr>
                <w:sz w:val="18"/>
                <w:szCs w:val="18"/>
              </w:rPr>
              <w:fldChar w:fldCharType="begin"/>
            </w:r>
            <w:r w:rsidR="00D84FA5">
              <w:rPr>
                <w:sz w:val="18"/>
                <w:szCs w:val="18"/>
              </w:rPr>
              <w:instrText xml:space="preserve"> ADDIN ZOTERO_ITEM CSL_CITATION {"citationID":"9xDwYmOi","properties":{"formattedCitation":"[6]","plainCitation":"[6]","noteIndex":0},"citationItems":[{"id":"scpM1cJf/rYz4s9Gl","uris":["http://zotero.org/users/local/Y4BoQvkR/items/F6WBMRH2"],"itemData":{"id":27,"type":"article-journal","abstract":"A 413/2022. (X. 26.) rendelet értelmében a 2022. október 31. előtt az egyetemes szolgáltatónak benyújtott igénybejelentések alapján kivitelezett háztartási méretű kiserőművek (HMKE) táplálhatnak csak be a közüzemi hálózatba, így ma Magyarországon már csak szigetüzemű napelemes rendszerek telepítése lehetséges. A betáplálás lehetőségének felfüggesztése jelentősen megnöveli a napelemes rendszerek megtérülési idejét. A cikkben egy átlagos család havi energiafogyasztását fedező szigetüzemű HMKE megtérülési idejét vizsgálom különböző esetekben. Számításaim során 80%-os hatásfokot, 0,5%-os éves teljesítményromlást, 30 éves élettartamot és 1%-os éves villamosenergia-ár növekedést feltételezek. Továbbá figyelembe veszem a változó inflációs környezetet is, 5 és 10%-os értékkel számolok. Az elemzést lebontom olyan esetekre, amikor a felhasználó a napelemes rendszert teljes mértékben önerőből vagy állami támogatásból finanszírozza. Látni fogjuk, hogy az önerőből történő finanszírozás esetében a szigetüzemű HMKE a várható élettartama alatt egy meg nem térülő beruházás. Tehát állami támogatás nélkül a szigetüzemű HMKE megtérülési ideje kívül esik annak élettartamán, csak a teljes mértékben állami támogatásból finanszírozott beruházás térülhet meg.","container-title":"Jelenkori Társadalmi és Gazdasági Folyamatok","DOI":"10.14232/jtgf.2023.kulonszam.445-465","ISSN":"2676-9867, 1788-7593","issue":"Különszám","journalAbbreviation":"JTGF","page":"445-465","source":"DOI.org (Crossref)","title":"Szigetüzemű háztartási méretű kiserőmű (HMKE) megtérülési idejének elemzése","volume":"18","author":[{"family":"Somogyiné Molnár","given":"Judit"}],"issued":{"date-parts":[["2023",6,21]]}}}],"schema":"https://github.com/citation-style-language/schema/raw/master/csl-citation.json"} </w:instrText>
            </w:r>
            <w:r w:rsidR="00975B76">
              <w:rPr>
                <w:sz w:val="18"/>
                <w:szCs w:val="18"/>
              </w:rPr>
              <w:fldChar w:fldCharType="separate"/>
            </w:r>
            <w:r w:rsidR="00975B76" w:rsidRPr="00975B76">
              <w:rPr>
                <w:sz w:val="18"/>
              </w:rPr>
              <w:t>[6]</w:t>
            </w:r>
            <w:r w:rsidR="00975B76">
              <w:rPr>
                <w:sz w:val="18"/>
                <w:szCs w:val="18"/>
              </w:rPr>
              <w:fldChar w:fldCharType="end"/>
            </w:r>
            <w:r w:rsidR="00D15F50">
              <w:rPr>
                <w:sz w:val="18"/>
                <w:vertAlign w:val="superscript"/>
              </w:rPr>
              <w:t>c</w:t>
            </w:r>
          </w:p>
        </w:tc>
      </w:tr>
    </w:tbl>
    <w:p w14:paraId="3FF74A50" w14:textId="45D18243" w:rsidR="00E31DA5" w:rsidRPr="00BF29F5" w:rsidRDefault="00E31DA5" w:rsidP="00E31DA5">
      <w:pPr>
        <w:spacing w:after="0"/>
        <w:ind w:left="-17"/>
        <w:jc w:val="left"/>
        <w:rPr>
          <w:sz w:val="16"/>
          <w:szCs w:val="16"/>
        </w:rPr>
      </w:pPr>
      <w:r w:rsidRPr="0095379E">
        <w:rPr>
          <w:sz w:val="16"/>
          <w:szCs w:val="16"/>
        </w:rPr>
        <w:t>Note</w:t>
      </w:r>
      <w:r w:rsidR="00D15F50">
        <w:rPr>
          <w:sz w:val="16"/>
          <w:szCs w:val="16"/>
        </w:rPr>
        <w:t>s:</w:t>
      </w:r>
    </w:p>
    <w:p w14:paraId="0CEAC053" w14:textId="3AD53E6F" w:rsidR="00E31DA5" w:rsidRPr="00BF29F5" w:rsidRDefault="00D15F50" w:rsidP="00E31DA5">
      <w:pPr>
        <w:spacing w:after="0"/>
        <w:ind w:left="-17"/>
        <w:jc w:val="left"/>
        <w:rPr>
          <w:sz w:val="16"/>
          <w:szCs w:val="16"/>
        </w:rPr>
      </w:pPr>
      <w:r>
        <w:rPr>
          <w:sz w:val="16"/>
          <w:szCs w:val="16"/>
          <w:vertAlign w:val="superscript"/>
        </w:rPr>
        <w:t>a</w:t>
      </w:r>
      <w:r w:rsidR="00E31DA5" w:rsidRPr="00BF29F5">
        <w:rPr>
          <w:sz w:val="16"/>
          <w:szCs w:val="16"/>
        </w:rPr>
        <w:t xml:space="preserve"> </w:t>
      </w:r>
      <w:r w:rsidR="009161D9">
        <w:rPr>
          <w:sz w:val="16"/>
          <w:szCs w:val="16"/>
        </w:rPr>
        <w:t>Medium</w:t>
      </w:r>
      <w:r w:rsidR="00E31DA5">
        <w:rPr>
          <w:sz w:val="16"/>
          <w:szCs w:val="16"/>
        </w:rPr>
        <w:t xml:space="preserve"> battery cost scenario</w:t>
      </w:r>
      <w:r w:rsidR="00E31DA5" w:rsidRPr="00BF29F5">
        <w:rPr>
          <w:sz w:val="16"/>
          <w:szCs w:val="16"/>
        </w:rPr>
        <w:t>.</w:t>
      </w:r>
    </w:p>
    <w:p w14:paraId="24E0DACA" w14:textId="02E7230F" w:rsidR="00E31DA5" w:rsidRDefault="00D15F50" w:rsidP="00E31DA5">
      <w:pPr>
        <w:spacing w:after="0"/>
        <w:ind w:left="-17"/>
        <w:jc w:val="left"/>
        <w:rPr>
          <w:sz w:val="16"/>
          <w:szCs w:val="16"/>
        </w:rPr>
      </w:pPr>
      <w:r>
        <w:rPr>
          <w:sz w:val="16"/>
          <w:szCs w:val="16"/>
          <w:vertAlign w:val="superscript"/>
        </w:rPr>
        <w:t>b</w:t>
      </w:r>
      <w:r w:rsidR="00E31DA5" w:rsidRPr="00BF29F5">
        <w:rPr>
          <w:sz w:val="16"/>
          <w:szCs w:val="16"/>
        </w:rPr>
        <w:t xml:space="preserve"> The standard deviation of battery installation is derived from the 5</w:t>
      </w:r>
      <w:r w:rsidR="00E31DA5" w:rsidRPr="00BF29F5">
        <w:rPr>
          <w:sz w:val="16"/>
          <w:szCs w:val="16"/>
          <w:vertAlign w:val="superscript"/>
        </w:rPr>
        <w:t>th</w:t>
      </w:r>
      <w:r w:rsidR="00E31DA5" w:rsidRPr="00BF29F5">
        <w:rPr>
          <w:sz w:val="16"/>
          <w:szCs w:val="16"/>
        </w:rPr>
        <w:t xml:space="preserve"> percentile value and mean of PV costs in 2022 presented by </w:t>
      </w:r>
      <w:r w:rsidR="00975B76">
        <w:rPr>
          <w:sz w:val="16"/>
          <w:szCs w:val="16"/>
        </w:rPr>
        <w:fldChar w:fldCharType="begin"/>
      </w:r>
      <w:r w:rsidR="00D84FA5">
        <w:rPr>
          <w:sz w:val="16"/>
          <w:szCs w:val="16"/>
        </w:rPr>
        <w:instrText xml:space="preserve"> ADDIN ZOTERO_ITEM CSL_CITATION {"citationID":"5i2yqKlX","properties":{"formattedCitation":"[3]","plainCitation":"[3]","noteIndex":0},"citationItems":[{"id":"scpM1cJf/FclohV7F","uris":["http://zotero.org/users/local/Y4BoQvkR/items/FXBM7FSY"],"itemData":{"id":57,"type":"report","ISBN":"978-92-9260-544-5","publisher":"International Renewable Energy Agency","publisher-place":"Abu Dhabi","title":"Renewable power generation costs in 2022","URL":"https://www.irena.org/Publications/2023/Aug/Renewable-Power-Generation-Costs-in-2022","author":[{"family":"IRENA","given":""}],"issued":{"date-parts":[["2023"]]}}}],"schema":"https://github.com/citation-style-language/schema/raw/master/csl-citation.json"} </w:instrText>
      </w:r>
      <w:r w:rsidR="00975B76">
        <w:rPr>
          <w:sz w:val="16"/>
          <w:szCs w:val="16"/>
        </w:rPr>
        <w:fldChar w:fldCharType="separate"/>
      </w:r>
      <w:r w:rsidR="00975B76" w:rsidRPr="00975B76">
        <w:rPr>
          <w:sz w:val="16"/>
        </w:rPr>
        <w:t>[3]</w:t>
      </w:r>
      <w:r w:rsidR="00975B76">
        <w:rPr>
          <w:sz w:val="16"/>
          <w:szCs w:val="16"/>
        </w:rPr>
        <w:fldChar w:fldCharType="end"/>
      </w:r>
      <w:r w:rsidR="00E31DA5" w:rsidRPr="00BF29F5">
        <w:rPr>
          <w:sz w:val="16"/>
          <w:szCs w:val="16"/>
        </w:rPr>
        <w:t>.</w:t>
      </w:r>
    </w:p>
    <w:p w14:paraId="6136386B" w14:textId="06043156" w:rsidR="00E31DA5" w:rsidRPr="00D64A33" w:rsidRDefault="00D15F50" w:rsidP="00E31DA5">
      <w:pPr>
        <w:spacing w:after="0"/>
        <w:jc w:val="left"/>
        <w:rPr>
          <w:sz w:val="16"/>
          <w:szCs w:val="16"/>
        </w:rPr>
      </w:pPr>
      <w:r>
        <w:rPr>
          <w:sz w:val="16"/>
          <w:szCs w:val="16"/>
          <w:vertAlign w:val="superscript"/>
        </w:rPr>
        <w:t>c</w:t>
      </w:r>
      <w:r w:rsidR="00E31DA5" w:rsidRPr="0095379E">
        <w:rPr>
          <w:sz w:val="16"/>
          <w:szCs w:val="16"/>
        </w:rPr>
        <w:t xml:space="preserve"> Battery installation labour cost reference the total battery cost from </w:t>
      </w:r>
      <w:r w:rsidR="00975B76">
        <w:rPr>
          <w:sz w:val="16"/>
          <w:szCs w:val="16"/>
        </w:rPr>
        <w:fldChar w:fldCharType="begin"/>
      </w:r>
      <w:r w:rsidR="00D84FA5">
        <w:rPr>
          <w:sz w:val="16"/>
          <w:szCs w:val="16"/>
        </w:rPr>
        <w:instrText xml:space="preserve"> ADDIN ZOTERO_ITEM CSL_CITATION {"citationID":"HsGOr6wx","properties":{"formattedCitation":"[6]","plainCitation":"[6]","noteIndex":0},"citationItems":[{"id":"scpM1cJf/rYz4s9Gl","uris":["http://zotero.org/users/local/Y4BoQvkR/items/F6WBMRH2"],"itemData":{"id":27,"type":"article-journal","abstract":"A 413/2022. (X. 26.) rendelet értelmében a 2022. október 31. előtt az egyetemes szolgáltatónak benyújtott igénybejelentések alapján kivitelezett háztartási méretű kiserőművek (HMKE) táplálhatnak csak be a közüzemi hálózatba, így ma Magyarországon már csak szigetüzemű napelemes rendszerek telepítése lehetséges. A betáplálás lehetőségének felfüggesztése jelentősen megnöveli a napelemes rendszerek megtérülési idejét. A cikkben egy átlagos család havi energiafogyasztását fedező szigetüzemű HMKE megtérülési idejét vizsgálom különböző esetekben. Számításaim során 80%-os hatásfokot, 0,5%-os éves teljesítményromlást, 30 éves élettartamot és 1%-os éves villamosenergia-ár növekedést feltételezek. Továbbá figyelembe veszem a változó inflációs környezetet is, 5 és 10%-os értékkel számolok. Az elemzést lebontom olyan esetekre, amikor a felhasználó a napelemes rendszert teljes mértékben önerőből vagy állami támogatásból finanszírozza. Látni fogjuk, hogy az önerőből történő finanszírozás esetében a szigetüzemű HMKE a várható élettartama alatt egy meg nem térülő beruházás. Tehát állami támogatás nélkül a szigetüzemű HMKE megtérülési ideje kívül esik annak élettartamán, csak a teljes mértékben állami támogatásból finanszírozott beruházás térülhet meg.","container-title":"Jelenkori Társadalmi és Gazdasági Folyamatok","DOI":"10.14232/jtgf.2023.kulonszam.445-465","ISSN":"2676-9867, 1788-7593","issue":"Különszám","journalAbbreviation":"JTGF","page":"445-465","source":"DOI.org (Crossref)","title":"Szigetüzemű háztartási méretű kiserőmű (HMKE) megtérülési idejének elemzése","volume":"18","author":[{"family":"Somogyiné Molnár","given":"Judit"}],"issued":{"date-parts":[["2023",6,21]]}}}],"schema":"https://github.com/citation-style-language/schema/raw/master/csl-citation.json"} </w:instrText>
      </w:r>
      <w:r w:rsidR="00975B76">
        <w:rPr>
          <w:sz w:val="16"/>
          <w:szCs w:val="16"/>
        </w:rPr>
        <w:fldChar w:fldCharType="separate"/>
      </w:r>
      <w:r w:rsidR="00975B76" w:rsidRPr="00975B76">
        <w:rPr>
          <w:sz w:val="16"/>
        </w:rPr>
        <w:t>[6]</w:t>
      </w:r>
      <w:r w:rsidR="00975B76">
        <w:rPr>
          <w:sz w:val="16"/>
          <w:szCs w:val="16"/>
        </w:rPr>
        <w:fldChar w:fldCharType="end"/>
      </w:r>
      <w:r w:rsidR="00E31DA5" w:rsidRPr="0095379E">
        <w:rPr>
          <w:sz w:val="16"/>
          <w:szCs w:val="16"/>
        </w:rPr>
        <w:t>, assuming a 70–30 split</w:t>
      </w:r>
      <w:r w:rsidR="00E31DA5">
        <w:rPr>
          <w:sz w:val="16"/>
          <w:szCs w:val="16"/>
        </w:rPr>
        <w:t xml:space="preserve"> between battery cost and labour cost</w:t>
      </w:r>
      <w:r w:rsidR="00E31DA5" w:rsidRPr="0095379E">
        <w:rPr>
          <w:sz w:val="16"/>
          <w:szCs w:val="16"/>
        </w:rPr>
        <w:t>.</w:t>
      </w:r>
    </w:p>
    <w:p w14:paraId="3F716CFD" w14:textId="14D312B0" w:rsidR="006915C9" w:rsidRDefault="006915C9" w:rsidP="006915C9">
      <w:pPr>
        <w:spacing w:before="120"/>
      </w:pPr>
      <w:r>
        <w:t>The analysis focuses on a single battery technology, namely lithium</w:t>
      </w:r>
      <w:r w:rsidR="008C0E4E">
        <w:t>-</w:t>
      </w:r>
      <w:r>
        <w:t xml:space="preserve">ion batteries of varying sizes. Average battery sizes and historical installation data were provided by SolarPower Europe upon request. Three types of household load profiles (normal, cooling, and heating) estimated by Schlemminger et al. </w:t>
      </w:r>
      <w:r w:rsidR="00975B76">
        <w:fldChar w:fldCharType="begin"/>
      </w:r>
      <w:r w:rsidR="00D84FA5">
        <w:instrText xml:space="preserve"> ADDIN ZOTERO_ITEM CSL_CITATION {"citationID":"jKFjtbL2","properties":{"formattedCitation":"[7]","plainCitation":"[7]","noteIndex":0},"citationItems":[{"id":"scpM1cJf/J11vOnnr","uris":["http://zotero.org/users/local/Y4BoQvkR/items/XBTLR7JB"],"itemData":{"id":55,"type":"article-journal","abstract":"End-use specific residential electricity load profiles are of interest for energy system modelling that requires future load curves or demand-side management. We present a model that is applicable across countries to predict consumption on a regional and national scale, using openly available data. The model uses neural networks (NNs) to correlate measured consumption from one country (United Kingdom) with weather data and daily profiles of a mix of human activity and device specific power profiles. We then use region-specific weather data and time-use surveys as input for the trained NNs to predict unscaled electric load profiles. The total power profile consists of the end-use household load profiles scaled with real consumption. We compare the model’s results with measured and independently simulated profiles of various European countries. The NNs achieve a mean absolute error compared with the average load of 6.5 to 33% for the test set. For Germany, the standard deviation between the simulation, the standard load profile H0, and measurements from the University of Applied Sciences Berlin is 26.5%. Our approach reduces the amount of input data required compared with existing models for modelling region-specific electricity load profiles considering end-uses and seasonality based on weather parameters. Hourly load profiles for 29 European countries based on four historical weather years are distributed under an open license.","container-title":"Energies","DOI":"10.3390/en14082167","ISSN":"1996-1073","issue":"8","journalAbbreviation":"Energies","language":"en","page":"2167","source":"DOI.org (Crossref)","title":"A Cross-Country Model for End-Use Specific Aggregated Household Load Profiles","volume":"14","author":[{"family":"Schlemminger","given":"Marlon"},{"family":"Niepelt","given":"Raphael"},{"family":"Brendel","given":"Rolf"}],"issued":{"date-parts":[["2021",4,13]]}}}],"schema":"https://github.com/citation-style-language/schema/raw/master/csl-citation.json"} </w:instrText>
      </w:r>
      <w:r w:rsidR="00975B76">
        <w:fldChar w:fldCharType="separate"/>
      </w:r>
      <w:r w:rsidR="00975B76" w:rsidRPr="00975B76">
        <w:t>[7]</w:t>
      </w:r>
      <w:r w:rsidR="00975B76">
        <w:fldChar w:fldCharType="end"/>
      </w:r>
      <w:r>
        <w:t xml:space="preserve"> are used. The annual load of the normal profile is lower than that of the other two. The heating and cooling profiles have similar annual consumption levels, although the heating profile shows higher winter demand due to electric heating, while the cooling profile peaks in summer.</w:t>
      </w:r>
    </w:p>
    <w:p w14:paraId="260E5DA8" w14:textId="40F35207" w:rsidR="006915C9" w:rsidRDefault="006915C9" w:rsidP="006915C9">
      <w:pPr>
        <w:spacing w:before="120"/>
      </w:pPr>
      <w:r>
        <w:t>The proportion of household profiles within each region is estimated from national household final energy use by end use (for example, space heating or cooling). The annual consumption of the profiles is then adjusted to match the average household electricity consumption of each country.</w:t>
      </w:r>
    </w:p>
    <w:p w14:paraId="79F54526" w14:textId="50B90793" w:rsidR="006915C9" w:rsidRDefault="006915C9" w:rsidP="006915C9">
      <w:pPr>
        <w:spacing w:before="120"/>
      </w:pPr>
      <w:r>
        <w:t xml:space="preserve">The model distinguishes three consumption levels: small, medium, and large. Medium consumers correspond to the regional average consumption, while small and large consumers use 75% and 150% of this value, respectively. Half of the population are assumed to be medium consumers, while the remaining half are evenly divided between small and large consumers. Average rooftop PV sizes are exogenously defined at the country level and adjusted according to annual consumption. Battery storage capacity is set to the maximum energy that the rooftop PV system can produce within two hours. </w:t>
      </w:r>
    </w:p>
    <w:p w14:paraId="06BF8160" w14:textId="596F0C88" w:rsidR="006915C9" w:rsidRDefault="006915C9" w:rsidP="006915C9">
      <w:pPr>
        <w:spacing w:before="120"/>
      </w:pPr>
      <w:bookmarkStart w:id="1" w:name="_Hlk219653189"/>
      <w:r>
        <w:lastRenderedPageBreak/>
        <w:t>Projections of future battery price developments are based on Cole and Karmakar</w:t>
      </w:r>
      <w:r w:rsidR="00A07A8C">
        <w:t>’s</w:t>
      </w:r>
      <w:r>
        <w:t xml:space="preserve"> </w:t>
      </w:r>
      <w:r w:rsidR="00975B76">
        <w:fldChar w:fldCharType="begin"/>
      </w:r>
      <w:r w:rsidR="00D84FA5">
        <w:instrText xml:space="preserve"> ADDIN ZOTERO_ITEM CSL_CITATION {"citationID":"uckvZwIF","properties":{"formattedCitation":"[8]","plainCitation":"[8]","noteIndex":0},"citationItems":[{"id":"scpM1cJf/YYMp5g6k","uris":["http://zotero.org/users/local/Y4BoQvkR/items/8M7W9GM8"],"itemData":{"id":43,"type":"report","publisher":"NREL","title":"Cost Projections for Utility-Scale Battery Storage: 2023 Update","URL":"https://docs.nrel.gov/docs/fy23osti/85332.pdf","author":[{"family":"Cole","given":"W."},{"family":"Karmakar","given":"A."}],"issued":{"date-parts":[["2023"]]}}}],"schema":"https://github.com/citation-style-language/schema/raw/master/csl-citation.json"} </w:instrText>
      </w:r>
      <w:r w:rsidR="00975B76">
        <w:fldChar w:fldCharType="separate"/>
      </w:r>
      <w:r w:rsidR="00975B76" w:rsidRPr="00975B76">
        <w:t>[8]</w:t>
      </w:r>
      <w:r w:rsidR="00975B76">
        <w:fldChar w:fldCharType="end"/>
      </w:r>
      <w:r w:rsidR="00A07A8C" w:rsidRPr="00A07A8C">
        <w:t xml:space="preserve"> literature-based projection approach</w:t>
      </w:r>
      <w:bookmarkEnd w:id="1"/>
      <w:r w:rsidR="00BF38D4">
        <w:t xml:space="preserve">. </w:t>
      </w:r>
      <w:r w:rsidR="00BF38D4" w:rsidRPr="00BF38D4">
        <w:t>The method compiles recent cost data for 4</w:t>
      </w:r>
      <w:r w:rsidR="00BF38D4" w:rsidRPr="00BF38D4">
        <w:noBreakHyphen/>
        <w:t>hour lithium</w:t>
      </w:r>
      <w:r w:rsidR="00BF38D4" w:rsidRPr="00BF38D4">
        <w:noBreakHyphen/>
        <w:t xml:space="preserve">ion batteries, converts everything to 2022 real dollars, and normalizes each projection to its 2022 value to create consistent trends. Low, mid, and high cost trajectories are defined as the min, median, and max normalized values at key future years, then rescaled using NREL’s 2022 benchmark to get absolute $/kWh capital costs. </w:t>
      </w:r>
      <w:r>
        <w:t>The electricity prices faced by households are defined by their consumption level and the country’s electricity price band as defined by Eurostat.</w:t>
      </w:r>
    </w:p>
    <w:p w14:paraId="364250E4" w14:textId="4BC95B92" w:rsidR="00E31DA5" w:rsidRPr="00B67521" w:rsidRDefault="005269E5" w:rsidP="00B67521">
      <w:pPr>
        <w:spacing w:before="120"/>
      </w:pPr>
      <w:r w:rsidRPr="005269E5">
        <w:t>The innovation (p) and imitation (q) parameters of the Bass diffusion model are estimated through a</w:t>
      </w:r>
      <w:r w:rsidR="00B2572C">
        <w:t xml:space="preserve"> bounded</w:t>
      </w:r>
      <w:r w:rsidRPr="005269E5">
        <w:t xml:space="preserve"> iterative procedure in which diffusion curves are fitted to historical residential battery adoption data</w:t>
      </w:r>
      <w:r>
        <w:t xml:space="preserve"> for each country</w:t>
      </w:r>
      <w:r w:rsidRPr="005269E5">
        <w:t>, and the parameter values that minimize the mean squared error are selected. The start year for residential battery diffusion is defined as the first year in which solar photovoltaic capacity is recorded in a given country.</w:t>
      </w:r>
      <w:r w:rsidR="00B2572C">
        <w:t xml:space="preserve"> </w:t>
      </w:r>
      <w:r w:rsidR="006915C9">
        <w:t>Hourly solar PV output data by region were obtained from the Photovoltaic Geographical Information System</w:t>
      </w:r>
      <w:r w:rsidR="00975B76">
        <w:t xml:space="preserve"> </w:t>
      </w:r>
      <w:r w:rsidR="00975B76">
        <w:fldChar w:fldCharType="begin"/>
      </w:r>
      <w:r w:rsidR="00D84FA5">
        <w:instrText xml:space="preserve"> ADDIN ZOTERO_ITEM CSL_CITATION {"citationID":"yrv3GmxA","properties":{"formattedCitation":"[9]","plainCitation":"[9]","noteIndex":0},"citationItems":[{"id":"scpM1cJf/9mrEYrf6","uris":["http://zotero.org/users/local/Y4BoQvkR/items/ZKK5MPGX"],"itemData":{"id":58,"type":"dataset","title":"Photovoltaic Geographical Information System (PVGIS)","URL":"https://joint-research-centre.ec.europa.eu/photovoltaic-geographical-information-system-pvgis_en","author":[{"family":"Joint Research Centre","given":""}],"issued":{"date-parts":[["2025"]]}}}],"schema":"https://github.com/citation-style-language/schema/raw/master/csl-citation.json"} </w:instrText>
      </w:r>
      <w:r w:rsidR="00975B76">
        <w:fldChar w:fldCharType="separate"/>
      </w:r>
      <w:r w:rsidR="00975B76" w:rsidRPr="00975B76">
        <w:t>[9]</w:t>
      </w:r>
      <w:r w:rsidR="00975B76">
        <w:fldChar w:fldCharType="end"/>
      </w:r>
      <w:r w:rsidR="006915C9">
        <w:t>. The data were collected for national capitals with zero-degree azimuths, assuming that solar generation profiles are uniform across each country.</w:t>
      </w:r>
    </w:p>
    <w:p w14:paraId="31561F70" w14:textId="166F08E8" w:rsidR="00E31DA5" w:rsidRPr="00E31DA5" w:rsidRDefault="00E31DA5" w:rsidP="00261380">
      <w:pPr>
        <w:rPr>
          <w:b/>
          <w:bCs/>
        </w:rPr>
      </w:pPr>
      <w:r w:rsidRPr="00E31DA5">
        <w:rPr>
          <w:b/>
          <w:bCs/>
        </w:rPr>
        <w:t>References</w:t>
      </w:r>
    </w:p>
    <w:p w14:paraId="5C7BD3B6" w14:textId="77777777" w:rsidR="00D84FA5" w:rsidRPr="00D84FA5" w:rsidRDefault="00975B76" w:rsidP="004E2DBE">
      <w:pPr>
        <w:pStyle w:val="Bibliography"/>
        <w:spacing w:after="120"/>
        <w:ind w:left="386" w:hanging="386"/>
      </w:pPr>
      <w:r>
        <w:fldChar w:fldCharType="begin"/>
      </w:r>
      <w:r w:rsidR="00D84FA5">
        <w:instrText xml:space="preserve"> ADDIN ZOTERO_BIBL {"uncited":[],"omitted":[],"custom":[]} CSL_BIBLIOGRAPHY </w:instrText>
      </w:r>
      <w:r>
        <w:fldChar w:fldCharType="separate"/>
      </w:r>
      <w:r w:rsidR="00D84FA5" w:rsidRPr="00D84FA5">
        <w:t>[1]</w:t>
      </w:r>
      <w:r w:rsidR="00D84FA5" w:rsidRPr="00D84FA5">
        <w:tab/>
        <w:t xml:space="preserve">Á. D. Hartvig, ‘Trade-offs in feed-in tariff scenarios for incentivizing clean technologies in Central and Eastern Europe’, </w:t>
      </w:r>
      <w:r w:rsidR="00D84FA5" w:rsidRPr="00D84FA5">
        <w:rPr>
          <w:i/>
          <w:iCs/>
        </w:rPr>
        <w:t>Solar Energy</w:t>
      </w:r>
      <w:r w:rsidR="00D84FA5" w:rsidRPr="00D84FA5">
        <w:t>, vol. 294, p. 113499, Jul. 2025, doi: 10.1016/j.solener.2025.113499.</w:t>
      </w:r>
    </w:p>
    <w:p w14:paraId="1575DC8A" w14:textId="77777777" w:rsidR="00D84FA5" w:rsidRPr="00D84FA5" w:rsidRDefault="00D84FA5" w:rsidP="004E2DBE">
      <w:pPr>
        <w:pStyle w:val="Bibliography"/>
        <w:spacing w:after="120"/>
        <w:ind w:left="386" w:hanging="386"/>
      </w:pPr>
      <w:r w:rsidRPr="00D84FA5">
        <w:t>[2]</w:t>
      </w:r>
      <w:r w:rsidRPr="00D84FA5">
        <w:tab/>
        <w:t xml:space="preserve">X. Han, J. Garrison, and G. Hug, ‘Techno-economic analysis of PV-battery systems in Switzerland’, </w:t>
      </w:r>
      <w:r w:rsidRPr="00D84FA5">
        <w:rPr>
          <w:i/>
          <w:iCs/>
        </w:rPr>
        <w:t>Renewable and Sustainable Energy Reviews</w:t>
      </w:r>
      <w:r w:rsidRPr="00D84FA5">
        <w:t>, vol. 158, p. 112028, Apr. 2022, doi: 10.1016/j.rser.2021.112028.</w:t>
      </w:r>
    </w:p>
    <w:p w14:paraId="659A516E" w14:textId="77777777" w:rsidR="00D84FA5" w:rsidRPr="00D84FA5" w:rsidRDefault="00D84FA5" w:rsidP="004E2DBE">
      <w:pPr>
        <w:pStyle w:val="Bibliography"/>
        <w:spacing w:after="120"/>
        <w:ind w:left="386" w:hanging="386"/>
      </w:pPr>
      <w:r w:rsidRPr="00D84FA5">
        <w:t>[3]</w:t>
      </w:r>
      <w:r w:rsidRPr="00D84FA5">
        <w:tab/>
        <w:t>IRENA, ‘Renewable power generation costs in 2022’, International Renewable Energy Agency, Abu Dhabi, 2023. [Online]. Available: https://www.irena.org/Publications/2023/Aug/Renewable-Power-Generation-Costs-in-2022</w:t>
      </w:r>
    </w:p>
    <w:p w14:paraId="6C32C4BF" w14:textId="77777777" w:rsidR="00D84FA5" w:rsidRPr="00D84FA5" w:rsidRDefault="00D84FA5" w:rsidP="004E2DBE">
      <w:pPr>
        <w:pStyle w:val="Bibliography"/>
        <w:spacing w:after="120"/>
        <w:ind w:left="386" w:hanging="386"/>
      </w:pPr>
      <w:r w:rsidRPr="00D84FA5">
        <w:t>[4]</w:t>
      </w:r>
      <w:r w:rsidRPr="00D84FA5">
        <w:tab/>
        <w:t xml:space="preserve">N. S. Rayit, J. I. Chowdhury, and N. Balta-Ozkan, ‘Techno-economic optimisation of battery storage for grid-level energy services using curtailed energy from wind’, </w:t>
      </w:r>
      <w:r w:rsidRPr="00D84FA5">
        <w:rPr>
          <w:i/>
          <w:iCs/>
        </w:rPr>
        <w:t>Journal of Energy Storage</w:t>
      </w:r>
      <w:r w:rsidRPr="00D84FA5">
        <w:t>, vol. 39, p. 102641, Jul. 2021, doi: 10.1016/j.est.2021.102641.</w:t>
      </w:r>
    </w:p>
    <w:p w14:paraId="72B2C0C7" w14:textId="77777777" w:rsidR="00D84FA5" w:rsidRPr="00D84FA5" w:rsidRDefault="00D84FA5" w:rsidP="004E2DBE">
      <w:pPr>
        <w:pStyle w:val="Bibliography"/>
        <w:spacing w:after="120"/>
        <w:ind w:left="386" w:hanging="386"/>
      </w:pPr>
      <w:r w:rsidRPr="00D84FA5">
        <w:t>[5]</w:t>
      </w:r>
      <w:r w:rsidRPr="00D84FA5">
        <w:tab/>
        <w:t xml:space="preserve">D. Fett, D. Keles, T. Kaschub, and W. Fichtner, ‘Impacts of self-generation and self-consumption on German household electricity prices’, </w:t>
      </w:r>
      <w:r w:rsidRPr="00D84FA5">
        <w:rPr>
          <w:i/>
          <w:iCs/>
        </w:rPr>
        <w:t>J Bus Econ</w:t>
      </w:r>
      <w:r w:rsidRPr="00D84FA5">
        <w:t>, vol. 89, no. 7, pp. 867–891, Sep. 2019, doi: 10.1007/s11573-019-00936-3.</w:t>
      </w:r>
    </w:p>
    <w:p w14:paraId="4E9A99FD" w14:textId="77777777" w:rsidR="00D84FA5" w:rsidRPr="00D84FA5" w:rsidRDefault="00D84FA5" w:rsidP="004E2DBE">
      <w:pPr>
        <w:pStyle w:val="Bibliography"/>
        <w:spacing w:after="120"/>
        <w:ind w:left="386" w:hanging="386"/>
      </w:pPr>
      <w:r w:rsidRPr="00D84FA5">
        <w:t>[6]</w:t>
      </w:r>
      <w:r w:rsidRPr="00D84FA5">
        <w:tab/>
        <w:t xml:space="preserve">J. Somogyiné Molnár, ‘Szigetüzemű háztartási méretű kiserőmű (HMKE) megtérülési idejének elemzése’, </w:t>
      </w:r>
      <w:r w:rsidRPr="00D84FA5">
        <w:rPr>
          <w:i/>
          <w:iCs/>
        </w:rPr>
        <w:t>JTGF</w:t>
      </w:r>
      <w:r w:rsidRPr="00D84FA5">
        <w:t>, vol. 18, no. Különszám, pp. 445–465, Jun. 2023, doi: 10.14232/jtgf.2023.kulonszam.445-465.</w:t>
      </w:r>
    </w:p>
    <w:p w14:paraId="1C1256F4" w14:textId="77777777" w:rsidR="00D84FA5" w:rsidRPr="00D84FA5" w:rsidRDefault="00D84FA5" w:rsidP="004E2DBE">
      <w:pPr>
        <w:pStyle w:val="Bibliography"/>
        <w:spacing w:after="120"/>
        <w:ind w:left="386" w:hanging="386"/>
      </w:pPr>
      <w:r w:rsidRPr="00D84FA5">
        <w:t>[7]</w:t>
      </w:r>
      <w:r w:rsidRPr="00D84FA5">
        <w:tab/>
        <w:t xml:space="preserve">M. Schlemminger, R. Niepelt, and R. Brendel, ‘A Cross-Country Model for End-Use Specific Aggregated Household Load Profiles’, </w:t>
      </w:r>
      <w:r w:rsidRPr="00D84FA5">
        <w:rPr>
          <w:i/>
          <w:iCs/>
        </w:rPr>
        <w:t>Energies</w:t>
      </w:r>
      <w:r w:rsidRPr="00D84FA5">
        <w:t>, vol. 14, no. 8, p. 2167, Apr. 2021, doi: 10.3390/en14082167.</w:t>
      </w:r>
    </w:p>
    <w:p w14:paraId="069E9288" w14:textId="77777777" w:rsidR="00D84FA5" w:rsidRPr="00D84FA5" w:rsidRDefault="00D84FA5" w:rsidP="004E2DBE">
      <w:pPr>
        <w:pStyle w:val="Bibliography"/>
        <w:spacing w:after="120"/>
        <w:ind w:left="386" w:hanging="386"/>
      </w:pPr>
      <w:r w:rsidRPr="00D84FA5">
        <w:t>[8]</w:t>
      </w:r>
      <w:r w:rsidRPr="00D84FA5">
        <w:tab/>
        <w:t>W. Cole and A. Karmakar, ‘Cost Projections for Utility-Scale Battery Storage: 2023 Update’, NREL, 2023. [Online]. Available: https://docs.nrel.gov/docs/fy23osti/85332.pdf</w:t>
      </w:r>
    </w:p>
    <w:p w14:paraId="0C680E40" w14:textId="77777777" w:rsidR="00D84FA5" w:rsidRPr="00D84FA5" w:rsidRDefault="00D84FA5" w:rsidP="004E2DBE">
      <w:pPr>
        <w:pStyle w:val="Bibliography"/>
        <w:spacing w:after="120"/>
        <w:ind w:left="386" w:hanging="386"/>
      </w:pPr>
      <w:r w:rsidRPr="00D84FA5">
        <w:t>[9]</w:t>
      </w:r>
      <w:r w:rsidRPr="00D84FA5">
        <w:tab/>
        <w:t>Joint Research Centre, ‘Photovoltaic Geographical Information System (PVGIS)’. 2025. [Online]. Available: https://joint-research-centre.ec.europa.eu/photovoltaic-geographical-information-system-pvgis_en</w:t>
      </w:r>
    </w:p>
    <w:p w14:paraId="1D0123BC" w14:textId="6D84B009" w:rsidR="008E5602" w:rsidRDefault="00975B76">
      <w:pPr>
        <w:spacing w:after="160" w:line="259" w:lineRule="auto"/>
        <w:jc w:val="left"/>
        <w:sectPr w:rsidR="008E5602" w:rsidSect="00CF03D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01" w:left="1440" w:header="720" w:footer="720" w:gutter="0"/>
          <w:cols w:space="720"/>
          <w:titlePg/>
          <w:docGrid w:linePitch="299"/>
        </w:sectPr>
      </w:pPr>
      <w:r>
        <w:fldChar w:fldCharType="end"/>
      </w:r>
    </w:p>
    <w:p w14:paraId="5A3A9D42" w14:textId="3EF52C69" w:rsidR="00950EDD" w:rsidRDefault="00E9659C" w:rsidP="00E9659C">
      <w:pPr>
        <w:pStyle w:val="Heading1"/>
      </w:pPr>
      <w:r>
        <w:lastRenderedPageBreak/>
        <w:t>Appendix B</w:t>
      </w:r>
    </w:p>
    <w:p w14:paraId="35E97250" w14:textId="34100DB7" w:rsidR="00E9659C" w:rsidRDefault="00E9659C" w:rsidP="00E9659C">
      <w:pPr>
        <w:pStyle w:val="Heading2"/>
      </w:pPr>
      <w:r>
        <w:t>B.1 Sensitivity Analysis</w:t>
      </w:r>
    </w:p>
    <w:p w14:paraId="2ADB5B8F" w14:textId="77777777" w:rsidR="003D2192" w:rsidRDefault="00000000">
      <w:pPr>
        <w:spacing w:before="120"/>
      </w:pPr>
      <w:r w:rsidRPr="00F0036A">
        <w:t>The modelling exercise relies on simplifying assumptions needed to construct the diffusion model</w:t>
      </w:r>
      <w:r w:rsidR="003D2192" w:rsidRPr="003D2192">
        <w:t xml:space="preserve">, so the </w:t>
      </w:r>
      <w:r w:rsidRPr="00F0036A">
        <w:t xml:space="preserve">sensitivity </w:t>
      </w:r>
      <w:r w:rsidR="003D2192" w:rsidRPr="003D2192">
        <w:t xml:space="preserve">analysis tests how the results respond </w:t>
      </w:r>
      <w:r w:rsidRPr="00F0036A">
        <w:t xml:space="preserve">to </w:t>
      </w:r>
      <w:r w:rsidRPr="00F0036A">
        <w:t>regulatory</w:t>
      </w:r>
      <w:r w:rsidR="003D2192" w:rsidRPr="003D2192">
        <w:t>, economic, and behavioural uncertainties. It covers four sets of assumptions:</w:t>
      </w:r>
      <w:r w:rsidRPr="00F0036A">
        <w:t xml:space="preserve"> future electricity </w:t>
      </w:r>
      <w:r w:rsidR="003D2192" w:rsidRPr="003D2192">
        <w:t xml:space="preserve">price growth, </w:t>
      </w:r>
      <w:r w:rsidRPr="00F0036A">
        <w:t xml:space="preserve">feed-in </w:t>
      </w:r>
      <w:r w:rsidR="003D2192" w:rsidRPr="003D2192">
        <w:t>tariff levels, battery cost reduction trajectories, and the innovation and imitation parameters of the Bass diffusion model.</w:t>
      </w:r>
      <w:r w:rsidRPr="00F0036A">
        <w:t xml:space="preserve"> </w:t>
      </w:r>
    </w:p>
    <w:p w14:paraId="0290680C" w14:textId="3C84EDCD" w:rsidR="00507AAB" w:rsidRPr="003D2192" w:rsidRDefault="003D2192" w:rsidP="00507AAB">
      <w:pPr>
        <w:spacing w:before="120"/>
      </w:pPr>
      <w:r w:rsidRPr="00E73CF0">
        <w:t>Given the considerable uncertainty surrounding future electricity prices and feed-in tariffs</w:t>
      </w:r>
      <w:r>
        <w:t xml:space="preserve"> [1]</w:t>
      </w:r>
      <w:r w:rsidRPr="00E73CF0">
        <w:t xml:space="preserve">, two key factors are examined: the evolution of residential electricity prices, reflecting the extent to which regulators shield households from price fluctuations, and FiTs, which, while promoting rooftop PV adoption, may discourage residential battery installations. Two additional electricity price growth pathways are considered: a low increase (0%) and a high increase (4%). Similarly, two alternative FiT scenarios are tested: a low FiT (2 cents below the baseline) and a high FiT (2 cents above the baseline). </w:t>
      </w:r>
      <w:r w:rsidR="00000000" w:rsidRPr="00F0036A">
        <w:t xml:space="preserve">The results are presented in Figure </w:t>
      </w:r>
      <w:r w:rsidR="00000000">
        <w:t>B.1</w:t>
      </w:r>
      <w:r w:rsidR="00000000" w:rsidRPr="00F0036A">
        <w:t>.</w:t>
      </w:r>
    </w:p>
    <w:p w14:paraId="345FAE1C" w14:textId="77777777" w:rsidR="00507AAB" w:rsidRPr="00E73CF0" w:rsidRDefault="00507AAB" w:rsidP="00507AAB">
      <w:pPr>
        <w:keepNext/>
        <w:spacing w:before="120"/>
        <w:jc w:val="center"/>
      </w:pPr>
      <w:r>
        <w:rPr>
          <w:noProof/>
        </w:rPr>
        <w:drawing>
          <wp:inline distT="0" distB="0" distL="0" distR="0" wp14:anchorId="0BD8C78F" wp14:editId="166C77AB">
            <wp:extent cx="5686425" cy="3971076"/>
            <wp:effectExtent l="0" t="0" r="0" b="0"/>
            <wp:docPr id="14595070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07089" name="Picture 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86425" cy="3971076"/>
                    </a:xfrm>
                    <a:prstGeom prst="rect">
                      <a:avLst/>
                    </a:prstGeom>
                    <a:noFill/>
                    <a:ln>
                      <a:noFill/>
                    </a:ln>
                  </pic:spPr>
                </pic:pic>
              </a:graphicData>
            </a:graphic>
          </wp:inline>
        </w:drawing>
      </w:r>
    </w:p>
    <w:p w14:paraId="55A73CEA" w14:textId="232B6DDA" w:rsidR="00507AAB" w:rsidRDefault="00507AAB" w:rsidP="00507AAB">
      <w:pPr>
        <w:pStyle w:val="Caption"/>
      </w:pPr>
      <w:bookmarkStart w:id="2" w:name="_Ref219636438"/>
      <w:r w:rsidRPr="00E73CF0">
        <w:t xml:space="preserve">Figure </w:t>
      </w:r>
      <w:bookmarkEnd w:id="2"/>
      <w:r w:rsidR="009D2F6C">
        <w:t>B.1</w:t>
      </w:r>
      <w:r w:rsidRPr="00E73CF0">
        <w:t xml:space="preserve"> Sensitivity to electricity price growth and feed-in tariff levels in the </w:t>
      </w:r>
      <w:r>
        <w:rPr>
          <w:i/>
          <w:iCs w:val="0"/>
        </w:rPr>
        <w:t>ToU</w:t>
      </w:r>
      <w:r w:rsidRPr="00E73CF0">
        <w:t xml:space="preserve"> scenario. a) NPV in 2050 by country under electricity price growth rates of 0% (</w:t>
      </w:r>
      <w:r w:rsidRPr="0010204F">
        <w:rPr>
          <w:i/>
          <w:iCs w:val="0"/>
        </w:rPr>
        <w:t>Low Gr</w:t>
      </w:r>
      <w:r w:rsidRPr="00E73CF0">
        <w:t>.), 2% (</w:t>
      </w:r>
      <w:r>
        <w:rPr>
          <w:i/>
          <w:iCs w:val="0"/>
        </w:rPr>
        <w:t>ToU</w:t>
      </w:r>
      <w:r w:rsidRPr="00E73CF0">
        <w:t>), and 4% (</w:t>
      </w:r>
      <w:r w:rsidRPr="0010204F">
        <w:rPr>
          <w:i/>
          <w:iCs w:val="0"/>
        </w:rPr>
        <w:t>High Gr</w:t>
      </w:r>
      <w:r w:rsidRPr="00E73CF0">
        <w:t xml:space="preserve">.); b) NPV in 2050 by country under </w:t>
      </w:r>
      <w:r>
        <w:rPr>
          <w:i/>
          <w:iCs w:val="0"/>
        </w:rPr>
        <w:t>ToU</w:t>
      </w:r>
      <w:r w:rsidRPr="00E73CF0">
        <w:t xml:space="preserve"> scenario feed-in tariffs and tariffs that are 2 cents lower (</w:t>
      </w:r>
      <w:r w:rsidRPr="0010204F">
        <w:rPr>
          <w:i/>
          <w:iCs w:val="0"/>
        </w:rPr>
        <w:t>Low FiT</w:t>
      </w:r>
      <w:r w:rsidRPr="00E73CF0">
        <w:t>) or higher (</w:t>
      </w:r>
      <w:r w:rsidRPr="0010204F">
        <w:rPr>
          <w:i/>
          <w:iCs w:val="0"/>
        </w:rPr>
        <w:t>High FiT</w:t>
      </w:r>
      <w:r w:rsidRPr="00E73CF0">
        <w:t>); c) Diffusion of residential battery energy storage capacity in Europe by country under electricity price growth rates of 0% (</w:t>
      </w:r>
      <w:r w:rsidRPr="0010204F">
        <w:rPr>
          <w:i/>
          <w:iCs w:val="0"/>
        </w:rPr>
        <w:t>Low Gr</w:t>
      </w:r>
      <w:r w:rsidRPr="00E73CF0">
        <w:t>.), 2% (</w:t>
      </w:r>
      <w:r>
        <w:rPr>
          <w:i/>
          <w:iCs w:val="0"/>
        </w:rPr>
        <w:t>ToU</w:t>
      </w:r>
      <w:r w:rsidRPr="00E73CF0">
        <w:t>), and 4% (</w:t>
      </w:r>
      <w:r w:rsidRPr="0010204F">
        <w:rPr>
          <w:i/>
          <w:iCs w:val="0"/>
        </w:rPr>
        <w:t>High Gr</w:t>
      </w:r>
      <w:r w:rsidRPr="00E73CF0">
        <w:t xml:space="preserve">.); d) Diffusion of residential battery energy storage capacity in Europe by country under </w:t>
      </w:r>
      <w:r>
        <w:rPr>
          <w:i/>
          <w:iCs w:val="0"/>
        </w:rPr>
        <w:t>ToU</w:t>
      </w:r>
      <w:r w:rsidRPr="00E73CF0">
        <w:t xml:space="preserve"> scenario feed-in tariffs and tariffs that are 2 cents lower (</w:t>
      </w:r>
      <w:r w:rsidRPr="0010204F">
        <w:rPr>
          <w:i/>
          <w:iCs w:val="0"/>
        </w:rPr>
        <w:t>Low FiT</w:t>
      </w:r>
      <w:r w:rsidRPr="00E73CF0">
        <w:t>) or higher (</w:t>
      </w:r>
      <w:r w:rsidRPr="0010204F">
        <w:rPr>
          <w:i/>
          <w:iCs w:val="0"/>
        </w:rPr>
        <w:t>High FiT</w:t>
      </w:r>
      <w:r w:rsidRPr="00E73CF0">
        <w:t>).</w:t>
      </w:r>
    </w:p>
    <w:p w14:paraId="52A3B02E" w14:textId="77777777" w:rsidR="003D2192" w:rsidRDefault="003D2192" w:rsidP="003D2192">
      <w:pPr>
        <w:spacing w:before="120"/>
      </w:pPr>
      <w:r w:rsidRPr="00E73CF0">
        <w:t xml:space="preserve">The analysis confirms that electricity price growth affects the NPV of residential battery installations in the expected manner. Higher electricity price growth increases NPV, as greater self-consumption and reduced reliance on grid electricity become more economically advantageous. </w:t>
      </w:r>
      <w:r w:rsidRPr="00C843D9">
        <w:t xml:space="preserve"> Conversely, when </w:t>
      </w:r>
      <w:r w:rsidRPr="00C843D9">
        <w:lastRenderedPageBreak/>
        <w:t>electricity price growth is reduced to zero (</w:t>
      </w:r>
      <w:r w:rsidRPr="004F4D68">
        <w:rPr>
          <w:i/>
          <w:iCs/>
        </w:rPr>
        <w:t>Low Gr.</w:t>
      </w:r>
      <w:r w:rsidRPr="00C843D9">
        <w:t xml:space="preserve"> scenario), NPV declines and approaches zero in several countries even by 2050, including France, Italy, and the Netherlands, thereby reducing the number of households for which battery installation is financially attractive.</w:t>
      </w:r>
      <w:r w:rsidRPr="00E73CF0">
        <w:t xml:space="preserve"> However, adoption levels are not sensitive to the magnitude of electricity price growth</w:t>
      </w:r>
      <w:r>
        <w:t xml:space="preserve">. </w:t>
      </w:r>
      <w:r w:rsidRPr="00E73CF0">
        <w:t xml:space="preserve">Consequently, total residential battery energy storage capacity in 2050 is projected to range between </w:t>
      </w:r>
      <w:r>
        <w:t>344.2</w:t>
      </w:r>
      <w:r w:rsidRPr="00E73CF0">
        <w:t xml:space="preserve"> GWh and </w:t>
      </w:r>
      <w:r>
        <w:t>477.7</w:t>
      </w:r>
      <w:r w:rsidRPr="00E73CF0">
        <w:t xml:space="preserve"> GWh across the electricity price growth scenarios.</w:t>
      </w:r>
    </w:p>
    <w:p w14:paraId="6CAAC553" w14:textId="77777777" w:rsidR="003D2192" w:rsidRPr="00E73CF0" w:rsidRDefault="003D2192" w:rsidP="003D2192">
      <w:pPr>
        <w:spacing w:before="120"/>
      </w:pPr>
      <w:r w:rsidRPr="00C843D9">
        <w:t>Feed-in tariffs exhibit a similar influence on the results. Under a high FiT scenario, total residential battery storage capacity declines to around 350 GWh by 2050, as exporting electricity to the grid becomes relatively more attractive than storing it. In contrast, reducing FiT levels leads to a modest increase in battery deployment.</w:t>
      </w:r>
      <w:r>
        <w:t xml:space="preserve"> </w:t>
      </w:r>
    </w:p>
    <w:p w14:paraId="2A76FAF9" w14:textId="74B3A5E9" w:rsidR="003D2192" w:rsidRPr="00E9659C" w:rsidRDefault="003D2192" w:rsidP="003D2192">
      <w:pPr>
        <w:rPr>
          <w:lang w:val="en-US"/>
        </w:rPr>
      </w:pPr>
      <w:r w:rsidRPr="00E9659C">
        <w:rPr>
          <w:lang w:val="en-US"/>
        </w:rPr>
        <w:t>To assess the robustness of the results and the influence of key economic assumptions on residential battery adoption</w:t>
      </w:r>
      <w:r>
        <w:rPr>
          <w:lang w:val="en-US"/>
        </w:rPr>
        <w:t xml:space="preserve"> t</w:t>
      </w:r>
      <w:r w:rsidRPr="00E9659C">
        <w:rPr>
          <w:lang w:val="en-US"/>
        </w:rPr>
        <w:t>wo</w:t>
      </w:r>
      <w:r>
        <w:rPr>
          <w:lang w:val="en-US"/>
        </w:rPr>
        <w:t xml:space="preserve"> additional</w:t>
      </w:r>
      <w:r w:rsidRPr="00E9659C">
        <w:rPr>
          <w:lang w:val="en-US"/>
        </w:rPr>
        <w:t xml:space="preserve"> critical drivers are examined: the rate of battery cost reduction</w:t>
      </w:r>
      <w:r>
        <w:rPr>
          <w:lang w:val="en-US"/>
        </w:rPr>
        <w:t xml:space="preserve"> and the innovation and imitation parameters of the Bass diffusion model</w:t>
      </w:r>
      <w:r w:rsidRPr="00E9659C">
        <w:rPr>
          <w:lang w:val="en-US"/>
        </w:rPr>
        <w:t xml:space="preserve">. While the baseline scenario assumes a </w:t>
      </w:r>
      <w:r>
        <w:rPr>
          <w:lang w:val="en-US"/>
        </w:rPr>
        <w:t>low</w:t>
      </w:r>
      <w:r w:rsidRPr="00E9659C">
        <w:rPr>
          <w:lang w:val="en-US"/>
        </w:rPr>
        <w:t xml:space="preserve"> trajectory of battery cost decline based on </w:t>
      </w:r>
      <w:r>
        <w:rPr>
          <w:lang w:val="en-US"/>
        </w:rPr>
        <w:t>[1], and Bass parameters calibrated for each country on historical data</w:t>
      </w:r>
      <w:r w:rsidRPr="00E9659C">
        <w:rPr>
          <w:lang w:val="en-US"/>
        </w:rPr>
        <w:t>, alternative assumptions are introduced to capture potential deviations from these trends.</w:t>
      </w:r>
    </w:p>
    <w:p w14:paraId="78C4496E" w14:textId="1EFD6A27" w:rsidR="003D2192" w:rsidRPr="003D2192" w:rsidRDefault="003D2192" w:rsidP="003D2192">
      <w:pPr>
        <w:rPr>
          <w:lang w:val="en-US"/>
        </w:rPr>
      </w:pPr>
      <w:r>
        <w:rPr>
          <w:lang w:val="en-US"/>
        </w:rPr>
        <w:t>Furthermore</w:t>
      </w:r>
      <w:r w:rsidRPr="00E9659C">
        <w:rPr>
          <w:lang w:val="en-US"/>
        </w:rPr>
        <w:t xml:space="preserve">, </w:t>
      </w:r>
      <w:r>
        <w:rPr>
          <w:lang w:val="en-US"/>
        </w:rPr>
        <w:t>two additional</w:t>
      </w:r>
      <w:r w:rsidRPr="00E9659C">
        <w:rPr>
          <w:lang w:val="en-US"/>
        </w:rPr>
        <w:t xml:space="preserve"> battery cost trajectories</w:t>
      </w:r>
      <w:r>
        <w:rPr>
          <w:lang w:val="en-US"/>
        </w:rPr>
        <w:t xml:space="preserve"> are tested, </w:t>
      </w:r>
      <w:r w:rsidRPr="00E9659C">
        <w:rPr>
          <w:lang w:val="en-US"/>
        </w:rPr>
        <w:t>low reduction, and medium reduction</w:t>
      </w:r>
      <w:r>
        <w:rPr>
          <w:lang w:val="en-US"/>
        </w:rPr>
        <w:t xml:space="preserve"> as defined by [1]</w:t>
      </w:r>
      <w:r w:rsidRPr="00E9659C">
        <w:rPr>
          <w:lang w:val="en-US"/>
        </w:rPr>
        <w:t xml:space="preserve"> </w:t>
      </w:r>
      <w:r w:rsidRPr="006D4005">
        <w:t xml:space="preserve">Additionally, scenarios characterized by slow innovation and slow imitation are considered. In the Low </w:t>
      </w:r>
      <w:r w:rsidRPr="006D4005">
        <w:rPr>
          <w:i/>
          <w:iCs/>
        </w:rPr>
        <w:t>p</w:t>
      </w:r>
      <w:r w:rsidRPr="006D4005">
        <w:t xml:space="preserve"> scenario, the minimum innovation parameter (</w:t>
      </w:r>
      <w:r w:rsidRPr="006D4005">
        <w:rPr>
          <w:i/>
          <w:iCs/>
        </w:rPr>
        <w:t>p</w:t>
      </w:r>
      <w:r w:rsidRPr="006D4005">
        <w:t xml:space="preserve">) observed among the countries is applied uniformly across all countries. Analogously, in the Low </w:t>
      </w:r>
      <w:r w:rsidRPr="006D4005">
        <w:rPr>
          <w:i/>
          <w:iCs/>
        </w:rPr>
        <w:t>q</w:t>
      </w:r>
      <w:r w:rsidRPr="006D4005">
        <w:t xml:space="preserve"> scenario, the minimum imitation parameter (</w:t>
      </w:r>
      <w:r w:rsidRPr="006D4005">
        <w:rPr>
          <w:i/>
          <w:iCs/>
        </w:rPr>
        <w:t>q</w:t>
      </w:r>
      <w:r w:rsidRPr="006D4005">
        <w:t>) observed is applied consistently to all countries.</w:t>
      </w:r>
      <w:r>
        <w:t xml:space="preserve"> </w:t>
      </w:r>
      <w:r>
        <w:rPr>
          <w:lang w:val="en-US"/>
        </w:rPr>
        <w:t>T</w:t>
      </w:r>
      <w:r w:rsidRPr="00E9659C">
        <w:rPr>
          <w:lang w:val="en-US"/>
        </w:rPr>
        <w:t xml:space="preserve">hese variants allow the analysis to evaluate how slower or faster technological cost declines and differing </w:t>
      </w:r>
      <w:r>
        <w:rPr>
          <w:lang w:val="en-US"/>
        </w:rPr>
        <w:t>diffusion dynamics</w:t>
      </w:r>
      <w:r w:rsidRPr="00E9659C">
        <w:rPr>
          <w:lang w:val="en-US"/>
        </w:rPr>
        <w:t xml:space="preserve"> may affect the financial viability, </w:t>
      </w:r>
      <w:r>
        <w:rPr>
          <w:lang w:val="en-US"/>
        </w:rPr>
        <w:t>adoption rate</w:t>
      </w:r>
      <w:r w:rsidRPr="00E9659C">
        <w:rPr>
          <w:lang w:val="en-US"/>
        </w:rPr>
        <w:t>, and aggregate storage capacity of residential batteries across Europe.</w:t>
      </w:r>
    </w:p>
    <w:p w14:paraId="4E25DBF8" w14:textId="21D880CE" w:rsidR="008E5602" w:rsidRDefault="00A960F5" w:rsidP="003D5F4B">
      <w:pPr>
        <w:keepNext/>
        <w:jc w:val="center"/>
      </w:pPr>
      <w:r>
        <w:rPr>
          <w:noProof/>
        </w:rPr>
        <w:drawing>
          <wp:inline distT="0" distB="0" distL="0" distR="0" wp14:anchorId="4C7DC753" wp14:editId="0D848A11">
            <wp:extent cx="5940000" cy="2263428"/>
            <wp:effectExtent l="0" t="0" r="3810" b="3810"/>
            <wp:docPr id="2108956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000" cy="2263428"/>
                    </a:xfrm>
                    <a:prstGeom prst="rect">
                      <a:avLst/>
                    </a:prstGeom>
                    <a:noFill/>
                    <a:ln>
                      <a:noFill/>
                    </a:ln>
                  </pic:spPr>
                </pic:pic>
              </a:graphicData>
            </a:graphic>
          </wp:inline>
        </w:drawing>
      </w:r>
    </w:p>
    <w:p w14:paraId="244140C2" w14:textId="5BE47C31" w:rsidR="00E9659C" w:rsidRDefault="008E5602" w:rsidP="00D84FA5">
      <w:pPr>
        <w:pStyle w:val="Caption"/>
        <w:spacing w:after="120"/>
      </w:pPr>
      <w:r>
        <w:t>Figure B.</w:t>
      </w:r>
      <w:r w:rsidR="009D2F6C">
        <w:t>2</w:t>
      </w:r>
      <w:r>
        <w:t xml:space="preserve"> </w:t>
      </w:r>
      <w:r w:rsidRPr="008E5602">
        <w:t xml:space="preserve">Sensitivity analysis of residential battery storage capacity diffusion. </w:t>
      </w:r>
      <w:r w:rsidR="003D5F4B">
        <w:t>a</w:t>
      </w:r>
      <w:r w:rsidRPr="008E5602">
        <w:t>) Sensitivity to battery cost reduction pathways</w:t>
      </w:r>
      <w:r w:rsidR="003D5F4B">
        <w:t>; b) Sensitivity to Bass innovation and imitation parameters</w:t>
      </w:r>
      <w:r>
        <w:t>.</w:t>
      </w:r>
    </w:p>
    <w:p w14:paraId="7A6A63B2" w14:textId="74DE6932" w:rsidR="006D4005" w:rsidRDefault="002C51FE" w:rsidP="002C51FE">
      <w:r w:rsidRPr="002C51FE">
        <w:t>The sensitivity analysis</w:t>
      </w:r>
      <w:r w:rsidR="00507AAB">
        <w:t>,</w:t>
      </w:r>
      <w:r w:rsidR="00507AAB" w:rsidRPr="00507AAB">
        <w:rPr>
          <w:lang w:val="en-US"/>
        </w:rPr>
        <w:t xml:space="preserve"> </w:t>
      </w:r>
      <w:r w:rsidR="00507AAB">
        <w:rPr>
          <w:lang w:val="en-US"/>
        </w:rPr>
        <w:t>shown in Figure B.</w:t>
      </w:r>
      <w:r w:rsidR="003D2192">
        <w:rPr>
          <w:lang w:val="en-US"/>
        </w:rPr>
        <w:t>2</w:t>
      </w:r>
      <w:r w:rsidR="00507AAB">
        <w:rPr>
          <w:lang w:val="en-US"/>
        </w:rPr>
        <w:t>,</w:t>
      </w:r>
      <w:r w:rsidRPr="002C51FE">
        <w:t xml:space="preserve"> reveals that the rate of battery cost reduction plays a decisive role in shaping future diffusion patterns. A slower decline in battery prices substantially lowers the projected number of installations and total storage capacity by 2050, particularly in France, </w:t>
      </w:r>
      <w:r w:rsidR="00A960F5">
        <w:t>Italy</w:t>
      </w:r>
      <w:r w:rsidRPr="002C51FE">
        <w:t>, and the group of Other countries, where investment profitability is more sensitive to upfront costs.</w:t>
      </w:r>
    </w:p>
    <w:p w14:paraId="5F2075BA" w14:textId="38F7AC14" w:rsidR="00975B76" w:rsidRDefault="006D4005" w:rsidP="002C51FE">
      <w:r>
        <w:lastRenderedPageBreak/>
        <w:t>V</w:t>
      </w:r>
      <w:r w:rsidR="00AA62B7" w:rsidRPr="00AA62B7">
        <w:t xml:space="preserve">ariation in the innovation and imitation parameters of the Bass diffusion model has </w:t>
      </w:r>
      <w:r>
        <w:t>more</w:t>
      </w:r>
      <w:r w:rsidR="00AA62B7" w:rsidRPr="00AA62B7">
        <w:t xml:space="preserve"> limited impact on residential battery diffusion. </w:t>
      </w:r>
      <w:r w:rsidRPr="006D4005">
        <w:t>A lower innovation parameter primarily delays early uptake, leading to a reduction of over 10</w:t>
      </w:r>
      <w:r w:rsidR="00A960F5">
        <w:t>5</w:t>
      </w:r>
      <w:r w:rsidRPr="006D4005">
        <w:t xml:space="preserve"> GWh in total capacity by 2050. In contrast, a lower imitation parameter mainly affects long-term diffusion, resulting in a decrease of </w:t>
      </w:r>
      <w:r w:rsidR="00A960F5">
        <w:t>83</w:t>
      </w:r>
      <w:r w:rsidRPr="006D4005">
        <w:t xml:space="preserve"> GWh in total capacity by 2050</w:t>
      </w:r>
      <w:r w:rsidR="00AA62B7" w:rsidRPr="00AA62B7">
        <w:t>.</w:t>
      </w:r>
    </w:p>
    <w:p w14:paraId="35788C13" w14:textId="77777777" w:rsidR="00343657" w:rsidRPr="00E31DA5" w:rsidRDefault="00343657" w:rsidP="00343657">
      <w:pPr>
        <w:rPr>
          <w:b/>
          <w:bCs/>
        </w:rPr>
      </w:pPr>
      <w:r w:rsidRPr="00E31DA5">
        <w:rPr>
          <w:b/>
          <w:bCs/>
        </w:rPr>
        <w:t>References</w:t>
      </w:r>
    </w:p>
    <w:p w14:paraId="12B1E94D" w14:textId="4E4FFAA6" w:rsidR="003D2192" w:rsidRDefault="00975B76" w:rsidP="004E2DBE">
      <w:pPr>
        <w:pStyle w:val="Bibliography"/>
        <w:spacing w:after="120"/>
        <w:ind w:left="386" w:hanging="386"/>
      </w:pPr>
      <w:r w:rsidRPr="00975B76">
        <w:t>[</w:t>
      </w:r>
      <w:r>
        <w:t>1</w:t>
      </w:r>
      <w:r w:rsidRPr="00975B76">
        <w:t>]</w:t>
      </w:r>
      <w:r w:rsidRPr="00975B76">
        <w:tab/>
      </w:r>
      <w:r w:rsidR="003D2192" w:rsidRPr="00F11AF7">
        <w:t xml:space="preserve">X. Han, J. Garrison, and G. Hug, ‘Techno-economic analysis of PV-battery systems in Switzerland’, </w:t>
      </w:r>
      <w:r w:rsidR="003D2192" w:rsidRPr="00F11AF7">
        <w:rPr>
          <w:i/>
          <w:iCs/>
        </w:rPr>
        <w:t>Renew. Sustain. Energy Rev.</w:t>
      </w:r>
      <w:r w:rsidR="003D2192" w:rsidRPr="00F11AF7">
        <w:t>, vol. 158, p. 112028, Apr. 2022, doi: 10.1016/j.rser.2021.112028.</w:t>
      </w:r>
    </w:p>
    <w:p w14:paraId="4DFF268B" w14:textId="59351494" w:rsidR="00CE2818" w:rsidRPr="00D84FA5" w:rsidRDefault="003D2192" w:rsidP="004E2DBE">
      <w:pPr>
        <w:pStyle w:val="Bibliography"/>
        <w:spacing w:after="120"/>
        <w:ind w:left="386" w:hanging="386"/>
      </w:pPr>
      <w:r>
        <w:t>[2]</w:t>
      </w:r>
      <w:r>
        <w:tab/>
      </w:r>
      <w:r w:rsidR="00975B76" w:rsidRPr="00975B76">
        <w:t>W. Cole and A. Karmakar, ‘Cost Projections for Utility-Scale Battery Storage: 2023 Update’, NREL, 2023. [Online]. Available: https://docs.nrel.gov/docs/fy23osti/85332.pdf</w:t>
      </w:r>
      <w:r w:rsidR="00CE2818">
        <w:br w:type="page"/>
      </w:r>
    </w:p>
    <w:p w14:paraId="409E27EC" w14:textId="23389D81" w:rsidR="00CE2818" w:rsidRDefault="00CE2818" w:rsidP="00CE2818">
      <w:pPr>
        <w:pStyle w:val="Heading1"/>
      </w:pPr>
      <w:r>
        <w:lastRenderedPageBreak/>
        <w:t>Appendix C</w:t>
      </w:r>
    </w:p>
    <w:p w14:paraId="14F42454" w14:textId="77777777" w:rsidR="00BD3507" w:rsidRPr="00BD3507" w:rsidRDefault="002E4E14" w:rsidP="00BD3507">
      <w:pPr>
        <w:pStyle w:val="Heading2"/>
        <w:rPr>
          <w:lang w:val="hu-HU"/>
        </w:rPr>
      </w:pPr>
      <w:r>
        <w:t xml:space="preserve">C.1 </w:t>
      </w:r>
      <w:r w:rsidR="00BD3507" w:rsidRPr="00BD3507">
        <w:rPr>
          <w:lang w:val="hu-HU"/>
        </w:rPr>
        <w:t>Comparison with relevant literature</w:t>
      </w:r>
    </w:p>
    <w:p w14:paraId="7376EB33" w14:textId="7FA20643" w:rsidR="002E4E14" w:rsidRDefault="002E4E14" w:rsidP="002E4E14">
      <w:pPr>
        <w:pStyle w:val="Caption"/>
        <w:keepNext/>
      </w:pPr>
      <w:bookmarkStart w:id="3" w:name="_Ref224160853"/>
      <w:r>
        <w:t xml:space="preserve">Table </w:t>
      </w:r>
      <w:r w:rsidR="004E2DBE">
        <w:t>C.</w:t>
      </w:r>
      <w:r>
        <w:fldChar w:fldCharType="begin"/>
      </w:r>
      <w:r>
        <w:instrText xml:space="preserve"> SEQ Table \* ARABIC </w:instrText>
      </w:r>
      <w:r>
        <w:fldChar w:fldCharType="separate"/>
      </w:r>
      <w:r>
        <w:rPr>
          <w:noProof/>
        </w:rPr>
        <w:t>1</w:t>
      </w:r>
      <w:r>
        <w:rPr>
          <w:noProof/>
        </w:rPr>
        <w:fldChar w:fldCharType="end"/>
      </w:r>
      <w:bookmarkEnd w:id="3"/>
      <w:r>
        <w:t xml:space="preserve"> Summary of most relevant studies</w:t>
      </w:r>
    </w:p>
    <w:tbl>
      <w:tblPr>
        <w:tblStyle w:val="PlainTable5"/>
        <w:tblW w:w="10205" w:type="dxa"/>
        <w:tblLayout w:type="fixed"/>
        <w:tblLook w:val="04A0" w:firstRow="1" w:lastRow="0" w:firstColumn="1" w:lastColumn="0" w:noHBand="0" w:noVBand="1"/>
      </w:tblPr>
      <w:tblGrid>
        <w:gridCol w:w="1134"/>
        <w:gridCol w:w="1134"/>
        <w:gridCol w:w="1928"/>
        <w:gridCol w:w="3628"/>
        <w:gridCol w:w="2381"/>
      </w:tblGrid>
      <w:tr w:rsidR="002E4E14" w:rsidRPr="008A6BC3" w14:paraId="38FF14D8" w14:textId="77777777" w:rsidTr="00BD35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34" w:type="dxa"/>
          </w:tcPr>
          <w:p w14:paraId="3429F9D7" w14:textId="77777777" w:rsidR="002E4E14" w:rsidRPr="008A6BC3" w:rsidRDefault="002E4E14" w:rsidP="004B71A9">
            <w:pPr>
              <w:rPr>
                <w:color w:val="auto"/>
                <w:sz w:val="20"/>
                <w:szCs w:val="20"/>
              </w:rPr>
            </w:pPr>
            <w:r w:rsidRPr="008A6BC3">
              <w:rPr>
                <w:color w:val="auto"/>
                <w:sz w:val="20"/>
                <w:szCs w:val="20"/>
              </w:rPr>
              <w:t>Reference</w:t>
            </w:r>
          </w:p>
        </w:tc>
        <w:tc>
          <w:tcPr>
            <w:tcW w:w="1134" w:type="dxa"/>
          </w:tcPr>
          <w:p w14:paraId="49627FC0" w14:textId="77777777" w:rsidR="002E4E14" w:rsidRPr="008A6BC3" w:rsidRDefault="002E4E14" w:rsidP="004B71A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Geography</w:t>
            </w:r>
          </w:p>
        </w:tc>
        <w:tc>
          <w:tcPr>
            <w:tcW w:w="1928" w:type="dxa"/>
          </w:tcPr>
          <w:p w14:paraId="62CBD000" w14:textId="77777777" w:rsidR="002E4E14" w:rsidRPr="008A6BC3" w:rsidRDefault="002E4E14" w:rsidP="004B71A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Main focus</w:t>
            </w:r>
          </w:p>
        </w:tc>
        <w:tc>
          <w:tcPr>
            <w:tcW w:w="3628" w:type="dxa"/>
          </w:tcPr>
          <w:p w14:paraId="3FF77561" w14:textId="77777777" w:rsidR="002E4E14" w:rsidRPr="008A6BC3" w:rsidRDefault="002E4E14" w:rsidP="004B71A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Modelling approach</w:t>
            </w:r>
          </w:p>
        </w:tc>
        <w:tc>
          <w:tcPr>
            <w:tcW w:w="2381" w:type="dxa"/>
          </w:tcPr>
          <w:p w14:paraId="135EDADD" w14:textId="77777777" w:rsidR="002E4E14" w:rsidRPr="008A6BC3" w:rsidRDefault="002E4E14" w:rsidP="004B71A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 xml:space="preserve">Key </w:t>
            </w:r>
            <w:r>
              <w:rPr>
                <w:color w:val="auto"/>
                <w:sz w:val="20"/>
                <w:szCs w:val="20"/>
              </w:rPr>
              <w:t xml:space="preserve">relevant </w:t>
            </w:r>
            <w:r w:rsidRPr="008A6BC3">
              <w:rPr>
                <w:color w:val="auto"/>
                <w:sz w:val="20"/>
                <w:szCs w:val="20"/>
              </w:rPr>
              <w:t>outputs</w:t>
            </w:r>
          </w:p>
        </w:tc>
      </w:tr>
      <w:tr w:rsidR="002E4E14" w:rsidRPr="008A6BC3" w14:paraId="6692F981" w14:textId="77777777" w:rsidTr="00BD3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CCF8407" w14:textId="506EF18C" w:rsidR="002E4E14" w:rsidRPr="008A6BC3" w:rsidRDefault="002E4E14" w:rsidP="004B71A9">
            <w:pPr>
              <w:rPr>
                <w:color w:val="auto"/>
                <w:sz w:val="20"/>
                <w:szCs w:val="20"/>
              </w:rPr>
            </w:pPr>
            <w:r w:rsidRPr="008A6BC3">
              <w:rPr>
                <w:sz w:val="20"/>
                <w:szCs w:val="20"/>
              </w:rPr>
              <w:t xml:space="preserve">Castaneda et al. </w:t>
            </w:r>
            <w:r w:rsidR="00BD3507">
              <w:rPr>
                <w:sz w:val="20"/>
                <w:szCs w:val="20"/>
              </w:rPr>
              <w:t>[1]</w:t>
            </w:r>
          </w:p>
        </w:tc>
        <w:tc>
          <w:tcPr>
            <w:tcW w:w="1134" w:type="dxa"/>
          </w:tcPr>
          <w:p w14:paraId="3008C70D"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United Kingdom (national)</w:t>
            </w:r>
          </w:p>
        </w:tc>
        <w:tc>
          <w:tcPr>
            <w:tcW w:w="1928" w:type="dxa"/>
          </w:tcPr>
          <w:p w14:paraId="5BC914A3"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 xml:space="preserve">Long‑term </w:t>
            </w:r>
            <w:r>
              <w:rPr>
                <w:color w:val="auto"/>
                <w:sz w:val="20"/>
                <w:szCs w:val="20"/>
              </w:rPr>
              <w:t xml:space="preserve">rooftop </w:t>
            </w:r>
            <w:r w:rsidRPr="008A6BC3">
              <w:rPr>
                <w:color w:val="auto"/>
                <w:sz w:val="20"/>
                <w:szCs w:val="20"/>
              </w:rPr>
              <w:t>PV adoption (with/without batteries) under FiT reductions</w:t>
            </w:r>
          </w:p>
        </w:tc>
        <w:tc>
          <w:tcPr>
            <w:tcW w:w="3628" w:type="dxa"/>
          </w:tcPr>
          <w:p w14:paraId="4C29A607"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 xml:space="preserve">System‑dynamics model </w:t>
            </w:r>
            <w:r>
              <w:rPr>
                <w:color w:val="auto"/>
                <w:sz w:val="20"/>
                <w:szCs w:val="20"/>
              </w:rPr>
              <w:t xml:space="preserve">combined </w:t>
            </w:r>
            <w:r w:rsidRPr="008A6BC3">
              <w:rPr>
                <w:color w:val="auto"/>
                <w:sz w:val="20"/>
                <w:szCs w:val="20"/>
              </w:rPr>
              <w:t xml:space="preserve">with Bass diffusion. Financial factors (prices, FiTs, costs) shape pool of </w:t>
            </w:r>
            <w:r>
              <w:rPr>
                <w:color w:val="auto"/>
                <w:sz w:val="20"/>
                <w:szCs w:val="20"/>
              </w:rPr>
              <w:t xml:space="preserve">potential </w:t>
            </w:r>
            <w:r w:rsidRPr="008A6BC3">
              <w:rPr>
                <w:color w:val="auto"/>
                <w:sz w:val="20"/>
                <w:szCs w:val="20"/>
              </w:rPr>
              <w:t>adopters</w:t>
            </w:r>
          </w:p>
        </w:tc>
        <w:tc>
          <w:tcPr>
            <w:tcW w:w="2381" w:type="dxa"/>
          </w:tcPr>
          <w:p w14:paraId="74D33B33"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Installed rooftop PV and PV‑battery capacity to 2038, effects of FiT degression</w:t>
            </w:r>
          </w:p>
        </w:tc>
      </w:tr>
      <w:tr w:rsidR="002E4E14" w:rsidRPr="008A6BC3" w14:paraId="7666725A" w14:textId="77777777" w:rsidTr="00BD3507">
        <w:tc>
          <w:tcPr>
            <w:cnfStyle w:val="001000000000" w:firstRow="0" w:lastRow="0" w:firstColumn="1" w:lastColumn="0" w:oddVBand="0" w:evenVBand="0" w:oddHBand="0" w:evenHBand="0" w:firstRowFirstColumn="0" w:firstRowLastColumn="0" w:lastRowFirstColumn="0" w:lastRowLastColumn="0"/>
            <w:tcW w:w="1134" w:type="dxa"/>
          </w:tcPr>
          <w:p w14:paraId="2F7AABF2" w14:textId="3398002C" w:rsidR="002E4E14" w:rsidRPr="008A6BC3" w:rsidRDefault="002E4E14" w:rsidP="004B71A9">
            <w:pPr>
              <w:rPr>
                <w:color w:val="auto"/>
                <w:sz w:val="20"/>
                <w:szCs w:val="20"/>
              </w:rPr>
            </w:pPr>
            <w:r w:rsidRPr="008A6BC3">
              <w:rPr>
                <w:sz w:val="20"/>
                <w:szCs w:val="20"/>
              </w:rPr>
              <w:t xml:space="preserve">Fett et al. </w:t>
            </w:r>
            <w:r w:rsidR="00BD3507">
              <w:rPr>
                <w:sz w:val="20"/>
                <w:szCs w:val="20"/>
              </w:rPr>
              <w:t>[2]</w:t>
            </w:r>
          </w:p>
        </w:tc>
        <w:tc>
          <w:tcPr>
            <w:tcW w:w="1134" w:type="dxa"/>
          </w:tcPr>
          <w:p w14:paraId="102333D7"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Germany (national)</w:t>
            </w:r>
          </w:p>
        </w:tc>
        <w:tc>
          <w:tcPr>
            <w:tcW w:w="1928" w:type="dxa"/>
          </w:tcPr>
          <w:p w14:paraId="3188792D"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Diffusion and system impact of residential batteries under different regulations</w:t>
            </w:r>
          </w:p>
        </w:tc>
        <w:tc>
          <w:tcPr>
            <w:tcW w:w="3628" w:type="dxa"/>
          </w:tcPr>
          <w:p w14:paraId="5B9D846B"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 xml:space="preserve">Bass diffusion combined with prosumer simulation, and agent‑based electricity market model. </w:t>
            </w:r>
            <w:r>
              <w:rPr>
                <w:color w:val="auto"/>
                <w:sz w:val="20"/>
                <w:szCs w:val="20"/>
              </w:rPr>
              <w:t>F</w:t>
            </w:r>
            <w:r w:rsidRPr="008A6BC3">
              <w:rPr>
                <w:color w:val="auto"/>
                <w:sz w:val="20"/>
                <w:szCs w:val="20"/>
              </w:rPr>
              <w:t>inancial returns do not change adopter numbers; affect system operation and sizing</w:t>
            </w:r>
          </w:p>
        </w:tc>
        <w:tc>
          <w:tcPr>
            <w:tcW w:w="2381" w:type="dxa"/>
          </w:tcPr>
          <w:p w14:paraId="44EDEB3E"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Installed residential storage capacity to 2050, impacts on utilities’ capacity expansion planning</w:t>
            </w:r>
          </w:p>
        </w:tc>
      </w:tr>
      <w:tr w:rsidR="002E4E14" w:rsidRPr="008A6BC3" w14:paraId="451FC081" w14:textId="77777777" w:rsidTr="00BD3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33DD5D0" w14:textId="0A074D7B" w:rsidR="002E4E14" w:rsidRPr="008A6BC3" w:rsidRDefault="002E4E14" w:rsidP="004B71A9">
            <w:pPr>
              <w:rPr>
                <w:color w:val="auto"/>
                <w:sz w:val="20"/>
                <w:szCs w:val="20"/>
              </w:rPr>
            </w:pPr>
            <w:r w:rsidRPr="008A6BC3">
              <w:rPr>
                <w:sz w:val="20"/>
                <w:szCs w:val="20"/>
              </w:rPr>
              <w:t xml:space="preserve">Hartvig </w:t>
            </w:r>
            <w:r w:rsidR="00BD3507">
              <w:rPr>
                <w:sz w:val="20"/>
                <w:szCs w:val="20"/>
              </w:rPr>
              <w:t>[3]</w:t>
            </w:r>
          </w:p>
        </w:tc>
        <w:tc>
          <w:tcPr>
            <w:tcW w:w="1134" w:type="dxa"/>
          </w:tcPr>
          <w:p w14:paraId="064074CB"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8 CEE countries (multi‑country)</w:t>
            </w:r>
          </w:p>
        </w:tc>
        <w:tc>
          <w:tcPr>
            <w:tcW w:w="1928" w:type="dxa"/>
          </w:tcPr>
          <w:p w14:paraId="71CD3642"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 xml:space="preserve">Trade‑offs between FiT levels for </w:t>
            </w:r>
            <w:r>
              <w:rPr>
                <w:color w:val="auto"/>
                <w:sz w:val="20"/>
                <w:szCs w:val="20"/>
              </w:rPr>
              <w:t xml:space="preserve">rooftop </w:t>
            </w:r>
            <w:r w:rsidRPr="008A6BC3">
              <w:rPr>
                <w:color w:val="auto"/>
                <w:sz w:val="20"/>
                <w:szCs w:val="20"/>
              </w:rPr>
              <w:t>PV and</w:t>
            </w:r>
            <w:r>
              <w:rPr>
                <w:color w:val="auto"/>
                <w:sz w:val="20"/>
                <w:szCs w:val="20"/>
              </w:rPr>
              <w:t xml:space="preserve"> residential</w:t>
            </w:r>
            <w:r w:rsidRPr="008A6BC3">
              <w:rPr>
                <w:color w:val="auto"/>
                <w:sz w:val="20"/>
                <w:szCs w:val="20"/>
              </w:rPr>
              <w:t xml:space="preserve"> batteries</w:t>
            </w:r>
          </w:p>
        </w:tc>
        <w:tc>
          <w:tcPr>
            <w:tcW w:w="3628" w:type="dxa"/>
          </w:tcPr>
          <w:p w14:paraId="68A769C0"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CLEARS mode</w:t>
            </w:r>
            <w:r>
              <w:rPr>
                <w:color w:val="auto"/>
                <w:sz w:val="20"/>
                <w:szCs w:val="20"/>
              </w:rPr>
              <w:t>l</w:t>
            </w:r>
            <w:r w:rsidRPr="008A6BC3">
              <w:rPr>
                <w:color w:val="auto"/>
                <w:sz w:val="20"/>
                <w:szCs w:val="20"/>
              </w:rPr>
              <w:t xml:space="preserve"> combining NPV and Bass diffusion. NPV influences potential adopters</w:t>
            </w:r>
          </w:p>
        </w:tc>
        <w:tc>
          <w:tcPr>
            <w:tcW w:w="2381" w:type="dxa"/>
          </w:tcPr>
          <w:p w14:paraId="7990DA9D"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Installed rooftop PV and residential battery capacity to 2050 across various FiT levels, trade‑offs between technologies</w:t>
            </w:r>
          </w:p>
        </w:tc>
      </w:tr>
      <w:tr w:rsidR="002E4E14" w:rsidRPr="008A6BC3" w14:paraId="34941E97" w14:textId="77777777" w:rsidTr="00BD3507">
        <w:tc>
          <w:tcPr>
            <w:cnfStyle w:val="001000000000" w:firstRow="0" w:lastRow="0" w:firstColumn="1" w:lastColumn="0" w:oddVBand="0" w:evenVBand="0" w:oddHBand="0" w:evenHBand="0" w:firstRowFirstColumn="0" w:firstRowLastColumn="0" w:lastRowFirstColumn="0" w:lastRowLastColumn="0"/>
            <w:tcW w:w="1134" w:type="dxa"/>
          </w:tcPr>
          <w:p w14:paraId="6E28FE49" w14:textId="287C3DA2" w:rsidR="002E4E14" w:rsidRPr="008A6BC3" w:rsidRDefault="002E4E14" w:rsidP="004B71A9">
            <w:pPr>
              <w:rPr>
                <w:color w:val="auto"/>
                <w:sz w:val="20"/>
                <w:szCs w:val="20"/>
              </w:rPr>
            </w:pPr>
            <w:r w:rsidRPr="008A6BC3">
              <w:rPr>
                <w:sz w:val="20"/>
                <w:szCs w:val="20"/>
              </w:rPr>
              <w:t xml:space="preserve">Hartvig and Szabó </w:t>
            </w:r>
            <w:r w:rsidR="00BD3507">
              <w:rPr>
                <w:sz w:val="20"/>
                <w:szCs w:val="20"/>
              </w:rPr>
              <w:t>[4]</w:t>
            </w:r>
          </w:p>
        </w:tc>
        <w:tc>
          <w:tcPr>
            <w:tcW w:w="1134" w:type="dxa"/>
          </w:tcPr>
          <w:p w14:paraId="35B0262A"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Hungary (NUTS3 regional)</w:t>
            </w:r>
          </w:p>
        </w:tc>
        <w:tc>
          <w:tcPr>
            <w:tcW w:w="1928" w:type="dxa"/>
          </w:tcPr>
          <w:p w14:paraId="41B4E59C"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 xml:space="preserve">Regional residential battery diffusion under </w:t>
            </w:r>
            <w:r>
              <w:rPr>
                <w:color w:val="auto"/>
                <w:sz w:val="20"/>
                <w:szCs w:val="20"/>
              </w:rPr>
              <w:t xml:space="preserve">various </w:t>
            </w:r>
            <w:r w:rsidRPr="008A6BC3">
              <w:rPr>
                <w:color w:val="auto"/>
                <w:sz w:val="20"/>
                <w:szCs w:val="20"/>
              </w:rPr>
              <w:t>support schemes</w:t>
            </w:r>
          </w:p>
        </w:tc>
        <w:tc>
          <w:tcPr>
            <w:tcW w:w="3628" w:type="dxa"/>
          </w:tcPr>
          <w:p w14:paraId="53D96F08"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CLEARS mode</w:t>
            </w:r>
            <w:r>
              <w:rPr>
                <w:color w:val="auto"/>
                <w:sz w:val="20"/>
                <w:szCs w:val="20"/>
              </w:rPr>
              <w:t>l</w:t>
            </w:r>
            <w:r w:rsidRPr="008A6BC3">
              <w:rPr>
                <w:color w:val="auto"/>
                <w:sz w:val="20"/>
                <w:szCs w:val="20"/>
              </w:rPr>
              <w:t xml:space="preserve"> combining NPV and Bass diffusion. NPV influences potential adopters</w:t>
            </w:r>
          </w:p>
        </w:tc>
        <w:tc>
          <w:tcPr>
            <w:tcW w:w="2381" w:type="dxa"/>
          </w:tcPr>
          <w:p w14:paraId="57856C2F"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 xml:space="preserve">Installed residential battery capacity to 2050 across various levels of support, spatial distribution </w:t>
            </w:r>
          </w:p>
        </w:tc>
      </w:tr>
      <w:tr w:rsidR="002E4E14" w:rsidRPr="008A6BC3" w14:paraId="53171A4F" w14:textId="77777777" w:rsidTr="00BD3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316666B1" w14:textId="28BC042B" w:rsidR="002E4E14" w:rsidRPr="008A6BC3" w:rsidRDefault="002E4E14" w:rsidP="004B71A9">
            <w:pPr>
              <w:rPr>
                <w:color w:val="auto"/>
                <w:sz w:val="20"/>
                <w:szCs w:val="20"/>
              </w:rPr>
            </w:pPr>
            <w:r w:rsidRPr="008A6BC3">
              <w:rPr>
                <w:sz w:val="20"/>
                <w:szCs w:val="20"/>
              </w:rPr>
              <w:t xml:space="preserve">Klingler </w:t>
            </w:r>
            <w:r w:rsidR="00BD3507">
              <w:rPr>
                <w:sz w:val="20"/>
                <w:szCs w:val="20"/>
              </w:rPr>
              <w:t>[5]</w:t>
            </w:r>
          </w:p>
        </w:tc>
        <w:tc>
          <w:tcPr>
            <w:tcW w:w="1134" w:type="dxa"/>
          </w:tcPr>
          <w:p w14:paraId="407E53FD"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Germany (national)</w:t>
            </w:r>
          </w:p>
        </w:tc>
        <w:tc>
          <w:tcPr>
            <w:tcW w:w="1928" w:type="dxa"/>
          </w:tcPr>
          <w:p w14:paraId="4968F9E2"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 xml:space="preserve">Rooftop </w:t>
            </w:r>
            <w:r w:rsidRPr="008A6BC3">
              <w:rPr>
                <w:color w:val="auto"/>
                <w:sz w:val="20"/>
                <w:szCs w:val="20"/>
              </w:rPr>
              <w:t>PV–battery self‑consumption and market diffusion</w:t>
            </w:r>
          </w:p>
        </w:tc>
        <w:tc>
          <w:tcPr>
            <w:tcW w:w="3628" w:type="dxa"/>
          </w:tcPr>
          <w:p w14:paraId="5B473F4C"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 xml:space="preserve">Market diffusion model combined with </w:t>
            </w:r>
            <w:r w:rsidRPr="00175E68">
              <w:rPr>
                <w:color w:val="auto"/>
                <w:sz w:val="20"/>
                <w:szCs w:val="20"/>
                <w:lang w:val="hu-HU"/>
              </w:rPr>
              <w:t>individual consumption data</w:t>
            </w:r>
            <w:r w:rsidRPr="008A6BC3">
              <w:rPr>
                <w:color w:val="auto"/>
                <w:sz w:val="20"/>
                <w:szCs w:val="20"/>
                <w:lang w:val="hu-HU"/>
              </w:rPr>
              <w:t xml:space="preserve">, </w:t>
            </w:r>
            <w:r w:rsidRPr="00175E68">
              <w:rPr>
                <w:color w:val="auto"/>
                <w:sz w:val="20"/>
                <w:szCs w:val="20"/>
                <w:lang w:val="hu-HU"/>
              </w:rPr>
              <w:t>user preferences</w:t>
            </w:r>
            <w:r w:rsidRPr="008A6BC3">
              <w:rPr>
                <w:color w:val="auto"/>
                <w:sz w:val="20"/>
                <w:szCs w:val="20"/>
                <w:lang w:val="hu-HU"/>
              </w:rPr>
              <w:t>,</w:t>
            </w:r>
            <w:r w:rsidRPr="00175E68">
              <w:rPr>
                <w:color w:val="auto"/>
                <w:sz w:val="20"/>
                <w:szCs w:val="20"/>
                <w:lang w:val="hu-HU"/>
              </w:rPr>
              <w:t xml:space="preserve"> </w:t>
            </w:r>
            <w:r w:rsidRPr="008A6BC3">
              <w:rPr>
                <w:color w:val="auto"/>
                <w:sz w:val="20"/>
                <w:szCs w:val="20"/>
                <w:lang w:val="hu-HU"/>
              </w:rPr>
              <w:t>and</w:t>
            </w:r>
            <w:r w:rsidRPr="00175E68">
              <w:rPr>
                <w:color w:val="auto"/>
                <w:sz w:val="20"/>
                <w:szCs w:val="20"/>
                <w:lang w:val="hu-HU"/>
              </w:rPr>
              <w:t xml:space="preserve"> techno-economic</w:t>
            </w:r>
            <w:r w:rsidRPr="008A6BC3">
              <w:rPr>
                <w:color w:val="auto"/>
                <w:sz w:val="20"/>
                <w:szCs w:val="20"/>
                <w:lang w:val="hu-HU"/>
              </w:rPr>
              <w:t xml:space="preserve"> analysis. Total cost of ownership influences </w:t>
            </w:r>
            <w:r w:rsidRPr="008A6BC3">
              <w:rPr>
                <w:color w:val="auto"/>
                <w:sz w:val="20"/>
                <w:szCs w:val="20"/>
              </w:rPr>
              <w:t>potential adopters</w:t>
            </w:r>
          </w:p>
        </w:tc>
        <w:tc>
          <w:tcPr>
            <w:tcW w:w="2381" w:type="dxa"/>
          </w:tcPr>
          <w:p w14:paraId="57542B89"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Installed rooftop PV-battery capacity to 2040 across adopter groups</w:t>
            </w:r>
          </w:p>
        </w:tc>
      </w:tr>
      <w:tr w:rsidR="002E4E14" w:rsidRPr="008A6BC3" w14:paraId="036A4C76" w14:textId="77777777" w:rsidTr="00BD3507">
        <w:tc>
          <w:tcPr>
            <w:cnfStyle w:val="001000000000" w:firstRow="0" w:lastRow="0" w:firstColumn="1" w:lastColumn="0" w:oddVBand="0" w:evenVBand="0" w:oddHBand="0" w:evenHBand="0" w:firstRowFirstColumn="0" w:firstRowLastColumn="0" w:lastRowFirstColumn="0" w:lastRowLastColumn="0"/>
            <w:tcW w:w="1134" w:type="dxa"/>
          </w:tcPr>
          <w:p w14:paraId="385925FC" w14:textId="0965E0C7" w:rsidR="002E4E14" w:rsidRPr="008A6BC3" w:rsidRDefault="002E4E14" w:rsidP="004B71A9">
            <w:pPr>
              <w:rPr>
                <w:color w:val="auto"/>
                <w:sz w:val="20"/>
                <w:szCs w:val="20"/>
              </w:rPr>
            </w:pPr>
            <w:r w:rsidRPr="008A6BC3">
              <w:rPr>
                <w:sz w:val="20"/>
                <w:szCs w:val="20"/>
              </w:rPr>
              <w:t xml:space="preserve">Klingler et al. </w:t>
            </w:r>
            <w:r w:rsidR="00BD3507">
              <w:rPr>
                <w:sz w:val="20"/>
                <w:szCs w:val="20"/>
              </w:rPr>
              <w:t>[6]</w:t>
            </w:r>
          </w:p>
        </w:tc>
        <w:tc>
          <w:tcPr>
            <w:tcW w:w="1134" w:type="dxa"/>
          </w:tcPr>
          <w:p w14:paraId="4F1313DB"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EU‑28 + NO, CH (multi‑country)</w:t>
            </w:r>
          </w:p>
        </w:tc>
        <w:tc>
          <w:tcPr>
            <w:tcW w:w="1928" w:type="dxa"/>
          </w:tcPr>
          <w:p w14:paraId="29ED9433"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Residential battery deployment and system benefits</w:t>
            </w:r>
          </w:p>
        </w:tc>
        <w:tc>
          <w:tcPr>
            <w:tcW w:w="3628" w:type="dxa"/>
          </w:tcPr>
          <w:p w14:paraId="1A5B21A0"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 xml:space="preserve">Country-level diffusion with logistic curves </w:t>
            </w:r>
            <w:r>
              <w:rPr>
                <w:color w:val="auto"/>
                <w:sz w:val="20"/>
                <w:szCs w:val="20"/>
              </w:rPr>
              <w:t>combined with</w:t>
            </w:r>
            <w:r w:rsidRPr="008A6BC3">
              <w:rPr>
                <w:color w:val="auto"/>
                <w:sz w:val="20"/>
                <w:szCs w:val="20"/>
              </w:rPr>
              <w:t xml:space="preserve"> power system assessment. Economic feasibility shifts diffusion start year; does not affect curve shape</w:t>
            </w:r>
            <w:r>
              <w:rPr>
                <w:color w:val="auto"/>
                <w:sz w:val="20"/>
                <w:szCs w:val="20"/>
              </w:rPr>
              <w:t xml:space="preserve">. Fixed </w:t>
            </w:r>
            <w:r w:rsidRPr="008A6BC3">
              <w:rPr>
                <w:color w:val="auto"/>
                <w:sz w:val="20"/>
                <w:szCs w:val="20"/>
              </w:rPr>
              <w:t>S‑shaped logistic diffusion</w:t>
            </w:r>
          </w:p>
        </w:tc>
        <w:tc>
          <w:tcPr>
            <w:tcW w:w="2381" w:type="dxa"/>
          </w:tcPr>
          <w:p w14:paraId="3525BA56" w14:textId="77777777" w:rsidR="002E4E14" w:rsidRPr="008A6BC3" w:rsidRDefault="002E4E14" w:rsidP="004B71A9">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A6BC3">
              <w:rPr>
                <w:color w:val="auto"/>
                <w:sz w:val="20"/>
                <w:szCs w:val="20"/>
              </w:rPr>
              <w:t xml:space="preserve">Installed residential battery capacity to 2050, aggregate system benefits </w:t>
            </w:r>
          </w:p>
        </w:tc>
      </w:tr>
      <w:tr w:rsidR="002E4E14" w:rsidRPr="008A6BC3" w14:paraId="5F888BE4" w14:textId="77777777" w:rsidTr="00BD3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0040ED4" w14:textId="6923EA3C" w:rsidR="002E4E14" w:rsidRPr="008A6BC3" w:rsidRDefault="002E4E14" w:rsidP="004B71A9">
            <w:pPr>
              <w:rPr>
                <w:color w:val="auto"/>
                <w:sz w:val="20"/>
                <w:szCs w:val="20"/>
              </w:rPr>
            </w:pPr>
            <w:r w:rsidRPr="008A6BC3">
              <w:rPr>
                <w:sz w:val="20"/>
                <w:szCs w:val="20"/>
              </w:rPr>
              <w:t xml:space="preserve">Schwarz et al. </w:t>
            </w:r>
            <w:r w:rsidR="00BD3507">
              <w:rPr>
                <w:sz w:val="20"/>
                <w:szCs w:val="20"/>
              </w:rPr>
              <w:t>[7]</w:t>
            </w:r>
          </w:p>
        </w:tc>
        <w:tc>
          <w:tcPr>
            <w:tcW w:w="1134" w:type="dxa"/>
          </w:tcPr>
          <w:p w14:paraId="56B9AB30"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California (state)</w:t>
            </w:r>
          </w:p>
        </w:tc>
        <w:tc>
          <w:tcPr>
            <w:tcW w:w="1928" w:type="dxa"/>
          </w:tcPr>
          <w:p w14:paraId="2BE937EA"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Rooftop PV-battery adoption under policy designs</w:t>
            </w:r>
          </w:p>
        </w:tc>
        <w:tc>
          <w:tcPr>
            <w:tcW w:w="3628" w:type="dxa"/>
          </w:tcPr>
          <w:p w14:paraId="2D12DFEE" w14:textId="77777777" w:rsidR="002E4E14" w:rsidRPr="008A6BC3" w:rsidRDefault="002E4E14" w:rsidP="004B71A9">
            <w:pPr>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Agent‑based model with three‑step household decision process. Households evaluate options using NPV; adopt most profitable positive‑NPV option</w:t>
            </w:r>
          </w:p>
        </w:tc>
        <w:tc>
          <w:tcPr>
            <w:tcW w:w="2381" w:type="dxa"/>
          </w:tcPr>
          <w:p w14:paraId="482571B8" w14:textId="77777777" w:rsidR="002E4E14" w:rsidRPr="008A6BC3" w:rsidRDefault="002E4E14" w:rsidP="00BD3507">
            <w:pPr>
              <w:ind w:right="-1108"/>
              <w:cnfStyle w:val="000000100000" w:firstRow="0" w:lastRow="0" w:firstColumn="0" w:lastColumn="0" w:oddVBand="0" w:evenVBand="0" w:oddHBand="1" w:evenHBand="0" w:firstRowFirstColumn="0" w:firstRowLastColumn="0" w:lastRowFirstColumn="0" w:lastRowLastColumn="0"/>
              <w:rPr>
                <w:color w:val="auto"/>
                <w:sz w:val="20"/>
                <w:szCs w:val="20"/>
              </w:rPr>
            </w:pPr>
            <w:r w:rsidRPr="008A6BC3">
              <w:rPr>
                <w:color w:val="auto"/>
                <w:sz w:val="20"/>
                <w:szCs w:val="20"/>
              </w:rPr>
              <w:t>Installed rooftop PV-battery capacity to 2030, emission reduction</w:t>
            </w:r>
            <w:r>
              <w:rPr>
                <w:color w:val="auto"/>
                <w:sz w:val="20"/>
                <w:szCs w:val="20"/>
              </w:rPr>
              <w:t>s</w:t>
            </w:r>
            <w:r w:rsidRPr="008A6BC3">
              <w:rPr>
                <w:color w:val="auto"/>
                <w:sz w:val="20"/>
                <w:szCs w:val="20"/>
              </w:rPr>
              <w:t xml:space="preserve"> and integration effects</w:t>
            </w:r>
          </w:p>
        </w:tc>
      </w:tr>
    </w:tbl>
    <w:p w14:paraId="02CB168A" w14:textId="77777777" w:rsidR="002E4E14" w:rsidRPr="002E4E14" w:rsidRDefault="002E4E14" w:rsidP="002E4E14"/>
    <w:p w14:paraId="632DCBF7" w14:textId="6EE887CC" w:rsidR="001E0E75" w:rsidRPr="001E0E75" w:rsidRDefault="001E0E75" w:rsidP="001E0E75">
      <w:pPr>
        <w:pStyle w:val="Heading2"/>
      </w:pPr>
      <w:r>
        <w:lastRenderedPageBreak/>
        <w:t>C.</w:t>
      </w:r>
      <w:r w:rsidR="00BD3507">
        <w:t>2</w:t>
      </w:r>
      <w:r>
        <w:t xml:space="preserve"> </w:t>
      </w:r>
      <w:r w:rsidR="00CF1EB7" w:rsidRPr="00CF1EB7">
        <w:t>Support schemes and compensation mechanisms to promote household self-consumption</w:t>
      </w:r>
      <w:r w:rsidR="00CF1EB7">
        <w:t xml:space="preserve"> of solar energy </w:t>
      </w:r>
      <w:r>
        <w:t xml:space="preserve">in selected </w:t>
      </w:r>
      <w:r w:rsidR="00CF1EB7">
        <w:t>10</w:t>
      </w:r>
      <w:r>
        <w:t xml:space="preserve"> countries</w:t>
      </w:r>
    </w:p>
    <w:p w14:paraId="1C412B9B" w14:textId="1CF85389" w:rsidR="00CE2818" w:rsidRDefault="00CE2818" w:rsidP="00D84FA5">
      <w:pPr>
        <w:pStyle w:val="Caption"/>
        <w:keepNext/>
        <w:spacing w:after="120"/>
      </w:pPr>
      <w:r>
        <w:t>Table C.</w:t>
      </w:r>
      <w:r w:rsidR="00237337">
        <w:t>2</w:t>
      </w:r>
      <w:r>
        <w:t xml:space="preserve"> Overview of the compensation mechanisms for household self-consumption in ten countries, </w:t>
      </w:r>
      <w:r w:rsidRPr="00912EA0">
        <w:t>T and D indicate whether the tariff applies to the use of transmission or distribution system</w:t>
      </w:r>
      <w:r>
        <w:t>, source:</w:t>
      </w:r>
      <w:r w:rsidR="00D84FA5">
        <w:t xml:space="preserve"> </w:t>
      </w:r>
      <w:r w:rsidR="00D84FA5">
        <w:rPr>
          <w:lang w:val="en-US"/>
        </w:rPr>
        <w:t>[</w:t>
      </w:r>
      <w:r w:rsidR="00BD3507">
        <w:rPr>
          <w:lang w:val="en-US"/>
        </w:rPr>
        <w:t>8</w:t>
      </w:r>
      <w:r w:rsidR="00D84FA5">
        <w:rPr>
          <w:lang w:val="en-US"/>
        </w:rPr>
        <w:t>]</w:t>
      </w:r>
    </w:p>
    <w:tbl>
      <w:tblPr>
        <w:tblStyle w:val="PlainTable3"/>
        <w:tblW w:w="10240" w:type="dxa"/>
        <w:tblLook w:val="04A0" w:firstRow="1" w:lastRow="0" w:firstColumn="1" w:lastColumn="0" w:noHBand="0" w:noVBand="1"/>
      </w:tblPr>
      <w:tblGrid>
        <w:gridCol w:w="960"/>
        <w:gridCol w:w="2320"/>
        <w:gridCol w:w="2320"/>
        <w:gridCol w:w="2320"/>
        <w:gridCol w:w="2320"/>
      </w:tblGrid>
      <w:tr w:rsidR="00CE2818" w:rsidRPr="00CE2818" w14:paraId="49282EBD" w14:textId="77777777" w:rsidTr="00CE2818">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960" w:type="dxa"/>
            <w:vMerge w:val="restart"/>
            <w:noWrap/>
            <w:hideMark/>
          </w:tcPr>
          <w:p w14:paraId="04DD2EF5" w14:textId="77777777" w:rsidR="00CE2818" w:rsidRPr="00CE2818" w:rsidRDefault="00CE2818" w:rsidP="00CE2818">
            <w:pPr>
              <w:spacing w:after="0" w:line="240" w:lineRule="auto"/>
              <w:jc w:val="left"/>
              <w:rPr>
                <w:rFonts w:eastAsia="Times New Roman" w:cs="Times New Roman"/>
                <w:color w:val="auto"/>
                <w:kern w:val="0"/>
                <w:sz w:val="18"/>
                <w:szCs w:val="18"/>
                <w:lang w:val="hu-HU" w:eastAsia="hu-HU"/>
                <w14:ligatures w14:val="none"/>
              </w:rPr>
            </w:pPr>
          </w:p>
        </w:tc>
        <w:tc>
          <w:tcPr>
            <w:tcW w:w="2320" w:type="dxa"/>
            <w:vMerge w:val="restart"/>
            <w:tcBorders>
              <w:bottom w:val="none" w:sz="0" w:space="0" w:color="auto"/>
            </w:tcBorders>
            <w:hideMark/>
          </w:tcPr>
          <w:p w14:paraId="345F299F" w14:textId="77777777" w:rsidR="00CE2818" w:rsidRPr="00CE2818" w:rsidRDefault="00CE2818" w:rsidP="00CE28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Metering and billing arrangement</w:t>
            </w:r>
          </w:p>
        </w:tc>
        <w:tc>
          <w:tcPr>
            <w:tcW w:w="2320" w:type="dxa"/>
            <w:vMerge w:val="restart"/>
            <w:tcBorders>
              <w:bottom w:val="none" w:sz="0" w:space="0" w:color="auto"/>
            </w:tcBorders>
            <w:hideMark/>
          </w:tcPr>
          <w:p w14:paraId="41CC9094" w14:textId="77777777" w:rsidR="00CE2818" w:rsidRPr="00CE2818" w:rsidRDefault="00CE2818" w:rsidP="00CE28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Sell rate</w:t>
            </w:r>
          </w:p>
        </w:tc>
        <w:tc>
          <w:tcPr>
            <w:tcW w:w="4640" w:type="dxa"/>
            <w:gridSpan w:val="2"/>
            <w:tcBorders>
              <w:bottom w:val="none" w:sz="0" w:space="0" w:color="auto"/>
            </w:tcBorders>
            <w:hideMark/>
          </w:tcPr>
          <w:p w14:paraId="5FD3531B" w14:textId="77777777" w:rsidR="00CE2818" w:rsidRPr="00CE2818" w:rsidRDefault="00CE2818" w:rsidP="00CE28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Retail rate (excl. taxes, levies and other charges)</w:t>
            </w:r>
          </w:p>
        </w:tc>
      </w:tr>
      <w:tr w:rsidR="00CE2818" w:rsidRPr="00CE2818" w14:paraId="7722AABB" w14:textId="77777777" w:rsidTr="00CE28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right w:val="none" w:sz="0" w:space="0" w:color="auto"/>
            </w:tcBorders>
            <w:hideMark/>
          </w:tcPr>
          <w:p w14:paraId="2595F323" w14:textId="77777777" w:rsidR="00CE2818" w:rsidRPr="00CE2818" w:rsidRDefault="00CE2818" w:rsidP="00CE2818">
            <w:pPr>
              <w:spacing w:after="0" w:line="240" w:lineRule="auto"/>
              <w:jc w:val="left"/>
              <w:rPr>
                <w:rFonts w:eastAsia="Times New Roman" w:cs="Times New Roman"/>
                <w:color w:val="auto"/>
                <w:kern w:val="0"/>
                <w:sz w:val="18"/>
                <w:szCs w:val="18"/>
                <w:lang w:val="hu-HU" w:eastAsia="hu-HU"/>
                <w14:ligatures w14:val="none"/>
              </w:rPr>
            </w:pPr>
          </w:p>
        </w:tc>
        <w:tc>
          <w:tcPr>
            <w:tcW w:w="2320" w:type="dxa"/>
            <w:vMerge/>
            <w:tcBorders>
              <w:bottom w:val="single" w:sz="4" w:space="0" w:color="auto"/>
            </w:tcBorders>
            <w:hideMark/>
          </w:tcPr>
          <w:p w14:paraId="049D3D77"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p>
        </w:tc>
        <w:tc>
          <w:tcPr>
            <w:tcW w:w="2320" w:type="dxa"/>
            <w:vMerge/>
            <w:tcBorders>
              <w:bottom w:val="single" w:sz="4" w:space="0" w:color="auto"/>
            </w:tcBorders>
            <w:hideMark/>
          </w:tcPr>
          <w:p w14:paraId="1F4BB71A"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p>
        </w:tc>
        <w:tc>
          <w:tcPr>
            <w:tcW w:w="2320" w:type="dxa"/>
            <w:tcBorders>
              <w:bottom w:val="single" w:sz="4" w:space="0" w:color="auto"/>
            </w:tcBorders>
            <w:hideMark/>
          </w:tcPr>
          <w:p w14:paraId="36BC351D"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Energy fee</w:t>
            </w:r>
          </w:p>
        </w:tc>
        <w:tc>
          <w:tcPr>
            <w:tcW w:w="2320" w:type="dxa"/>
            <w:tcBorders>
              <w:bottom w:val="single" w:sz="4" w:space="0" w:color="auto"/>
            </w:tcBorders>
            <w:hideMark/>
          </w:tcPr>
          <w:p w14:paraId="6D4E7D1D" w14:textId="503ADF74"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System charges</w:t>
            </w:r>
          </w:p>
        </w:tc>
      </w:tr>
      <w:tr w:rsidR="00CE2818" w:rsidRPr="00CE2818" w14:paraId="3B90EBA7" w14:textId="77777777" w:rsidTr="00CE2818">
        <w:trPr>
          <w:trHeight w:val="1191"/>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07FCC90A"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AT</w:t>
            </w:r>
          </w:p>
        </w:tc>
        <w:tc>
          <w:tcPr>
            <w:tcW w:w="2320" w:type="dxa"/>
            <w:tcBorders>
              <w:top w:val="single" w:sz="4" w:space="0" w:color="auto"/>
            </w:tcBorders>
            <w:hideMark/>
          </w:tcPr>
          <w:p w14:paraId="07B936EA"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Separate metering and billing &amp; buy all, sell all</w:t>
            </w:r>
          </w:p>
        </w:tc>
        <w:tc>
          <w:tcPr>
            <w:tcW w:w="2320" w:type="dxa"/>
            <w:tcBorders>
              <w:top w:val="single" w:sz="4" w:space="0" w:color="auto"/>
            </w:tcBorders>
            <w:hideMark/>
          </w:tcPr>
          <w:p w14:paraId="677C5DE9"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Weighted average monthly market price with minimum and maximum limits or market premium (&gt;10 kWp)</w:t>
            </w:r>
          </w:p>
        </w:tc>
        <w:tc>
          <w:tcPr>
            <w:tcW w:w="2320" w:type="dxa"/>
            <w:tcBorders>
              <w:top w:val="single" w:sz="4" w:space="0" w:color="auto"/>
            </w:tcBorders>
            <w:hideMark/>
          </w:tcPr>
          <w:p w14:paraId="292BA89C"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Fixed, variable, dynamic, depending on the supply contract</w:t>
            </w:r>
          </w:p>
        </w:tc>
        <w:tc>
          <w:tcPr>
            <w:tcW w:w="2320" w:type="dxa"/>
            <w:tcBorders>
              <w:top w:val="single" w:sz="4" w:space="0" w:color="auto"/>
            </w:tcBorders>
            <w:hideMark/>
          </w:tcPr>
          <w:p w14:paraId="0AF030E8"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static</w:t>
            </w:r>
            <w:r w:rsidRPr="00CE2818">
              <w:rPr>
                <w:rFonts w:eastAsia="Times New Roman" w:cs="Times New Roman"/>
                <w:kern w:val="0"/>
                <w:sz w:val="18"/>
                <w:szCs w:val="18"/>
                <w:lang w:val="hu-HU" w:eastAsia="hu-HU"/>
                <w14:ligatures w14:val="none"/>
              </w:rPr>
              <w:br/>
              <w:t>D-tariff: static/ToU</w:t>
            </w:r>
          </w:p>
        </w:tc>
      </w:tr>
      <w:tr w:rsidR="00CE2818" w:rsidRPr="00CE2818" w14:paraId="394B322B" w14:textId="77777777" w:rsidTr="00CE2818">
        <w:trPr>
          <w:cnfStyle w:val="000000100000" w:firstRow="0" w:lastRow="0" w:firstColumn="0" w:lastColumn="0" w:oddVBand="0" w:evenVBand="0" w:oddHBand="1"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960" w:type="dxa"/>
            <w:noWrap/>
            <w:hideMark/>
          </w:tcPr>
          <w:p w14:paraId="41AD486C"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DK</w:t>
            </w:r>
          </w:p>
        </w:tc>
        <w:tc>
          <w:tcPr>
            <w:tcW w:w="2320" w:type="dxa"/>
            <w:hideMark/>
          </w:tcPr>
          <w:p w14:paraId="2FC04083"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Separate metering and billing</w:t>
            </w:r>
          </w:p>
        </w:tc>
        <w:tc>
          <w:tcPr>
            <w:tcW w:w="2320" w:type="dxa"/>
            <w:hideMark/>
          </w:tcPr>
          <w:p w14:paraId="7D779CEE"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Market price (hourly) + charge for service to buyer, fee for metering /balancing to TSO, and injection charge to DSO</w:t>
            </w:r>
          </w:p>
        </w:tc>
        <w:tc>
          <w:tcPr>
            <w:tcW w:w="2320" w:type="dxa"/>
            <w:hideMark/>
          </w:tcPr>
          <w:p w14:paraId="70CC5144"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Fixed, variable, dynamic, depending on the supply contract</w:t>
            </w:r>
          </w:p>
        </w:tc>
        <w:tc>
          <w:tcPr>
            <w:tcW w:w="2320" w:type="dxa"/>
            <w:hideMark/>
          </w:tcPr>
          <w:p w14:paraId="695692D0"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static</w:t>
            </w:r>
            <w:r w:rsidRPr="00CE2818">
              <w:rPr>
                <w:rFonts w:eastAsia="Times New Roman" w:cs="Times New Roman"/>
                <w:kern w:val="0"/>
                <w:sz w:val="18"/>
                <w:szCs w:val="18"/>
                <w:lang w:val="hu-HU" w:eastAsia="hu-HU"/>
                <w14:ligatures w14:val="none"/>
              </w:rPr>
              <w:br/>
              <w:t>D-tariff: static/ToU system balance tariff paid to TSO</w:t>
            </w:r>
          </w:p>
        </w:tc>
      </w:tr>
      <w:tr w:rsidR="00CE2818" w:rsidRPr="00CE2818" w14:paraId="6ACA80F8" w14:textId="77777777" w:rsidTr="00CE2818">
        <w:trPr>
          <w:trHeight w:val="85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D07816"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DE</w:t>
            </w:r>
          </w:p>
        </w:tc>
        <w:tc>
          <w:tcPr>
            <w:tcW w:w="2320" w:type="dxa"/>
            <w:hideMark/>
          </w:tcPr>
          <w:p w14:paraId="1C9B9D04"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Separate metering and billing</w:t>
            </w:r>
            <w:r w:rsidRPr="00CE2818">
              <w:rPr>
                <w:rFonts w:eastAsia="Times New Roman" w:cs="Times New Roman"/>
                <w:kern w:val="0"/>
                <w:sz w:val="18"/>
                <w:szCs w:val="18"/>
                <w:lang w:val="hu-HU" w:eastAsia="hu-HU"/>
                <w14:ligatures w14:val="none"/>
              </w:rPr>
              <w:br/>
              <w:t>&amp; buy all, sell all</w:t>
            </w:r>
          </w:p>
        </w:tc>
        <w:tc>
          <w:tcPr>
            <w:tcW w:w="2320" w:type="dxa"/>
            <w:hideMark/>
          </w:tcPr>
          <w:p w14:paraId="18E35EB3"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FIT for 20 years</w:t>
            </w:r>
          </w:p>
        </w:tc>
        <w:tc>
          <w:tcPr>
            <w:tcW w:w="2320" w:type="dxa"/>
            <w:hideMark/>
          </w:tcPr>
          <w:p w14:paraId="65B4AE00"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Fixed, variable, dynamic, depending on the supply contract</w:t>
            </w:r>
          </w:p>
        </w:tc>
        <w:tc>
          <w:tcPr>
            <w:tcW w:w="2320" w:type="dxa"/>
            <w:hideMark/>
          </w:tcPr>
          <w:p w14:paraId="5F841FF2"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and D-tariff: static, with large regional differences</w:t>
            </w:r>
          </w:p>
        </w:tc>
      </w:tr>
      <w:tr w:rsidR="00CE2818" w:rsidRPr="00CE2818" w14:paraId="589F5DC9" w14:textId="77777777" w:rsidTr="00CE2818">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C2A62C"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EL</w:t>
            </w:r>
          </w:p>
        </w:tc>
        <w:tc>
          <w:tcPr>
            <w:tcW w:w="2320" w:type="dxa"/>
            <w:hideMark/>
          </w:tcPr>
          <w:p w14:paraId="476DDE65"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Net metering (25 years) for some consumer categories, net billing to be introduced</w:t>
            </w:r>
          </w:p>
        </w:tc>
        <w:tc>
          <w:tcPr>
            <w:tcW w:w="2320" w:type="dxa"/>
            <w:hideMark/>
          </w:tcPr>
          <w:p w14:paraId="5CF99EA2"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No option for selling surplus after the 3-years crediting period expires.</w:t>
            </w:r>
          </w:p>
        </w:tc>
        <w:tc>
          <w:tcPr>
            <w:tcW w:w="2320" w:type="dxa"/>
            <w:hideMark/>
          </w:tcPr>
          <w:p w14:paraId="6F4793CD"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Fixed, variable, dynamic, depending on the supply contract</w:t>
            </w:r>
          </w:p>
        </w:tc>
        <w:tc>
          <w:tcPr>
            <w:tcW w:w="2320" w:type="dxa"/>
            <w:hideMark/>
          </w:tcPr>
          <w:p w14:paraId="27FE0F58"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Static/ToU at both transmission and distribution level</w:t>
            </w:r>
          </w:p>
        </w:tc>
      </w:tr>
      <w:tr w:rsidR="00CE2818" w:rsidRPr="00CE2818" w14:paraId="1A5D629C" w14:textId="77777777" w:rsidTr="00CE2818">
        <w:trPr>
          <w:trHeight w:val="58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4DDD869"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HU</w:t>
            </w:r>
          </w:p>
        </w:tc>
        <w:tc>
          <w:tcPr>
            <w:tcW w:w="2320" w:type="dxa"/>
            <w:hideMark/>
          </w:tcPr>
          <w:p w14:paraId="7DC41FAA"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Separate metering and billing</w:t>
            </w:r>
          </w:p>
        </w:tc>
        <w:tc>
          <w:tcPr>
            <w:tcW w:w="2320" w:type="dxa"/>
            <w:hideMark/>
          </w:tcPr>
          <w:p w14:paraId="67FFAFC5"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Static, fixed</w:t>
            </w:r>
          </w:p>
        </w:tc>
        <w:tc>
          <w:tcPr>
            <w:tcW w:w="2320" w:type="dxa"/>
            <w:hideMark/>
          </w:tcPr>
          <w:p w14:paraId="570711E0"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Static</w:t>
            </w:r>
          </w:p>
        </w:tc>
        <w:tc>
          <w:tcPr>
            <w:tcW w:w="2320" w:type="dxa"/>
            <w:hideMark/>
          </w:tcPr>
          <w:p w14:paraId="45459B23"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and</w:t>
            </w:r>
            <w:r w:rsidRPr="00CE2818">
              <w:rPr>
                <w:rFonts w:eastAsia="Times New Roman" w:cs="Times New Roman"/>
                <w:kern w:val="0"/>
                <w:sz w:val="18"/>
                <w:szCs w:val="18"/>
                <w:lang w:val="hu-HU" w:eastAsia="hu-HU"/>
                <w14:ligatures w14:val="none"/>
              </w:rPr>
              <w:br/>
              <w:t>D-tariff: static</w:t>
            </w:r>
          </w:p>
        </w:tc>
      </w:tr>
      <w:tr w:rsidR="00CE2818" w:rsidRPr="00CE2818" w14:paraId="5C84DACA" w14:textId="77777777" w:rsidTr="00CE2818">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9CCCCC"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IT</w:t>
            </w:r>
          </w:p>
        </w:tc>
        <w:tc>
          <w:tcPr>
            <w:tcW w:w="2320" w:type="dxa"/>
            <w:hideMark/>
          </w:tcPr>
          <w:p w14:paraId="19696496"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Separate metering and billing</w:t>
            </w:r>
          </w:p>
        </w:tc>
        <w:tc>
          <w:tcPr>
            <w:tcW w:w="2320" w:type="dxa"/>
            <w:hideMark/>
          </w:tcPr>
          <w:p w14:paraId="7B4483FD"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Dynamic: hourly zonal price with minimum</w:t>
            </w:r>
          </w:p>
        </w:tc>
        <w:tc>
          <w:tcPr>
            <w:tcW w:w="2320" w:type="dxa"/>
            <w:hideMark/>
          </w:tcPr>
          <w:p w14:paraId="0E887547"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Fixed, variable, dynamic, depending on the supply contract,</w:t>
            </w:r>
            <w:r w:rsidRPr="00CE2818">
              <w:rPr>
                <w:rFonts w:eastAsia="Times New Roman" w:cs="Times New Roman"/>
                <w:kern w:val="0"/>
                <w:sz w:val="18"/>
                <w:szCs w:val="18"/>
                <w:lang w:val="hu-HU" w:eastAsia="hu-HU"/>
                <w14:ligatures w14:val="none"/>
              </w:rPr>
              <w:br/>
              <w:t>reduced VAT</w:t>
            </w:r>
          </w:p>
        </w:tc>
        <w:tc>
          <w:tcPr>
            <w:tcW w:w="2320" w:type="dxa"/>
            <w:hideMark/>
          </w:tcPr>
          <w:p w14:paraId="2407DBB8"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and</w:t>
            </w:r>
            <w:r w:rsidRPr="00CE2818">
              <w:rPr>
                <w:rFonts w:eastAsia="Times New Roman" w:cs="Times New Roman"/>
                <w:kern w:val="0"/>
                <w:sz w:val="18"/>
                <w:szCs w:val="18"/>
                <w:lang w:val="hu-HU" w:eastAsia="hu-HU"/>
                <w14:ligatures w14:val="none"/>
              </w:rPr>
              <w:br/>
              <w:t>D-tariff: static</w:t>
            </w:r>
          </w:p>
        </w:tc>
      </w:tr>
      <w:tr w:rsidR="00CE2818" w:rsidRPr="00CE2818" w14:paraId="6D3BE8EF" w14:textId="77777777" w:rsidTr="00CE2818">
        <w:trPr>
          <w:trHeight w:val="964"/>
        </w:trPr>
        <w:tc>
          <w:tcPr>
            <w:cnfStyle w:val="001000000000" w:firstRow="0" w:lastRow="0" w:firstColumn="1" w:lastColumn="0" w:oddVBand="0" w:evenVBand="0" w:oddHBand="0" w:evenHBand="0" w:firstRowFirstColumn="0" w:firstRowLastColumn="0" w:lastRowFirstColumn="0" w:lastRowLastColumn="0"/>
            <w:tcW w:w="960" w:type="dxa"/>
            <w:noWrap/>
            <w:hideMark/>
          </w:tcPr>
          <w:p w14:paraId="6FCA5304"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NL</w:t>
            </w:r>
          </w:p>
        </w:tc>
        <w:tc>
          <w:tcPr>
            <w:tcW w:w="2320" w:type="dxa"/>
            <w:hideMark/>
          </w:tcPr>
          <w:p w14:paraId="3FDFC647"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Net metering, without initially set eligibility period (planned to be phased out)</w:t>
            </w:r>
          </w:p>
        </w:tc>
        <w:tc>
          <w:tcPr>
            <w:tcW w:w="2320" w:type="dxa"/>
            <w:hideMark/>
          </w:tcPr>
          <w:p w14:paraId="06C65528"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Non-regulated price set by the supplier, ~ 80% of electricity price</w:t>
            </w:r>
          </w:p>
        </w:tc>
        <w:tc>
          <w:tcPr>
            <w:tcW w:w="2320" w:type="dxa"/>
            <w:hideMark/>
          </w:tcPr>
          <w:p w14:paraId="01BD9E53"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Mostly static but can also be variable or dynamic, depending on the supply contract</w:t>
            </w:r>
          </w:p>
        </w:tc>
        <w:tc>
          <w:tcPr>
            <w:tcW w:w="2320" w:type="dxa"/>
            <w:hideMark/>
          </w:tcPr>
          <w:p w14:paraId="626F91DE"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static</w:t>
            </w:r>
            <w:r w:rsidRPr="00CE2818">
              <w:rPr>
                <w:rFonts w:eastAsia="Times New Roman" w:cs="Times New Roman"/>
                <w:kern w:val="0"/>
                <w:sz w:val="18"/>
                <w:szCs w:val="18"/>
                <w:lang w:val="hu-HU" w:eastAsia="hu-HU"/>
                <w14:ligatures w14:val="none"/>
              </w:rPr>
              <w:br/>
              <w:t>D-tariff: static</w:t>
            </w:r>
          </w:p>
        </w:tc>
      </w:tr>
      <w:tr w:rsidR="00CE2818" w:rsidRPr="00CE2818" w14:paraId="12AF5F2C" w14:textId="77777777" w:rsidTr="00CE281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641043"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PL</w:t>
            </w:r>
          </w:p>
        </w:tc>
        <w:tc>
          <w:tcPr>
            <w:tcW w:w="2320" w:type="dxa"/>
            <w:hideMark/>
          </w:tcPr>
          <w:p w14:paraId="4FD0A27F"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Net billing</w:t>
            </w:r>
          </w:p>
        </w:tc>
        <w:tc>
          <w:tcPr>
            <w:tcW w:w="2320" w:type="dxa"/>
            <w:hideMark/>
          </w:tcPr>
          <w:p w14:paraId="11F6B8E8"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Monthly average price until 2024 July, then dynamic hourly market price, VAT levied also on credited amount</w:t>
            </w:r>
          </w:p>
        </w:tc>
        <w:tc>
          <w:tcPr>
            <w:tcW w:w="2320" w:type="dxa"/>
            <w:hideMark/>
          </w:tcPr>
          <w:p w14:paraId="41205CCB"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Static, variable, ToU, dynamic, depending on the supply contract</w:t>
            </w:r>
          </w:p>
        </w:tc>
        <w:tc>
          <w:tcPr>
            <w:tcW w:w="2320" w:type="dxa"/>
            <w:hideMark/>
          </w:tcPr>
          <w:p w14:paraId="1194C0A6"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static</w:t>
            </w:r>
            <w:r w:rsidRPr="00CE2818">
              <w:rPr>
                <w:rFonts w:eastAsia="Times New Roman" w:cs="Times New Roman"/>
                <w:kern w:val="0"/>
                <w:sz w:val="18"/>
                <w:szCs w:val="18"/>
                <w:lang w:val="hu-HU" w:eastAsia="hu-HU"/>
                <w14:ligatures w14:val="none"/>
              </w:rPr>
              <w:br/>
              <w:t>D-tariff: static/ToU</w:t>
            </w:r>
          </w:p>
        </w:tc>
      </w:tr>
      <w:tr w:rsidR="00CE2818" w:rsidRPr="00CE2818" w14:paraId="718B1E87" w14:textId="77777777" w:rsidTr="00CE2818">
        <w:trPr>
          <w:trHeight w:val="964"/>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E2DDAB"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PT</w:t>
            </w:r>
          </w:p>
        </w:tc>
        <w:tc>
          <w:tcPr>
            <w:tcW w:w="2320" w:type="dxa"/>
            <w:hideMark/>
          </w:tcPr>
          <w:p w14:paraId="565EDC49"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Separate metering and billing, 15-minute net metering</w:t>
            </w:r>
          </w:p>
        </w:tc>
        <w:tc>
          <w:tcPr>
            <w:tcW w:w="2320" w:type="dxa"/>
            <w:hideMark/>
          </w:tcPr>
          <w:p w14:paraId="1035BD68"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Depends on contract with buyer (aggregator)</w:t>
            </w:r>
          </w:p>
        </w:tc>
        <w:tc>
          <w:tcPr>
            <w:tcW w:w="2320" w:type="dxa"/>
            <w:hideMark/>
          </w:tcPr>
          <w:p w14:paraId="78AFECEF"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Static, variable, dynamic, ToU, depending on the supply contract, reduced VAT</w:t>
            </w:r>
          </w:p>
        </w:tc>
        <w:tc>
          <w:tcPr>
            <w:tcW w:w="2320" w:type="dxa"/>
            <w:hideMark/>
          </w:tcPr>
          <w:p w14:paraId="102188D5" w14:textId="77777777" w:rsidR="00CE2818" w:rsidRPr="00CE2818" w:rsidRDefault="00CE2818" w:rsidP="00CE281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Static/ToU at both transmission and distribution levels</w:t>
            </w:r>
          </w:p>
        </w:tc>
      </w:tr>
      <w:tr w:rsidR="00CE2818" w:rsidRPr="00CE2818" w14:paraId="65D70165" w14:textId="77777777" w:rsidTr="00CE2818">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960" w:type="dxa"/>
            <w:noWrap/>
            <w:hideMark/>
          </w:tcPr>
          <w:p w14:paraId="011F285E" w14:textId="77777777" w:rsidR="00CE2818" w:rsidRPr="00CE2818" w:rsidRDefault="00CE2818" w:rsidP="00CE2818">
            <w:pPr>
              <w:spacing w:after="0" w:line="240" w:lineRule="auto"/>
              <w:jc w:val="left"/>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SK</w:t>
            </w:r>
          </w:p>
        </w:tc>
        <w:tc>
          <w:tcPr>
            <w:tcW w:w="2320" w:type="dxa"/>
            <w:hideMark/>
          </w:tcPr>
          <w:p w14:paraId="235C536D"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No specific scheme, market contracts</w:t>
            </w:r>
          </w:p>
        </w:tc>
        <w:tc>
          <w:tcPr>
            <w:tcW w:w="2320" w:type="dxa"/>
            <w:hideMark/>
          </w:tcPr>
          <w:p w14:paraId="27F935B2"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Depends on the supply contract, mostly virtual storage service. No compensation for surplus</w:t>
            </w:r>
          </w:p>
        </w:tc>
        <w:tc>
          <w:tcPr>
            <w:tcW w:w="2320" w:type="dxa"/>
            <w:hideMark/>
          </w:tcPr>
          <w:p w14:paraId="1E8DBC61"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Static</w:t>
            </w:r>
          </w:p>
        </w:tc>
        <w:tc>
          <w:tcPr>
            <w:tcW w:w="2320" w:type="dxa"/>
            <w:hideMark/>
          </w:tcPr>
          <w:p w14:paraId="3E8094BE" w14:textId="77777777" w:rsidR="00CE2818" w:rsidRPr="00CE2818" w:rsidRDefault="00CE2818" w:rsidP="00CE281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18"/>
                <w:szCs w:val="18"/>
                <w:lang w:val="hu-HU" w:eastAsia="hu-HU"/>
                <w14:ligatures w14:val="none"/>
              </w:rPr>
            </w:pPr>
            <w:r w:rsidRPr="00CE2818">
              <w:rPr>
                <w:rFonts w:eastAsia="Times New Roman" w:cs="Times New Roman"/>
                <w:kern w:val="0"/>
                <w:sz w:val="18"/>
                <w:szCs w:val="18"/>
                <w:lang w:val="hu-HU" w:eastAsia="hu-HU"/>
                <w14:ligatures w14:val="none"/>
              </w:rPr>
              <w:t>T-tariff: static</w:t>
            </w:r>
            <w:r w:rsidRPr="00CE2818">
              <w:rPr>
                <w:rFonts w:eastAsia="Times New Roman" w:cs="Times New Roman"/>
                <w:kern w:val="0"/>
                <w:sz w:val="18"/>
                <w:szCs w:val="18"/>
                <w:lang w:val="hu-HU" w:eastAsia="hu-HU"/>
                <w14:ligatures w14:val="none"/>
              </w:rPr>
              <w:br/>
              <w:t>D-tariff: static/ToU</w:t>
            </w:r>
          </w:p>
        </w:tc>
      </w:tr>
    </w:tbl>
    <w:p w14:paraId="4B616D24" w14:textId="77777777" w:rsidR="002A3E75" w:rsidRDefault="002A3E75" w:rsidP="00D84FA5">
      <w:pPr>
        <w:rPr>
          <w:b/>
          <w:bCs/>
        </w:rPr>
      </w:pPr>
    </w:p>
    <w:p w14:paraId="6CB1097E" w14:textId="66B40766" w:rsidR="001E0E75" w:rsidRDefault="001E0E75" w:rsidP="001E0E75">
      <w:pPr>
        <w:pStyle w:val="Heading2"/>
      </w:pPr>
      <w:r>
        <w:t>C.</w:t>
      </w:r>
      <w:r w:rsidR="00BD3507">
        <w:t>3</w:t>
      </w:r>
      <w:r>
        <w:t xml:space="preserve"> Time-of-use tariffs in Europe</w:t>
      </w:r>
    </w:p>
    <w:p w14:paraId="3C20BCA4" w14:textId="3A62F84E" w:rsidR="001E0E75" w:rsidRDefault="001E0E75" w:rsidP="001E0E75">
      <w:r>
        <w:t xml:space="preserve">Time-of-use (ToU) network tariffs are widely used in Europe to encourage consumers to shift electricity consumption away from peak demand periods through differentiated network charges. </w:t>
      </w:r>
      <w:r>
        <w:lastRenderedPageBreak/>
        <w:t>Higher tariffs are applied during periods of high network utilisation, while lower tariffs apply during off-peak periods, helping reduce congestion and postpone costly grid investments. Static ToU tariffs, with predefined peak and off-peak periods, are the dominant approach, particularly at the distribution level, where they are implemented in 21 out of 28 European countries, and 18 out of the 25 countries analysed in the current study, as shown in Table C.</w:t>
      </w:r>
      <w:r w:rsidR="00237337">
        <w:t>3</w:t>
      </w:r>
      <w:r>
        <w:t>. In contrast, dynamic ToU tariffs, which adjust prices closer to real time, remain less common [</w:t>
      </w:r>
      <w:r w:rsidR="00BD3507">
        <w:t>9</w:t>
      </w:r>
      <w:r>
        <w:t>].</w:t>
      </w:r>
    </w:p>
    <w:p w14:paraId="2200566A" w14:textId="0A3BC2CE" w:rsidR="00313C85" w:rsidRDefault="001E0E75" w:rsidP="001E0E75">
      <w:r>
        <w:t>Recent developments show a gradual transition toward more granular and flexible tariff structures in several European countries, including Belgium, Germany, the Netherlands, and Slovenia. ToU tariffs typically vary by time of day, weekday or weekend, and season, with winter months often associated with higher charges due to seasonal peaks in electricity demand. However, the effectiveness of ToU tariffs remains uncertain in many countries, as limited impact assessments and metering constraints continue to restrict their broader implementation and evaluation [</w:t>
      </w:r>
      <w:r w:rsidR="00BD3507">
        <w:t>9</w:t>
      </w:r>
      <w:r>
        <w:t>].</w:t>
      </w:r>
    </w:p>
    <w:p w14:paraId="7E1EF326" w14:textId="6A3E4D9C" w:rsidR="002A3E75" w:rsidRPr="002A3E75" w:rsidRDefault="002A3E75" w:rsidP="002A3E75">
      <w:pPr>
        <w:pStyle w:val="Caption"/>
        <w:keepNext/>
        <w:spacing w:after="120"/>
      </w:pPr>
      <w:r>
        <w:t>Table C.</w:t>
      </w:r>
      <w:r w:rsidR="00237337">
        <w:t>3</w:t>
      </w:r>
      <w:r>
        <w:t xml:space="preserve"> </w:t>
      </w:r>
      <w:r w:rsidRPr="002A3E75">
        <w:t>Tariff basis embedding the time-of-use signal</w:t>
      </w:r>
      <w:r w:rsidR="000A5725">
        <w:t xml:space="preserve"> for distributional level</w:t>
      </w:r>
      <w:r>
        <w:t xml:space="preserve">, source: </w:t>
      </w:r>
      <w:r>
        <w:rPr>
          <w:lang w:val="en-US"/>
        </w:rPr>
        <w:t>[</w:t>
      </w:r>
      <w:r w:rsidR="00BD3507">
        <w:rPr>
          <w:lang w:val="en-US"/>
        </w:rPr>
        <w:t>9</w:t>
      </w:r>
      <w:r>
        <w:rPr>
          <w:lang w:val="en-US"/>
        </w:rPr>
        <w:t>]</w:t>
      </w:r>
    </w:p>
    <w:tbl>
      <w:tblPr>
        <w:tblStyle w:val="PlainTable3"/>
        <w:tblW w:w="9404" w:type="dxa"/>
        <w:tblLayout w:type="fixed"/>
        <w:tblLook w:val="04A0" w:firstRow="1" w:lastRow="0" w:firstColumn="1" w:lastColumn="0" w:noHBand="0" w:noVBand="1"/>
      </w:tblPr>
      <w:tblGrid>
        <w:gridCol w:w="90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2A3E75" w:rsidRPr="002A3E75" w14:paraId="718E7192" w14:textId="77777777" w:rsidTr="002A3E75">
        <w:trPr>
          <w:cnfStyle w:val="100000000000" w:firstRow="1" w:lastRow="0" w:firstColumn="0" w:lastColumn="0" w:oddVBand="0" w:evenVBand="0" w:oddHBand="0" w:evenHBand="0" w:firstRowFirstColumn="0" w:firstRowLastColumn="0" w:lastRowFirstColumn="0" w:lastRowLastColumn="0"/>
          <w:trHeight w:val="1276"/>
        </w:trPr>
        <w:tc>
          <w:tcPr>
            <w:cnfStyle w:val="001000000100" w:firstRow="0" w:lastRow="0" w:firstColumn="1" w:lastColumn="0" w:oddVBand="0" w:evenVBand="0" w:oddHBand="0" w:evenHBand="0" w:firstRowFirstColumn="1" w:firstRowLastColumn="0" w:lastRowFirstColumn="0" w:lastRowLastColumn="0"/>
            <w:tcW w:w="904" w:type="dxa"/>
            <w:noWrap/>
            <w:hideMark/>
          </w:tcPr>
          <w:p w14:paraId="24E99B32" w14:textId="77777777" w:rsidR="002A3E75" w:rsidRPr="002A3E75" w:rsidRDefault="002A3E75" w:rsidP="002A3E75">
            <w:pPr>
              <w:spacing w:after="0" w:line="180" w:lineRule="exact"/>
              <w:jc w:val="left"/>
              <w:rPr>
                <w:rFonts w:ascii="Times New Roman" w:eastAsia="Times New Roman" w:hAnsi="Times New Roman" w:cs="Times New Roman"/>
                <w:color w:val="auto"/>
                <w:kern w:val="0"/>
                <w:sz w:val="18"/>
                <w:szCs w:val="18"/>
                <w:lang w:val="hu-HU" w:eastAsia="hu-HU"/>
                <w14:ligatures w14:val="none"/>
              </w:rPr>
            </w:pPr>
          </w:p>
        </w:tc>
        <w:tc>
          <w:tcPr>
            <w:tcW w:w="340" w:type="dxa"/>
            <w:noWrap/>
            <w:textDirection w:val="btLr"/>
            <w:vAlign w:val="center"/>
            <w:hideMark/>
          </w:tcPr>
          <w:p w14:paraId="30F38669"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Austria</w:t>
            </w:r>
          </w:p>
        </w:tc>
        <w:tc>
          <w:tcPr>
            <w:tcW w:w="340" w:type="dxa"/>
            <w:noWrap/>
            <w:textDirection w:val="btLr"/>
            <w:vAlign w:val="center"/>
            <w:hideMark/>
          </w:tcPr>
          <w:p w14:paraId="09783B4C"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Belgium</w:t>
            </w:r>
          </w:p>
        </w:tc>
        <w:tc>
          <w:tcPr>
            <w:tcW w:w="340" w:type="dxa"/>
            <w:noWrap/>
            <w:textDirection w:val="btLr"/>
            <w:vAlign w:val="center"/>
            <w:hideMark/>
          </w:tcPr>
          <w:p w14:paraId="64877B38"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Bulgaria</w:t>
            </w:r>
          </w:p>
        </w:tc>
        <w:tc>
          <w:tcPr>
            <w:tcW w:w="340" w:type="dxa"/>
            <w:noWrap/>
            <w:textDirection w:val="btLr"/>
            <w:vAlign w:val="center"/>
            <w:hideMark/>
          </w:tcPr>
          <w:p w14:paraId="3C8EFE6B"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Croatia</w:t>
            </w:r>
          </w:p>
        </w:tc>
        <w:tc>
          <w:tcPr>
            <w:tcW w:w="340" w:type="dxa"/>
            <w:noWrap/>
            <w:textDirection w:val="btLr"/>
            <w:vAlign w:val="center"/>
            <w:hideMark/>
          </w:tcPr>
          <w:p w14:paraId="54C31800"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Czechia</w:t>
            </w:r>
          </w:p>
        </w:tc>
        <w:tc>
          <w:tcPr>
            <w:tcW w:w="340" w:type="dxa"/>
            <w:noWrap/>
            <w:textDirection w:val="btLr"/>
            <w:vAlign w:val="center"/>
            <w:hideMark/>
          </w:tcPr>
          <w:p w14:paraId="5B7C9CA1"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Denmark</w:t>
            </w:r>
          </w:p>
        </w:tc>
        <w:tc>
          <w:tcPr>
            <w:tcW w:w="340" w:type="dxa"/>
            <w:noWrap/>
            <w:textDirection w:val="btLr"/>
            <w:vAlign w:val="center"/>
            <w:hideMark/>
          </w:tcPr>
          <w:p w14:paraId="5691A427"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Estonia</w:t>
            </w:r>
          </w:p>
        </w:tc>
        <w:tc>
          <w:tcPr>
            <w:tcW w:w="340" w:type="dxa"/>
            <w:noWrap/>
            <w:textDirection w:val="btLr"/>
            <w:vAlign w:val="center"/>
            <w:hideMark/>
          </w:tcPr>
          <w:p w14:paraId="2C5359F0"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Finland</w:t>
            </w:r>
          </w:p>
        </w:tc>
        <w:tc>
          <w:tcPr>
            <w:tcW w:w="340" w:type="dxa"/>
            <w:noWrap/>
            <w:textDirection w:val="btLr"/>
            <w:vAlign w:val="center"/>
            <w:hideMark/>
          </w:tcPr>
          <w:p w14:paraId="14AE2A00"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France</w:t>
            </w:r>
          </w:p>
        </w:tc>
        <w:tc>
          <w:tcPr>
            <w:tcW w:w="340" w:type="dxa"/>
            <w:noWrap/>
            <w:textDirection w:val="btLr"/>
            <w:vAlign w:val="center"/>
            <w:hideMark/>
          </w:tcPr>
          <w:p w14:paraId="788E055B"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Germany</w:t>
            </w:r>
          </w:p>
        </w:tc>
        <w:tc>
          <w:tcPr>
            <w:tcW w:w="340" w:type="dxa"/>
            <w:noWrap/>
            <w:textDirection w:val="btLr"/>
            <w:vAlign w:val="center"/>
            <w:hideMark/>
          </w:tcPr>
          <w:p w14:paraId="7B707F92"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Greece</w:t>
            </w:r>
          </w:p>
        </w:tc>
        <w:tc>
          <w:tcPr>
            <w:tcW w:w="340" w:type="dxa"/>
            <w:noWrap/>
            <w:textDirection w:val="btLr"/>
            <w:vAlign w:val="center"/>
            <w:hideMark/>
          </w:tcPr>
          <w:p w14:paraId="25DB0CA3"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Hungary</w:t>
            </w:r>
          </w:p>
        </w:tc>
        <w:tc>
          <w:tcPr>
            <w:tcW w:w="340" w:type="dxa"/>
            <w:noWrap/>
            <w:textDirection w:val="btLr"/>
            <w:vAlign w:val="center"/>
            <w:hideMark/>
          </w:tcPr>
          <w:p w14:paraId="5F8081C9"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Ireland</w:t>
            </w:r>
          </w:p>
        </w:tc>
        <w:tc>
          <w:tcPr>
            <w:tcW w:w="340" w:type="dxa"/>
            <w:noWrap/>
            <w:textDirection w:val="btLr"/>
            <w:vAlign w:val="center"/>
            <w:hideMark/>
          </w:tcPr>
          <w:p w14:paraId="5FFFDB2D"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Italy</w:t>
            </w:r>
          </w:p>
        </w:tc>
        <w:tc>
          <w:tcPr>
            <w:tcW w:w="340" w:type="dxa"/>
            <w:noWrap/>
            <w:textDirection w:val="btLr"/>
            <w:vAlign w:val="center"/>
            <w:hideMark/>
          </w:tcPr>
          <w:p w14:paraId="75884169"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Latvia</w:t>
            </w:r>
          </w:p>
        </w:tc>
        <w:tc>
          <w:tcPr>
            <w:tcW w:w="340" w:type="dxa"/>
            <w:noWrap/>
            <w:textDirection w:val="btLr"/>
            <w:vAlign w:val="center"/>
            <w:hideMark/>
          </w:tcPr>
          <w:p w14:paraId="074240D9"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Lithuania</w:t>
            </w:r>
          </w:p>
        </w:tc>
        <w:tc>
          <w:tcPr>
            <w:tcW w:w="340" w:type="dxa"/>
            <w:noWrap/>
            <w:textDirection w:val="btLr"/>
            <w:vAlign w:val="center"/>
            <w:hideMark/>
          </w:tcPr>
          <w:p w14:paraId="13BE874C"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Luxembourg</w:t>
            </w:r>
          </w:p>
        </w:tc>
        <w:tc>
          <w:tcPr>
            <w:tcW w:w="340" w:type="dxa"/>
            <w:noWrap/>
            <w:textDirection w:val="btLr"/>
            <w:vAlign w:val="center"/>
            <w:hideMark/>
          </w:tcPr>
          <w:p w14:paraId="0F592682"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Netherlands</w:t>
            </w:r>
          </w:p>
        </w:tc>
        <w:tc>
          <w:tcPr>
            <w:tcW w:w="340" w:type="dxa"/>
            <w:noWrap/>
            <w:textDirection w:val="btLr"/>
            <w:vAlign w:val="center"/>
            <w:hideMark/>
          </w:tcPr>
          <w:p w14:paraId="6A271008"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Poland</w:t>
            </w:r>
          </w:p>
        </w:tc>
        <w:tc>
          <w:tcPr>
            <w:tcW w:w="340" w:type="dxa"/>
            <w:noWrap/>
            <w:textDirection w:val="btLr"/>
            <w:vAlign w:val="center"/>
            <w:hideMark/>
          </w:tcPr>
          <w:p w14:paraId="779EF5B1"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Portugal</w:t>
            </w:r>
          </w:p>
        </w:tc>
        <w:tc>
          <w:tcPr>
            <w:tcW w:w="340" w:type="dxa"/>
            <w:noWrap/>
            <w:textDirection w:val="btLr"/>
            <w:vAlign w:val="center"/>
            <w:hideMark/>
          </w:tcPr>
          <w:p w14:paraId="284491FF"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Romania</w:t>
            </w:r>
          </w:p>
        </w:tc>
        <w:tc>
          <w:tcPr>
            <w:tcW w:w="340" w:type="dxa"/>
            <w:noWrap/>
            <w:textDirection w:val="btLr"/>
            <w:vAlign w:val="center"/>
            <w:hideMark/>
          </w:tcPr>
          <w:p w14:paraId="69A19F81"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Slovakia</w:t>
            </w:r>
          </w:p>
        </w:tc>
        <w:tc>
          <w:tcPr>
            <w:tcW w:w="340" w:type="dxa"/>
            <w:noWrap/>
            <w:textDirection w:val="btLr"/>
            <w:vAlign w:val="center"/>
            <w:hideMark/>
          </w:tcPr>
          <w:p w14:paraId="7870F6B8"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Slovenia</w:t>
            </w:r>
          </w:p>
        </w:tc>
        <w:tc>
          <w:tcPr>
            <w:tcW w:w="340" w:type="dxa"/>
            <w:noWrap/>
            <w:textDirection w:val="btLr"/>
            <w:vAlign w:val="center"/>
            <w:hideMark/>
          </w:tcPr>
          <w:p w14:paraId="20B5EF66"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Spain</w:t>
            </w:r>
          </w:p>
        </w:tc>
        <w:tc>
          <w:tcPr>
            <w:tcW w:w="340" w:type="dxa"/>
            <w:noWrap/>
            <w:textDirection w:val="btLr"/>
            <w:vAlign w:val="center"/>
            <w:hideMark/>
          </w:tcPr>
          <w:p w14:paraId="7EADEDF3" w14:textId="77777777" w:rsidR="002A3E75" w:rsidRPr="002A3E75" w:rsidRDefault="002A3E75" w:rsidP="001E0E75">
            <w:pPr>
              <w:spacing w:after="0" w:line="180" w:lineRule="exact"/>
              <w:ind w:left="57"/>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Sweden</w:t>
            </w:r>
          </w:p>
        </w:tc>
      </w:tr>
      <w:tr w:rsidR="002A3E75" w:rsidRPr="002A3E75" w14:paraId="230B74CF" w14:textId="77777777" w:rsidTr="002A3E7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4" w:type="dxa"/>
            <w:noWrap/>
            <w:hideMark/>
          </w:tcPr>
          <w:p w14:paraId="00A7D645" w14:textId="77777777" w:rsidR="002A3E75" w:rsidRPr="002A3E75" w:rsidRDefault="002A3E75" w:rsidP="002A3E75">
            <w:pPr>
              <w:spacing w:after="0" w:line="240" w:lineRule="exact"/>
              <w:jc w:val="left"/>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Energy (€/MWh)</w:t>
            </w:r>
          </w:p>
        </w:tc>
        <w:tc>
          <w:tcPr>
            <w:tcW w:w="340" w:type="dxa"/>
            <w:noWrap/>
            <w:vAlign w:val="center"/>
            <w:hideMark/>
          </w:tcPr>
          <w:p w14:paraId="41D3BBA8"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72D2E469"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1F918748"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2CFFA7CE"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66D54AB9"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1FA08096"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6B71CB1D"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078A0276"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548D2422"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45B02031"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10CFCA9A"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0E9C1E69"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164758EC"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4A2B00BE"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6EC85CE6"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17A0E8A1"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130932BF"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62EC7D16"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25879B92"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5E67FD10"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56644486"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5FA5B03B"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7266A252"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666E0A4A"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268DA54E" w14:textId="77777777" w:rsidR="002A3E75" w:rsidRPr="002A3E75" w:rsidRDefault="002A3E75" w:rsidP="002A3E75">
            <w:pPr>
              <w:spacing w:after="0" w:line="240" w:lineRule="exact"/>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r>
      <w:tr w:rsidR="002A3E75" w:rsidRPr="002A3E75" w14:paraId="39BB70C0" w14:textId="77777777" w:rsidTr="002A3E75">
        <w:trPr>
          <w:trHeight w:val="20"/>
        </w:trPr>
        <w:tc>
          <w:tcPr>
            <w:cnfStyle w:val="001000000000" w:firstRow="0" w:lastRow="0" w:firstColumn="1" w:lastColumn="0" w:oddVBand="0" w:evenVBand="0" w:oddHBand="0" w:evenHBand="0" w:firstRowFirstColumn="0" w:firstRowLastColumn="0" w:lastRowFirstColumn="0" w:lastRowLastColumn="0"/>
            <w:tcW w:w="904" w:type="dxa"/>
            <w:noWrap/>
            <w:hideMark/>
          </w:tcPr>
          <w:p w14:paraId="098CEA04" w14:textId="77777777" w:rsidR="002A3E75" w:rsidRPr="002A3E75" w:rsidRDefault="002A3E75" w:rsidP="002A3E75">
            <w:pPr>
              <w:spacing w:after="0" w:line="240" w:lineRule="exact"/>
              <w:jc w:val="left"/>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Power (€/MW)</w:t>
            </w:r>
          </w:p>
        </w:tc>
        <w:tc>
          <w:tcPr>
            <w:tcW w:w="340" w:type="dxa"/>
            <w:noWrap/>
            <w:vAlign w:val="center"/>
            <w:hideMark/>
          </w:tcPr>
          <w:p w14:paraId="7DFA537F"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07622A3F"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5BFB7725"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5916B27D"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56CA3C67"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277C10D7"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5D9EBE47"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2DF69025"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6704B9ED"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3B5D94CF"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1022AFA1"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1DB87295"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48106F5B"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398CDCDC"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6C01C5DA"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1B10258C"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557D2E52"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3E66DE0D"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0B615F89"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18"/>
                <w:szCs w:val="18"/>
                <w:lang w:val="hu-HU" w:eastAsia="hu-HU"/>
                <w14:ligatures w14:val="none"/>
              </w:rPr>
            </w:pPr>
          </w:p>
        </w:tc>
        <w:tc>
          <w:tcPr>
            <w:tcW w:w="340" w:type="dxa"/>
            <w:noWrap/>
            <w:vAlign w:val="center"/>
            <w:hideMark/>
          </w:tcPr>
          <w:p w14:paraId="319AB0D6"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167EBFB6"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p>
        </w:tc>
        <w:tc>
          <w:tcPr>
            <w:tcW w:w="340" w:type="dxa"/>
            <w:noWrap/>
            <w:vAlign w:val="center"/>
            <w:hideMark/>
          </w:tcPr>
          <w:p w14:paraId="178D64EA"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2665168A"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0F1E6216"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c>
          <w:tcPr>
            <w:tcW w:w="340" w:type="dxa"/>
            <w:noWrap/>
            <w:vAlign w:val="center"/>
            <w:hideMark/>
          </w:tcPr>
          <w:p w14:paraId="1BA59114" w14:textId="77777777" w:rsidR="002A3E75" w:rsidRPr="002A3E75" w:rsidRDefault="002A3E75" w:rsidP="002A3E75">
            <w:pPr>
              <w:spacing w:after="0" w:line="240" w:lineRule="exact"/>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kern w:val="0"/>
                <w:sz w:val="18"/>
                <w:szCs w:val="18"/>
                <w:lang w:val="hu-HU" w:eastAsia="hu-HU"/>
                <w14:ligatures w14:val="none"/>
              </w:rPr>
            </w:pPr>
            <w:r w:rsidRPr="002A3E75">
              <w:rPr>
                <w:rFonts w:ascii="Aptos Narrow" w:eastAsia="Times New Roman" w:hAnsi="Aptos Narrow" w:cs="Times New Roman"/>
                <w:kern w:val="0"/>
                <w:sz w:val="18"/>
                <w:szCs w:val="18"/>
                <w:lang w:val="hu-HU" w:eastAsia="hu-HU"/>
                <w14:ligatures w14:val="none"/>
              </w:rPr>
              <w:t>X</w:t>
            </w:r>
          </w:p>
        </w:tc>
      </w:tr>
    </w:tbl>
    <w:p w14:paraId="1461168A" w14:textId="77777777" w:rsidR="002A3E75" w:rsidRDefault="002A3E75" w:rsidP="00D84FA5">
      <w:pPr>
        <w:rPr>
          <w:b/>
          <w:bCs/>
        </w:rPr>
      </w:pPr>
    </w:p>
    <w:p w14:paraId="0A3AB467" w14:textId="73A4CD33" w:rsidR="00D84FA5" w:rsidRPr="00E31DA5" w:rsidRDefault="00D84FA5" w:rsidP="00D84FA5">
      <w:pPr>
        <w:rPr>
          <w:b/>
          <w:bCs/>
        </w:rPr>
      </w:pPr>
      <w:r w:rsidRPr="00E31DA5">
        <w:rPr>
          <w:b/>
          <w:bCs/>
        </w:rPr>
        <w:t>References</w:t>
      </w:r>
    </w:p>
    <w:p w14:paraId="586ED67C" w14:textId="77777777" w:rsidR="004E2DBE" w:rsidRDefault="004E2DBE" w:rsidP="002D1130">
      <w:pPr>
        <w:pStyle w:val="Bibliography"/>
        <w:spacing w:after="120"/>
        <w:ind w:left="386" w:hanging="386"/>
      </w:pPr>
      <w:r>
        <w:t>[1]</w:t>
      </w:r>
      <w:r w:rsidRPr="00F11AF7">
        <w:tab/>
        <w:t xml:space="preserve">M. Castaneda, S. Zapata, J. Cherni, A. J. Aristizabal, and I. Dyner, ‘The long-term effects of cautious feed-in tariff reductions on photovoltaic generation in the UK residential sector’, </w:t>
      </w:r>
      <w:r w:rsidRPr="00F11AF7">
        <w:rPr>
          <w:i/>
          <w:iCs/>
        </w:rPr>
        <w:t>Renew. Energy</w:t>
      </w:r>
      <w:r w:rsidRPr="00F11AF7">
        <w:t>, vol. 155, pp. 1432–1443, Aug. 2020, doi: 10.1016/j.renene.2020.04.051.</w:t>
      </w:r>
    </w:p>
    <w:p w14:paraId="468093E6" w14:textId="77777777" w:rsidR="004E2DBE" w:rsidRDefault="004E2DBE" w:rsidP="002D1130">
      <w:pPr>
        <w:pStyle w:val="Bibliography"/>
        <w:spacing w:after="120"/>
        <w:ind w:left="386" w:hanging="386"/>
      </w:pPr>
      <w:r>
        <w:t>[</w:t>
      </w:r>
      <w:r>
        <w:t>2</w:t>
      </w:r>
      <w:r>
        <w:t>]</w:t>
      </w:r>
      <w:r w:rsidRPr="00F11AF7">
        <w:tab/>
        <w:t xml:space="preserve">D. Fett, C. Fraunholz, and D. Keles, ‘Diffusion and system impact of residential battery storage under different regulatory settings’, </w:t>
      </w:r>
      <w:r w:rsidRPr="00F11AF7">
        <w:rPr>
          <w:i/>
          <w:iCs/>
        </w:rPr>
        <w:t>Energy Policy</w:t>
      </w:r>
      <w:r w:rsidRPr="00F11AF7">
        <w:t>, vol. 158, p. 112543, Nov. 2021, doi: 10.1016/j.enpol.2021.112543.</w:t>
      </w:r>
    </w:p>
    <w:p w14:paraId="4CA738DF" w14:textId="77777777" w:rsidR="004E2DBE" w:rsidRDefault="004E2DBE" w:rsidP="002D1130">
      <w:pPr>
        <w:pStyle w:val="Bibliography"/>
        <w:spacing w:after="120"/>
        <w:ind w:left="386" w:hanging="386"/>
      </w:pPr>
      <w:r>
        <w:t>[3]</w:t>
      </w:r>
      <w:r>
        <w:tab/>
      </w:r>
      <w:r w:rsidRPr="00F11AF7">
        <w:t xml:space="preserve">Á. D. Hartvig, ‘Trade-offs in feed-in tariff scenarios for incentivizing clean technologies in Central and Eastern Europe’, </w:t>
      </w:r>
      <w:r w:rsidRPr="00F11AF7">
        <w:rPr>
          <w:i/>
          <w:iCs/>
        </w:rPr>
        <w:t>Sol. Energy</w:t>
      </w:r>
      <w:r w:rsidRPr="00F11AF7">
        <w:t>, vol. 294, p. 113499, Jul. 2025, doi: 10.1016/j.solener.2025.113499.</w:t>
      </w:r>
    </w:p>
    <w:p w14:paraId="40A2FD84" w14:textId="77777777" w:rsidR="004E2DBE" w:rsidRDefault="004E2DBE" w:rsidP="002D1130">
      <w:pPr>
        <w:pStyle w:val="Bibliography"/>
        <w:spacing w:after="120"/>
        <w:ind w:left="386" w:hanging="386"/>
      </w:pPr>
      <w:r>
        <w:t>[4]</w:t>
      </w:r>
      <w:r>
        <w:tab/>
      </w:r>
      <w:r w:rsidRPr="004E2DBE">
        <w:t xml:space="preserve">Á. D. Hartvig and L. Szabó, ‘Regional residential battery storage diffusion pathways in Hungary’, </w:t>
      </w:r>
      <w:r w:rsidRPr="004E2DBE">
        <w:rPr>
          <w:i/>
          <w:iCs/>
        </w:rPr>
        <w:t>Reg. Stat</w:t>
      </w:r>
      <w:r w:rsidRPr="004E2DBE">
        <w:t>., vol. 15, no. 2, pp. 234–257, 2025, doi: 10.15196/RS150203.</w:t>
      </w:r>
    </w:p>
    <w:p w14:paraId="252F1F81" w14:textId="5DEC6100" w:rsidR="004E2DBE" w:rsidRDefault="004E2DBE" w:rsidP="002D1130">
      <w:pPr>
        <w:pStyle w:val="Bibliography"/>
        <w:spacing w:after="120"/>
        <w:ind w:left="386" w:hanging="386"/>
      </w:pPr>
      <w:r>
        <w:t>[5]</w:t>
      </w:r>
      <w:r>
        <w:tab/>
      </w:r>
      <w:r w:rsidRPr="00F11AF7">
        <w:t xml:space="preserve">A.-L. Klingler, ‘Self-consumption with PV + Battery systems: A market diffusion model considering individual consumer behaviour and preferences’, </w:t>
      </w:r>
      <w:r w:rsidRPr="00F11AF7">
        <w:rPr>
          <w:i/>
          <w:iCs/>
        </w:rPr>
        <w:t>Appl. Energy</w:t>
      </w:r>
      <w:r w:rsidRPr="00F11AF7">
        <w:t>, vol. 205, pp. 1560–1570, Nov. 2017, doi: 10.1016/j.apenergy.2017.08.159.</w:t>
      </w:r>
    </w:p>
    <w:p w14:paraId="192C2288" w14:textId="77777777" w:rsidR="004E2DBE" w:rsidRDefault="004E2DBE" w:rsidP="002D1130">
      <w:pPr>
        <w:pStyle w:val="Bibliography"/>
        <w:spacing w:after="120"/>
        <w:ind w:left="386" w:hanging="386"/>
      </w:pPr>
      <w:r>
        <w:t>[6]</w:t>
      </w:r>
      <w:r>
        <w:tab/>
      </w:r>
      <w:r w:rsidRPr="00F11AF7">
        <w:t xml:space="preserve">A.-L. Klingler, S. Schreiber, and A. Louwen, ‘Stationary batteries in the EU countries, Norway and Switzerland: Market shares and system benefits in a decentralized world’, in </w:t>
      </w:r>
      <w:r w:rsidRPr="00F11AF7">
        <w:rPr>
          <w:i/>
          <w:iCs/>
        </w:rPr>
        <w:t>2019 16th International Conference on the European Energy Market (EEM)</w:t>
      </w:r>
      <w:r w:rsidRPr="00F11AF7">
        <w:t>, Ljubljana, Slovenia: IEEE, Sep. 2019, pp. 1–5. doi: 10.1109/EEM.2019.8916537.</w:t>
      </w:r>
    </w:p>
    <w:p w14:paraId="7138BCD5" w14:textId="0E3BC4AC" w:rsidR="004E2DBE" w:rsidRPr="004E2DBE" w:rsidRDefault="004E2DBE" w:rsidP="002D1130">
      <w:pPr>
        <w:pStyle w:val="Bibliography"/>
        <w:spacing w:after="120"/>
        <w:ind w:left="386" w:hanging="386"/>
      </w:pPr>
      <w:r>
        <w:lastRenderedPageBreak/>
        <w:t>[7]</w:t>
      </w:r>
      <w:r>
        <w:tab/>
      </w:r>
      <w:r w:rsidRPr="00F11AF7">
        <w:t xml:space="preserve">M. Schwarz, J. Ossenbrink, C. Knoeri, and V. H. Hoffmann, ‘Addressing integration challenges of high shares of residential solar photovoltaics with battery storage and smart policy designs’, </w:t>
      </w:r>
      <w:r w:rsidRPr="00F11AF7">
        <w:rPr>
          <w:i/>
          <w:iCs/>
        </w:rPr>
        <w:t>Environ. Res. Lett.</w:t>
      </w:r>
      <w:r w:rsidRPr="00F11AF7">
        <w:t>, vol. 14, no. 7, p. 074002, Jul. 2019, doi: 10.1088/1748-9326/aaf934.</w:t>
      </w:r>
    </w:p>
    <w:p w14:paraId="23FAA3E6" w14:textId="6CD666B0" w:rsidR="00D84FA5" w:rsidRDefault="00D84FA5" w:rsidP="002D1130">
      <w:pPr>
        <w:pStyle w:val="Bibliography"/>
        <w:spacing w:after="120"/>
        <w:ind w:left="386" w:hanging="386"/>
      </w:pPr>
      <w:r w:rsidRPr="00975B76">
        <w:t>[</w:t>
      </w:r>
      <w:r w:rsidR="00BD3507">
        <w:t>8</w:t>
      </w:r>
      <w:r w:rsidRPr="00975B76">
        <w:t>]</w:t>
      </w:r>
      <w:r w:rsidRPr="00975B76">
        <w:tab/>
      </w:r>
      <w:r w:rsidRPr="00D84FA5">
        <w:t>Varga, M. Bartek-Lesi, A. Diallo, and B. Dzsi, ‘The changing regulatory landscape of household self-consumption’, REKK, Budapest, 2024. [Online]. Available: https://rekk.hu/downloads/events/ECF%20Self-consumption%20study%20REKK_final.pdf</w:t>
      </w:r>
    </w:p>
    <w:p w14:paraId="3818C745" w14:textId="64491A99" w:rsidR="000A5725" w:rsidRDefault="000A5725" w:rsidP="002D1130">
      <w:pPr>
        <w:pStyle w:val="Bibliography"/>
        <w:spacing w:after="120"/>
        <w:ind w:left="386" w:hanging="386"/>
      </w:pPr>
      <w:r w:rsidRPr="00975B76">
        <w:t>[</w:t>
      </w:r>
      <w:r w:rsidR="00BD3507">
        <w:t>9</w:t>
      </w:r>
      <w:r w:rsidRPr="00975B76">
        <w:t>]</w:t>
      </w:r>
      <w:r w:rsidRPr="00975B76">
        <w:tab/>
      </w:r>
      <w:r>
        <w:t>ACER,</w:t>
      </w:r>
      <w:r w:rsidRPr="00D84FA5">
        <w:t xml:space="preserve"> ‘</w:t>
      </w:r>
      <w:r>
        <w:t>Getting the signals right: Electricity network tariff methodologies in Europe</w:t>
      </w:r>
      <w:r w:rsidRPr="00D84FA5">
        <w:t xml:space="preserve">’, </w:t>
      </w:r>
      <w:r>
        <w:t>ACER</w:t>
      </w:r>
      <w:r w:rsidRPr="00D84FA5">
        <w:t xml:space="preserve">, </w:t>
      </w:r>
      <w:r>
        <w:t>Ljubjana</w:t>
      </w:r>
      <w:r w:rsidRPr="00D84FA5">
        <w:t>, 202</w:t>
      </w:r>
      <w:r>
        <w:t>5 March</w:t>
      </w:r>
      <w:r w:rsidRPr="00D84FA5">
        <w:t>. [Online]. Available:</w:t>
      </w:r>
      <w:r w:rsidR="008E5B4D">
        <w:t xml:space="preserve"> </w:t>
      </w:r>
      <w:r w:rsidR="008E5B4D" w:rsidRPr="008E5B4D">
        <w:t>https://www.acer.europa.eu/sites/default/files/documents/Publications/2025-ACER-Electricity-Network-Tariff-Practices.pdf</w:t>
      </w:r>
    </w:p>
    <w:p w14:paraId="57C16A49" w14:textId="77777777" w:rsidR="000A5725" w:rsidRPr="000A5725" w:rsidRDefault="000A5725" w:rsidP="000A5725"/>
    <w:sectPr w:rsidR="000A5725" w:rsidRPr="000A5725" w:rsidSect="00CF03D0">
      <w:pgSz w:w="12240" w:h="15840"/>
      <w:pgMar w:top="1440" w:right="1440" w:bottom="1401"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0EA7D" w14:textId="77777777" w:rsidR="002A4923" w:rsidRDefault="002A4923">
      <w:pPr>
        <w:spacing w:line="240" w:lineRule="auto"/>
      </w:pPr>
      <w:r>
        <w:separator/>
      </w:r>
    </w:p>
  </w:endnote>
  <w:endnote w:type="continuationSeparator" w:id="0">
    <w:p w14:paraId="6714388A" w14:textId="77777777" w:rsidR="002A4923" w:rsidRDefault="002A4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2819" w14:textId="77777777" w:rsidR="00507AAB" w:rsidRDefault="00507A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126698"/>
      <w:docPartObj>
        <w:docPartGallery w:val="Page Numbers (Bottom of Page)"/>
        <w:docPartUnique/>
      </w:docPartObj>
    </w:sdtPr>
    <w:sdtEndPr>
      <w:rPr>
        <w:noProof/>
      </w:rPr>
    </w:sdtEndPr>
    <w:sdtContent>
      <w:p w14:paraId="5A3D632C" w14:textId="594BC3AE" w:rsidR="0030632A" w:rsidRDefault="003063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2B1221" w14:textId="77777777" w:rsidR="0030632A" w:rsidRDefault="003063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918654"/>
      <w:docPartObj>
        <w:docPartGallery w:val="Page Numbers (Bottom of Page)"/>
        <w:docPartUnique/>
      </w:docPartObj>
    </w:sdtPr>
    <w:sdtEndPr>
      <w:rPr>
        <w:noProof/>
      </w:rPr>
    </w:sdtEndPr>
    <w:sdtContent>
      <w:p w14:paraId="5C243493" w14:textId="04A7D9CD" w:rsidR="00381FC9" w:rsidRDefault="00381F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7CE0A6" w14:textId="77777777" w:rsidR="00381FC9" w:rsidRDefault="00381FC9">
    <w:pPr>
      <w:spacing w:after="160"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7ECD" w14:textId="77777777" w:rsidR="002A4923" w:rsidRDefault="002A4923">
      <w:pPr>
        <w:spacing w:after="15" w:line="259" w:lineRule="auto"/>
        <w:ind w:left="222"/>
        <w:jc w:val="left"/>
      </w:pPr>
      <w:r>
        <w:separator/>
      </w:r>
    </w:p>
  </w:footnote>
  <w:footnote w:type="continuationSeparator" w:id="0">
    <w:p w14:paraId="4A42B4FA" w14:textId="77777777" w:rsidR="002A4923" w:rsidRDefault="002A4923">
      <w:pPr>
        <w:spacing w:after="15" w:line="259" w:lineRule="auto"/>
        <w:ind w:left="222"/>
        <w:jc w:val="left"/>
      </w:pPr>
      <w:r>
        <w:continuationSeparator/>
      </w:r>
    </w:p>
  </w:footnote>
  <w:footnote w:id="1">
    <w:p w14:paraId="74D7E084" w14:textId="2077711E" w:rsidR="006A75E6" w:rsidRDefault="006A75E6" w:rsidP="0068047F">
      <w:pPr>
        <w:pStyle w:val="footnotedescription"/>
        <w:spacing w:after="15"/>
        <w:ind w:left="222"/>
      </w:pPr>
      <w:r>
        <w:rPr>
          <w:rStyle w:val="footnotemark"/>
        </w:rPr>
        <w:footnoteRef/>
      </w:r>
      <w:r>
        <w:t xml:space="preserve"> Corvinus University of Budapest, </w:t>
      </w:r>
      <w:r w:rsidRPr="0068047F">
        <w:t>Department of Decision Sciences</w:t>
      </w:r>
      <w:r w:rsidR="006A157A">
        <w:t>,</w:t>
      </w:r>
      <w:r w:rsidR="006A157A" w:rsidRPr="006A157A">
        <w:t xml:space="preserve"> </w:t>
      </w:r>
      <w:r w:rsidR="006A157A">
        <w:t>Fővám square 8., Budapest, 1093, Hungary</w:t>
      </w:r>
      <w:r>
        <w:t>; Cambridge Econometrics</w:t>
      </w:r>
      <w:r w:rsidR="006A157A">
        <w:t>;</w:t>
      </w:r>
      <w:r w:rsidR="00C65EDC">
        <w:t xml:space="preserve"> International Institute for Applied System Analysis (IIASA);</w:t>
      </w:r>
      <w:r>
        <w:t xml:space="preserve"> </w:t>
      </w:r>
      <w:hyperlink r:id="rId1" w:history="1">
        <w:r w:rsidRPr="009C1572">
          <w:rPr>
            <w:rStyle w:val="Hyperlink"/>
          </w:rPr>
          <w:t>aron.hartvig@stud.uni-corvinus.hu</w:t>
        </w:r>
      </w:hyperlink>
      <w:r w:rsidR="006A157A">
        <w:t>;</w:t>
      </w:r>
      <w:r>
        <w:t xml:space="preserve"> </w:t>
      </w:r>
      <w:r w:rsidR="006A157A">
        <w:t xml:space="preserve">ORCID: </w:t>
      </w:r>
      <w:r w:rsidR="006A157A" w:rsidRPr="006A157A">
        <w:t>0000-0001-5827-7174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B4CB" w14:textId="77777777" w:rsidR="00507AAB" w:rsidRDefault="00507A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E926" w14:textId="77777777" w:rsidR="00507AAB" w:rsidRDefault="00507A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5111" w14:textId="77777777" w:rsidR="00507AAB" w:rsidRDefault="00507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0478"/>
    <w:multiLevelType w:val="multilevel"/>
    <w:tmpl w:val="382AF95E"/>
    <w:lvl w:ilvl="0">
      <w:start w:val="1"/>
      <w:numFmt w:val="decimal"/>
      <w:lvlText w:val="%1."/>
      <w:lvlJc w:val="left"/>
      <w:pPr>
        <w:ind w:left="0"/>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90F618B"/>
    <w:multiLevelType w:val="hybridMultilevel"/>
    <w:tmpl w:val="373A0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3767F"/>
    <w:multiLevelType w:val="hybridMultilevel"/>
    <w:tmpl w:val="73284B70"/>
    <w:lvl w:ilvl="0" w:tplc="92229F48">
      <w:start w:val="1"/>
      <w:numFmt w:val="lowerLetter"/>
      <w:lvlText w:val="(%1)"/>
      <w:lvlJc w:val="left"/>
      <w:pPr>
        <w:ind w:left="1710"/>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1" w:tplc="13BC90A8">
      <w:start w:val="1"/>
      <w:numFmt w:val="lowerLetter"/>
      <w:lvlText w:val="%2"/>
      <w:lvlJc w:val="left"/>
      <w:pPr>
        <w:ind w:left="365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2" w:tplc="0BE6D7D2">
      <w:start w:val="1"/>
      <w:numFmt w:val="lowerRoman"/>
      <w:lvlText w:val="%3"/>
      <w:lvlJc w:val="left"/>
      <w:pPr>
        <w:ind w:left="437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3" w:tplc="29E6D162">
      <w:start w:val="1"/>
      <w:numFmt w:val="decimal"/>
      <w:lvlText w:val="%4"/>
      <w:lvlJc w:val="left"/>
      <w:pPr>
        <w:ind w:left="509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4" w:tplc="27A42948">
      <w:start w:val="1"/>
      <w:numFmt w:val="lowerLetter"/>
      <w:lvlText w:val="%5"/>
      <w:lvlJc w:val="left"/>
      <w:pPr>
        <w:ind w:left="581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5" w:tplc="348AEAF8">
      <w:start w:val="1"/>
      <w:numFmt w:val="lowerRoman"/>
      <w:lvlText w:val="%6"/>
      <w:lvlJc w:val="left"/>
      <w:pPr>
        <w:ind w:left="653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6" w:tplc="ECBC7C14">
      <w:start w:val="1"/>
      <w:numFmt w:val="decimal"/>
      <w:lvlText w:val="%7"/>
      <w:lvlJc w:val="left"/>
      <w:pPr>
        <w:ind w:left="725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7" w:tplc="6C06B7B0">
      <w:start w:val="1"/>
      <w:numFmt w:val="lowerLetter"/>
      <w:lvlText w:val="%8"/>
      <w:lvlJc w:val="left"/>
      <w:pPr>
        <w:ind w:left="797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lvl w:ilvl="8" w:tplc="6038CEF8">
      <w:start w:val="1"/>
      <w:numFmt w:val="lowerRoman"/>
      <w:lvlText w:val="%9"/>
      <w:lvlJc w:val="left"/>
      <w:pPr>
        <w:ind w:left="8694"/>
      </w:pPr>
      <w:rPr>
        <w:rFonts w:ascii="Cambria" w:eastAsia="Cambria" w:hAnsi="Cambria" w:cs="Cambria"/>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3614629D"/>
    <w:multiLevelType w:val="hybridMultilevel"/>
    <w:tmpl w:val="E9F4D360"/>
    <w:lvl w:ilvl="0" w:tplc="AA481072">
      <w:start w:val="1"/>
      <w:numFmt w:val="decimal"/>
      <w:lvlText w:val="[%1]"/>
      <w:lvlJc w:val="left"/>
      <w:pPr>
        <w:ind w:left="41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2D98A866">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FF1223CE">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E9AC302E">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9F4A55E4">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820FE6A">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C792D522">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119628CA">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4252B2FE">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6D959EA"/>
    <w:multiLevelType w:val="hybridMultilevel"/>
    <w:tmpl w:val="B2481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534CA0"/>
    <w:multiLevelType w:val="hybridMultilevel"/>
    <w:tmpl w:val="963C0852"/>
    <w:lvl w:ilvl="0" w:tplc="33C68C38">
      <w:start w:val="1"/>
      <w:numFmt w:val="decimal"/>
      <w:lvlText w:val="[%1]"/>
      <w:lvlJc w:val="left"/>
      <w:pPr>
        <w:ind w:left="410" w:firstLine="0"/>
      </w:pPr>
      <w:rPr>
        <w:rFonts w:ascii="Cambria" w:eastAsia="Cambria" w:hAnsi="Cambria" w:cs="Cambria" w:hint="default"/>
        <w:b w:val="0"/>
        <w:i w:val="0"/>
        <w:strike w:val="0"/>
        <w:dstrike w:val="0"/>
        <w:color w:val="000000"/>
        <w:sz w:val="20"/>
        <w:szCs w:val="2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BC0B1F"/>
    <w:multiLevelType w:val="hybridMultilevel"/>
    <w:tmpl w:val="C4B6F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631A3A"/>
    <w:multiLevelType w:val="hybridMultilevel"/>
    <w:tmpl w:val="D7A2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1829F6"/>
    <w:multiLevelType w:val="hybridMultilevel"/>
    <w:tmpl w:val="60EA4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8B7588"/>
    <w:multiLevelType w:val="hybridMultilevel"/>
    <w:tmpl w:val="5DE2239C"/>
    <w:lvl w:ilvl="0" w:tplc="90904F64">
      <w:start w:val="1"/>
      <w:numFmt w:val="decimal"/>
      <w:lvlText w:val="%1."/>
      <w:lvlJc w:val="left"/>
      <w:pPr>
        <w:ind w:left="49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1FE60976">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435A43D8">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3266C5DE">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938F73E">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A8EAA32A">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23B083E0">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9A5C2B6A">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8B406DA">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B3B4E0F"/>
    <w:multiLevelType w:val="hybridMultilevel"/>
    <w:tmpl w:val="8BEA0E20"/>
    <w:lvl w:ilvl="0" w:tplc="EF66C044">
      <w:start w:val="1"/>
      <w:numFmt w:val="decimal"/>
      <w:lvlText w:val="[%1]"/>
      <w:lvlJc w:val="left"/>
      <w:pPr>
        <w:ind w:left="851" w:firstLine="0"/>
      </w:pPr>
      <w:rPr>
        <w:rFonts w:ascii="Cambria" w:eastAsia="Cambria" w:hAnsi="Cambria" w:cs="Cambria" w:hint="default"/>
        <w:b w:val="0"/>
        <w:i w:val="0"/>
        <w:strike w:val="0"/>
        <w:dstrike w:val="0"/>
        <w:color w:val="000000"/>
        <w:sz w:val="20"/>
        <w:szCs w:val="20"/>
        <w:u w:val="none" w:color="000000"/>
        <w:vertAlign w:val="baseline"/>
      </w:rPr>
    </w:lvl>
    <w:lvl w:ilvl="1" w:tplc="FFFFFFFF" w:tentative="1">
      <w:start w:val="1"/>
      <w:numFmt w:val="lowerLetter"/>
      <w:lvlText w:val="%2."/>
      <w:lvlJc w:val="left"/>
      <w:pPr>
        <w:ind w:left="1881" w:hanging="360"/>
      </w:pPr>
    </w:lvl>
    <w:lvl w:ilvl="2" w:tplc="FFFFFFFF" w:tentative="1">
      <w:start w:val="1"/>
      <w:numFmt w:val="lowerRoman"/>
      <w:lvlText w:val="%3."/>
      <w:lvlJc w:val="right"/>
      <w:pPr>
        <w:ind w:left="2601" w:hanging="180"/>
      </w:pPr>
    </w:lvl>
    <w:lvl w:ilvl="3" w:tplc="FFFFFFFF" w:tentative="1">
      <w:start w:val="1"/>
      <w:numFmt w:val="decimal"/>
      <w:lvlText w:val="%4."/>
      <w:lvlJc w:val="left"/>
      <w:pPr>
        <w:ind w:left="3321" w:hanging="360"/>
      </w:pPr>
    </w:lvl>
    <w:lvl w:ilvl="4" w:tplc="FFFFFFFF" w:tentative="1">
      <w:start w:val="1"/>
      <w:numFmt w:val="lowerLetter"/>
      <w:lvlText w:val="%5."/>
      <w:lvlJc w:val="left"/>
      <w:pPr>
        <w:ind w:left="4041" w:hanging="360"/>
      </w:pPr>
    </w:lvl>
    <w:lvl w:ilvl="5" w:tplc="FFFFFFFF" w:tentative="1">
      <w:start w:val="1"/>
      <w:numFmt w:val="lowerRoman"/>
      <w:lvlText w:val="%6."/>
      <w:lvlJc w:val="right"/>
      <w:pPr>
        <w:ind w:left="4761" w:hanging="180"/>
      </w:pPr>
    </w:lvl>
    <w:lvl w:ilvl="6" w:tplc="FFFFFFFF" w:tentative="1">
      <w:start w:val="1"/>
      <w:numFmt w:val="decimal"/>
      <w:lvlText w:val="%7."/>
      <w:lvlJc w:val="left"/>
      <w:pPr>
        <w:ind w:left="5481" w:hanging="360"/>
      </w:pPr>
    </w:lvl>
    <w:lvl w:ilvl="7" w:tplc="FFFFFFFF" w:tentative="1">
      <w:start w:val="1"/>
      <w:numFmt w:val="lowerLetter"/>
      <w:lvlText w:val="%8."/>
      <w:lvlJc w:val="left"/>
      <w:pPr>
        <w:ind w:left="6201" w:hanging="360"/>
      </w:pPr>
    </w:lvl>
    <w:lvl w:ilvl="8" w:tplc="FFFFFFFF" w:tentative="1">
      <w:start w:val="1"/>
      <w:numFmt w:val="lowerRoman"/>
      <w:lvlText w:val="%9."/>
      <w:lvlJc w:val="right"/>
      <w:pPr>
        <w:ind w:left="6921" w:hanging="180"/>
      </w:pPr>
    </w:lvl>
  </w:abstractNum>
  <w:num w:numId="1" w16cid:durableId="977880189">
    <w:abstractNumId w:val="9"/>
  </w:num>
  <w:num w:numId="2" w16cid:durableId="1616520910">
    <w:abstractNumId w:val="2"/>
  </w:num>
  <w:num w:numId="3" w16cid:durableId="487676371">
    <w:abstractNumId w:val="3"/>
  </w:num>
  <w:num w:numId="4" w16cid:durableId="2007436853">
    <w:abstractNumId w:val="0"/>
  </w:num>
  <w:num w:numId="5" w16cid:durableId="85149574">
    <w:abstractNumId w:val="6"/>
  </w:num>
  <w:num w:numId="6" w16cid:durableId="754666929">
    <w:abstractNumId w:val="4"/>
  </w:num>
  <w:num w:numId="7" w16cid:durableId="975640957">
    <w:abstractNumId w:val="7"/>
  </w:num>
  <w:num w:numId="8" w16cid:durableId="1187211645">
    <w:abstractNumId w:val="8"/>
  </w:num>
  <w:num w:numId="9" w16cid:durableId="764695621">
    <w:abstractNumId w:val="1"/>
  </w:num>
  <w:num w:numId="10" w16cid:durableId="26949606">
    <w:abstractNumId w:val="5"/>
  </w:num>
  <w:num w:numId="11" w16cid:durableId="16527117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AFD"/>
    <w:rsid w:val="000014E9"/>
    <w:rsid w:val="00002B6E"/>
    <w:rsid w:val="00002EAE"/>
    <w:rsid w:val="00003AD7"/>
    <w:rsid w:val="000078AF"/>
    <w:rsid w:val="00011513"/>
    <w:rsid w:val="000144EE"/>
    <w:rsid w:val="0001485A"/>
    <w:rsid w:val="000170C8"/>
    <w:rsid w:val="00017CBA"/>
    <w:rsid w:val="00023421"/>
    <w:rsid w:val="00023892"/>
    <w:rsid w:val="00024256"/>
    <w:rsid w:val="00025C15"/>
    <w:rsid w:val="000319BC"/>
    <w:rsid w:val="00031B01"/>
    <w:rsid w:val="00032C99"/>
    <w:rsid w:val="00033CD6"/>
    <w:rsid w:val="0003516D"/>
    <w:rsid w:val="0003615B"/>
    <w:rsid w:val="00037015"/>
    <w:rsid w:val="00037719"/>
    <w:rsid w:val="000378F4"/>
    <w:rsid w:val="00043D21"/>
    <w:rsid w:val="00043E51"/>
    <w:rsid w:val="00044C50"/>
    <w:rsid w:val="00047F20"/>
    <w:rsid w:val="000547EA"/>
    <w:rsid w:val="000563CD"/>
    <w:rsid w:val="000613DA"/>
    <w:rsid w:val="00062AAA"/>
    <w:rsid w:val="0006379F"/>
    <w:rsid w:val="00066EA3"/>
    <w:rsid w:val="00075284"/>
    <w:rsid w:val="00075538"/>
    <w:rsid w:val="00075C9A"/>
    <w:rsid w:val="00076168"/>
    <w:rsid w:val="00077299"/>
    <w:rsid w:val="00077CEB"/>
    <w:rsid w:val="000805C6"/>
    <w:rsid w:val="00080B07"/>
    <w:rsid w:val="00080C3B"/>
    <w:rsid w:val="000815A5"/>
    <w:rsid w:val="00081F3B"/>
    <w:rsid w:val="000853DA"/>
    <w:rsid w:val="000915E2"/>
    <w:rsid w:val="000A3C70"/>
    <w:rsid w:val="000A3D5B"/>
    <w:rsid w:val="000A3E02"/>
    <w:rsid w:val="000A5725"/>
    <w:rsid w:val="000A609B"/>
    <w:rsid w:val="000A6335"/>
    <w:rsid w:val="000B684D"/>
    <w:rsid w:val="000B6895"/>
    <w:rsid w:val="000B710D"/>
    <w:rsid w:val="000C4583"/>
    <w:rsid w:val="000C4981"/>
    <w:rsid w:val="000C4C7D"/>
    <w:rsid w:val="000C514F"/>
    <w:rsid w:val="000C78CE"/>
    <w:rsid w:val="000D036B"/>
    <w:rsid w:val="000D07FF"/>
    <w:rsid w:val="000D3FE9"/>
    <w:rsid w:val="000D511F"/>
    <w:rsid w:val="000D69C2"/>
    <w:rsid w:val="000D6B01"/>
    <w:rsid w:val="000E5150"/>
    <w:rsid w:val="000E5608"/>
    <w:rsid w:val="000F0F7A"/>
    <w:rsid w:val="000F3E86"/>
    <w:rsid w:val="000F51BF"/>
    <w:rsid w:val="000F5717"/>
    <w:rsid w:val="000F6200"/>
    <w:rsid w:val="000F7888"/>
    <w:rsid w:val="000F7CA4"/>
    <w:rsid w:val="00100316"/>
    <w:rsid w:val="00101A2E"/>
    <w:rsid w:val="00103E54"/>
    <w:rsid w:val="0010406B"/>
    <w:rsid w:val="00104F06"/>
    <w:rsid w:val="00106248"/>
    <w:rsid w:val="00107A02"/>
    <w:rsid w:val="001108F4"/>
    <w:rsid w:val="001138D8"/>
    <w:rsid w:val="00114228"/>
    <w:rsid w:val="00116D08"/>
    <w:rsid w:val="00121D64"/>
    <w:rsid w:val="00121E23"/>
    <w:rsid w:val="00122E51"/>
    <w:rsid w:val="00123D16"/>
    <w:rsid w:val="001260C3"/>
    <w:rsid w:val="00127F04"/>
    <w:rsid w:val="001319A2"/>
    <w:rsid w:val="00131CAC"/>
    <w:rsid w:val="0013354A"/>
    <w:rsid w:val="00134A83"/>
    <w:rsid w:val="00134AD1"/>
    <w:rsid w:val="0013584A"/>
    <w:rsid w:val="0014155A"/>
    <w:rsid w:val="00141B23"/>
    <w:rsid w:val="00141BDE"/>
    <w:rsid w:val="00142F5B"/>
    <w:rsid w:val="001433B8"/>
    <w:rsid w:val="00144C37"/>
    <w:rsid w:val="00146E11"/>
    <w:rsid w:val="0014717A"/>
    <w:rsid w:val="00154E42"/>
    <w:rsid w:val="00157C36"/>
    <w:rsid w:val="001626E6"/>
    <w:rsid w:val="00163A79"/>
    <w:rsid w:val="0016424D"/>
    <w:rsid w:val="00164330"/>
    <w:rsid w:val="0016534A"/>
    <w:rsid w:val="00165832"/>
    <w:rsid w:val="001667DD"/>
    <w:rsid w:val="00166E97"/>
    <w:rsid w:val="00172C40"/>
    <w:rsid w:val="00173DFA"/>
    <w:rsid w:val="00174958"/>
    <w:rsid w:val="00174E4B"/>
    <w:rsid w:val="00181D0D"/>
    <w:rsid w:val="00182951"/>
    <w:rsid w:val="00183EB4"/>
    <w:rsid w:val="001847CC"/>
    <w:rsid w:val="00185A12"/>
    <w:rsid w:val="0018687F"/>
    <w:rsid w:val="001901E1"/>
    <w:rsid w:val="00191373"/>
    <w:rsid w:val="001946EE"/>
    <w:rsid w:val="001954B6"/>
    <w:rsid w:val="0019572C"/>
    <w:rsid w:val="0019700B"/>
    <w:rsid w:val="00197B27"/>
    <w:rsid w:val="00197C68"/>
    <w:rsid w:val="001A00E3"/>
    <w:rsid w:val="001A048F"/>
    <w:rsid w:val="001A06C9"/>
    <w:rsid w:val="001A184D"/>
    <w:rsid w:val="001A492E"/>
    <w:rsid w:val="001A5125"/>
    <w:rsid w:val="001A63C2"/>
    <w:rsid w:val="001A6454"/>
    <w:rsid w:val="001A670D"/>
    <w:rsid w:val="001B0E51"/>
    <w:rsid w:val="001B298F"/>
    <w:rsid w:val="001C0343"/>
    <w:rsid w:val="001C0CD4"/>
    <w:rsid w:val="001C1C07"/>
    <w:rsid w:val="001C1C53"/>
    <w:rsid w:val="001C3E37"/>
    <w:rsid w:val="001C5283"/>
    <w:rsid w:val="001C69AE"/>
    <w:rsid w:val="001C7EA6"/>
    <w:rsid w:val="001D34DE"/>
    <w:rsid w:val="001D4FF0"/>
    <w:rsid w:val="001D5203"/>
    <w:rsid w:val="001E0079"/>
    <w:rsid w:val="001E0E75"/>
    <w:rsid w:val="001F41E6"/>
    <w:rsid w:val="001F437E"/>
    <w:rsid w:val="001F43CD"/>
    <w:rsid w:val="001F78E7"/>
    <w:rsid w:val="00206312"/>
    <w:rsid w:val="00212408"/>
    <w:rsid w:val="00212430"/>
    <w:rsid w:val="00212DD0"/>
    <w:rsid w:val="002137B7"/>
    <w:rsid w:val="002144E7"/>
    <w:rsid w:val="00215D63"/>
    <w:rsid w:val="00220056"/>
    <w:rsid w:val="002209A0"/>
    <w:rsid w:val="002209D0"/>
    <w:rsid w:val="002214F0"/>
    <w:rsid w:val="00221E11"/>
    <w:rsid w:val="002224EC"/>
    <w:rsid w:val="00223A69"/>
    <w:rsid w:val="00225E20"/>
    <w:rsid w:val="002272C3"/>
    <w:rsid w:val="00227AEF"/>
    <w:rsid w:val="002305B0"/>
    <w:rsid w:val="00231C82"/>
    <w:rsid w:val="00236E01"/>
    <w:rsid w:val="00237337"/>
    <w:rsid w:val="0024078A"/>
    <w:rsid w:val="00251A54"/>
    <w:rsid w:val="00256124"/>
    <w:rsid w:val="00260A7A"/>
    <w:rsid w:val="002611DE"/>
    <w:rsid w:val="00261380"/>
    <w:rsid w:val="0026723D"/>
    <w:rsid w:val="00267CCC"/>
    <w:rsid w:val="00275CEE"/>
    <w:rsid w:val="00276A9C"/>
    <w:rsid w:val="00276E81"/>
    <w:rsid w:val="00277514"/>
    <w:rsid w:val="00277573"/>
    <w:rsid w:val="002815B9"/>
    <w:rsid w:val="002836A9"/>
    <w:rsid w:val="002839D3"/>
    <w:rsid w:val="00283E86"/>
    <w:rsid w:val="00284478"/>
    <w:rsid w:val="0028627B"/>
    <w:rsid w:val="002864DD"/>
    <w:rsid w:val="002908A1"/>
    <w:rsid w:val="00290B27"/>
    <w:rsid w:val="00292153"/>
    <w:rsid w:val="00292B31"/>
    <w:rsid w:val="00294EBE"/>
    <w:rsid w:val="0029660E"/>
    <w:rsid w:val="002A3412"/>
    <w:rsid w:val="002A3E75"/>
    <w:rsid w:val="002A4153"/>
    <w:rsid w:val="002A4923"/>
    <w:rsid w:val="002A7F9A"/>
    <w:rsid w:val="002B01F6"/>
    <w:rsid w:val="002B212A"/>
    <w:rsid w:val="002B2932"/>
    <w:rsid w:val="002B48F7"/>
    <w:rsid w:val="002B4E03"/>
    <w:rsid w:val="002B5442"/>
    <w:rsid w:val="002B587D"/>
    <w:rsid w:val="002B5A99"/>
    <w:rsid w:val="002B6618"/>
    <w:rsid w:val="002C51FE"/>
    <w:rsid w:val="002C5623"/>
    <w:rsid w:val="002C58C1"/>
    <w:rsid w:val="002C611C"/>
    <w:rsid w:val="002C6334"/>
    <w:rsid w:val="002D1130"/>
    <w:rsid w:val="002D2A2D"/>
    <w:rsid w:val="002D3AC3"/>
    <w:rsid w:val="002D61C2"/>
    <w:rsid w:val="002D6F73"/>
    <w:rsid w:val="002D77D8"/>
    <w:rsid w:val="002D7E92"/>
    <w:rsid w:val="002E0947"/>
    <w:rsid w:val="002E0E4B"/>
    <w:rsid w:val="002E4E14"/>
    <w:rsid w:val="002E5AF9"/>
    <w:rsid w:val="002F0073"/>
    <w:rsid w:val="002F0403"/>
    <w:rsid w:val="002F5AC8"/>
    <w:rsid w:val="002F6626"/>
    <w:rsid w:val="002F6A40"/>
    <w:rsid w:val="00300227"/>
    <w:rsid w:val="003012D5"/>
    <w:rsid w:val="00301334"/>
    <w:rsid w:val="003020FF"/>
    <w:rsid w:val="00304E63"/>
    <w:rsid w:val="0030632A"/>
    <w:rsid w:val="0030751B"/>
    <w:rsid w:val="00310991"/>
    <w:rsid w:val="003117A9"/>
    <w:rsid w:val="00313116"/>
    <w:rsid w:val="00313C85"/>
    <w:rsid w:val="003151A3"/>
    <w:rsid w:val="0031671A"/>
    <w:rsid w:val="00316980"/>
    <w:rsid w:val="00320054"/>
    <w:rsid w:val="00323F3C"/>
    <w:rsid w:val="003265D8"/>
    <w:rsid w:val="003267B0"/>
    <w:rsid w:val="00327BF2"/>
    <w:rsid w:val="00330570"/>
    <w:rsid w:val="0033401C"/>
    <w:rsid w:val="0033649C"/>
    <w:rsid w:val="00336ECA"/>
    <w:rsid w:val="00340AF4"/>
    <w:rsid w:val="00343657"/>
    <w:rsid w:val="00344FC5"/>
    <w:rsid w:val="00346BCD"/>
    <w:rsid w:val="00350141"/>
    <w:rsid w:val="003579E0"/>
    <w:rsid w:val="00360847"/>
    <w:rsid w:val="0036163D"/>
    <w:rsid w:val="003616E5"/>
    <w:rsid w:val="003668C4"/>
    <w:rsid w:val="003700BF"/>
    <w:rsid w:val="00370345"/>
    <w:rsid w:val="0037174B"/>
    <w:rsid w:val="00374154"/>
    <w:rsid w:val="00375CF1"/>
    <w:rsid w:val="003802B4"/>
    <w:rsid w:val="00381571"/>
    <w:rsid w:val="003815BD"/>
    <w:rsid w:val="00381F51"/>
    <w:rsid w:val="00381FC9"/>
    <w:rsid w:val="003836C3"/>
    <w:rsid w:val="0038392C"/>
    <w:rsid w:val="00384F44"/>
    <w:rsid w:val="003869F4"/>
    <w:rsid w:val="00387A81"/>
    <w:rsid w:val="0039010C"/>
    <w:rsid w:val="003A2441"/>
    <w:rsid w:val="003A278A"/>
    <w:rsid w:val="003A2BA4"/>
    <w:rsid w:val="003A4259"/>
    <w:rsid w:val="003A6E70"/>
    <w:rsid w:val="003B1D23"/>
    <w:rsid w:val="003B3D12"/>
    <w:rsid w:val="003B788B"/>
    <w:rsid w:val="003C3F27"/>
    <w:rsid w:val="003C6287"/>
    <w:rsid w:val="003D077B"/>
    <w:rsid w:val="003D2192"/>
    <w:rsid w:val="003D2DA8"/>
    <w:rsid w:val="003D5F4B"/>
    <w:rsid w:val="003D6647"/>
    <w:rsid w:val="003E02FB"/>
    <w:rsid w:val="003E09FF"/>
    <w:rsid w:val="003E1CC6"/>
    <w:rsid w:val="003E2FEB"/>
    <w:rsid w:val="003E3307"/>
    <w:rsid w:val="003E6E69"/>
    <w:rsid w:val="003E7A16"/>
    <w:rsid w:val="003F027B"/>
    <w:rsid w:val="003F18CE"/>
    <w:rsid w:val="003F2212"/>
    <w:rsid w:val="003F22FB"/>
    <w:rsid w:val="003F25B7"/>
    <w:rsid w:val="003F2661"/>
    <w:rsid w:val="003F67EA"/>
    <w:rsid w:val="00402563"/>
    <w:rsid w:val="004059F5"/>
    <w:rsid w:val="00410C42"/>
    <w:rsid w:val="004110B8"/>
    <w:rsid w:val="00411137"/>
    <w:rsid w:val="00411201"/>
    <w:rsid w:val="00412A07"/>
    <w:rsid w:val="0042197A"/>
    <w:rsid w:val="00421B67"/>
    <w:rsid w:val="00424489"/>
    <w:rsid w:val="00436068"/>
    <w:rsid w:val="004369B8"/>
    <w:rsid w:val="004376E6"/>
    <w:rsid w:val="00440394"/>
    <w:rsid w:val="00443AB2"/>
    <w:rsid w:val="00443F0A"/>
    <w:rsid w:val="00446E67"/>
    <w:rsid w:val="00452C05"/>
    <w:rsid w:val="00453900"/>
    <w:rsid w:val="00456563"/>
    <w:rsid w:val="00465719"/>
    <w:rsid w:val="00467088"/>
    <w:rsid w:val="00467D18"/>
    <w:rsid w:val="00472B7B"/>
    <w:rsid w:val="0047380A"/>
    <w:rsid w:val="00476482"/>
    <w:rsid w:val="00480237"/>
    <w:rsid w:val="00482DBC"/>
    <w:rsid w:val="0048529D"/>
    <w:rsid w:val="00491F9C"/>
    <w:rsid w:val="00492104"/>
    <w:rsid w:val="00492963"/>
    <w:rsid w:val="004933FE"/>
    <w:rsid w:val="0049381E"/>
    <w:rsid w:val="004938AF"/>
    <w:rsid w:val="0049471B"/>
    <w:rsid w:val="00494B07"/>
    <w:rsid w:val="00494C1B"/>
    <w:rsid w:val="00495B63"/>
    <w:rsid w:val="00495DB1"/>
    <w:rsid w:val="004A691A"/>
    <w:rsid w:val="004A6A7B"/>
    <w:rsid w:val="004B03C3"/>
    <w:rsid w:val="004B2252"/>
    <w:rsid w:val="004B22B5"/>
    <w:rsid w:val="004C2A20"/>
    <w:rsid w:val="004C2C18"/>
    <w:rsid w:val="004D0732"/>
    <w:rsid w:val="004D1917"/>
    <w:rsid w:val="004D2DA5"/>
    <w:rsid w:val="004D56B7"/>
    <w:rsid w:val="004D6408"/>
    <w:rsid w:val="004D6DA2"/>
    <w:rsid w:val="004D7887"/>
    <w:rsid w:val="004E0D35"/>
    <w:rsid w:val="004E168C"/>
    <w:rsid w:val="004E2A7B"/>
    <w:rsid w:val="004E2DBE"/>
    <w:rsid w:val="004E3E81"/>
    <w:rsid w:val="004E43CC"/>
    <w:rsid w:val="004E57F2"/>
    <w:rsid w:val="004E5CFB"/>
    <w:rsid w:val="004E61B3"/>
    <w:rsid w:val="004E6203"/>
    <w:rsid w:val="004F0CC6"/>
    <w:rsid w:val="004F264E"/>
    <w:rsid w:val="004F6D4D"/>
    <w:rsid w:val="005010EC"/>
    <w:rsid w:val="00505E26"/>
    <w:rsid w:val="00507752"/>
    <w:rsid w:val="00507AAB"/>
    <w:rsid w:val="00511B5C"/>
    <w:rsid w:val="005123D4"/>
    <w:rsid w:val="00514FD8"/>
    <w:rsid w:val="005150CE"/>
    <w:rsid w:val="00516370"/>
    <w:rsid w:val="00521073"/>
    <w:rsid w:val="0052135E"/>
    <w:rsid w:val="00522A81"/>
    <w:rsid w:val="00524413"/>
    <w:rsid w:val="00525800"/>
    <w:rsid w:val="00525F1E"/>
    <w:rsid w:val="005269E5"/>
    <w:rsid w:val="00526D8F"/>
    <w:rsid w:val="00531E1E"/>
    <w:rsid w:val="00533F02"/>
    <w:rsid w:val="005340FB"/>
    <w:rsid w:val="00534AA2"/>
    <w:rsid w:val="00534BF8"/>
    <w:rsid w:val="005351E6"/>
    <w:rsid w:val="0053529E"/>
    <w:rsid w:val="00541F62"/>
    <w:rsid w:val="00544495"/>
    <w:rsid w:val="0054610C"/>
    <w:rsid w:val="00550C5F"/>
    <w:rsid w:val="00551A27"/>
    <w:rsid w:val="005537C9"/>
    <w:rsid w:val="00554F37"/>
    <w:rsid w:val="00555317"/>
    <w:rsid w:val="00557042"/>
    <w:rsid w:val="00557C2A"/>
    <w:rsid w:val="00561DFB"/>
    <w:rsid w:val="00564A7B"/>
    <w:rsid w:val="005650E3"/>
    <w:rsid w:val="00566930"/>
    <w:rsid w:val="00567F64"/>
    <w:rsid w:val="005705F1"/>
    <w:rsid w:val="00571E9E"/>
    <w:rsid w:val="00582543"/>
    <w:rsid w:val="0058355A"/>
    <w:rsid w:val="00591C07"/>
    <w:rsid w:val="005942A3"/>
    <w:rsid w:val="00594C58"/>
    <w:rsid w:val="00595314"/>
    <w:rsid w:val="00595F7A"/>
    <w:rsid w:val="005A0064"/>
    <w:rsid w:val="005A3454"/>
    <w:rsid w:val="005A3B10"/>
    <w:rsid w:val="005B1FD3"/>
    <w:rsid w:val="005B24A0"/>
    <w:rsid w:val="005C25FF"/>
    <w:rsid w:val="005C3BE1"/>
    <w:rsid w:val="005D07A7"/>
    <w:rsid w:val="005D32F6"/>
    <w:rsid w:val="005D3FF8"/>
    <w:rsid w:val="005D4137"/>
    <w:rsid w:val="005D763F"/>
    <w:rsid w:val="005E0607"/>
    <w:rsid w:val="005E0D15"/>
    <w:rsid w:val="005E19D4"/>
    <w:rsid w:val="005E41CA"/>
    <w:rsid w:val="005E4F23"/>
    <w:rsid w:val="005E60CF"/>
    <w:rsid w:val="005E6FBD"/>
    <w:rsid w:val="005F1B52"/>
    <w:rsid w:val="005F35E5"/>
    <w:rsid w:val="005F3839"/>
    <w:rsid w:val="005F422C"/>
    <w:rsid w:val="006008FE"/>
    <w:rsid w:val="0060291E"/>
    <w:rsid w:val="00602FE8"/>
    <w:rsid w:val="006047F2"/>
    <w:rsid w:val="00607931"/>
    <w:rsid w:val="00607DFE"/>
    <w:rsid w:val="00611B6D"/>
    <w:rsid w:val="006129B9"/>
    <w:rsid w:val="00621A31"/>
    <w:rsid w:val="00621FCC"/>
    <w:rsid w:val="006230ED"/>
    <w:rsid w:val="006233ED"/>
    <w:rsid w:val="00625BA6"/>
    <w:rsid w:val="00630938"/>
    <w:rsid w:val="0063147D"/>
    <w:rsid w:val="006321DA"/>
    <w:rsid w:val="006339AD"/>
    <w:rsid w:val="006343D9"/>
    <w:rsid w:val="00640733"/>
    <w:rsid w:val="00640887"/>
    <w:rsid w:val="006422CA"/>
    <w:rsid w:val="00642940"/>
    <w:rsid w:val="00644B78"/>
    <w:rsid w:val="006470A0"/>
    <w:rsid w:val="00647D0A"/>
    <w:rsid w:val="00652220"/>
    <w:rsid w:val="0065770C"/>
    <w:rsid w:val="00661FC1"/>
    <w:rsid w:val="006625E7"/>
    <w:rsid w:val="00665D0A"/>
    <w:rsid w:val="0066662A"/>
    <w:rsid w:val="00670161"/>
    <w:rsid w:val="00673ECD"/>
    <w:rsid w:val="006747A1"/>
    <w:rsid w:val="00676721"/>
    <w:rsid w:val="00676C79"/>
    <w:rsid w:val="00677ADF"/>
    <w:rsid w:val="0068047F"/>
    <w:rsid w:val="00682A24"/>
    <w:rsid w:val="006878C7"/>
    <w:rsid w:val="0069086B"/>
    <w:rsid w:val="006915C9"/>
    <w:rsid w:val="006936D9"/>
    <w:rsid w:val="006940B2"/>
    <w:rsid w:val="00697662"/>
    <w:rsid w:val="006978AB"/>
    <w:rsid w:val="00697984"/>
    <w:rsid w:val="006A0ACC"/>
    <w:rsid w:val="006A1570"/>
    <w:rsid w:val="006A157A"/>
    <w:rsid w:val="006A75E6"/>
    <w:rsid w:val="006A75F8"/>
    <w:rsid w:val="006B0B4E"/>
    <w:rsid w:val="006B2A8E"/>
    <w:rsid w:val="006B5A90"/>
    <w:rsid w:val="006B5E93"/>
    <w:rsid w:val="006C0F08"/>
    <w:rsid w:val="006C5275"/>
    <w:rsid w:val="006D4005"/>
    <w:rsid w:val="006D4B94"/>
    <w:rsid w:val="006D71D2"/>
    <w:rsid w:val="006D7710"/>
    <w:rsid w:val="006E1706"/>
    <w:rsid w:val="006E4102"/>
    <w:rsid w:val="006E4A30"/>
    <w:rsid w:val="006E66BA"/>
    <w:rsid w:val="006F279F"/>
    <w:rsid w:val="006F2FA0"/>
    <w:rsid w:val="006F3201"/>
    <w:rsid w:val="006F6E79"/>
    <w:rsid w:val="00700FC7"/>
    <w:rsid w:val="00701434"/>
    <w:rsid w:val="0070200B"/>
    <w:rsid w:val="007034BC"/>
    <w:rsid w:val="00704C44"/>
    <w:rsid w:val="00705AFD"/>
    <w:rsid w:val="00706489"/>
    <w:rsid w:val="00707EA3"/>
    <w:rsid w:val="007111D2"/>
    <w:rsid w:val="007213AB"/>
    <w:rsid w:val="007219A7"/>
    <w:rsid w:val="00723CA6"/>
    <w:rsid w:val="007264A9"/>
    <w:rsid w:val="0073057E"/>
    <w:rsid w:val="00730D9D"/>
    <w:rsid w:val="0073127F"/>
    <w:rsid w:val="00731533"/>
    <w:rsid w:val="007325BA"/>
    <w:rsid w:val="007346D7"/>
    <w:rsid w:val="0074044D"/>
    <w:rsid w:val="0074148A"/>
    <w:rsid w:val="00741A97"/>
    <w:rsid w:val="00743E12"/>
    <w:rsid w:val="0074663A"/>
    <w:rsid w:val="007516CC"/>
    <w:rsid w:val="00753BF6"/>
    <w:rsid w:val="00754B44"/>
    <w:rsid w:val="00760C8A"/>
    <w:rsid w:val="00761C84"/>
    <w:rsid w:val="00762403"/>
    <w:rsid w:val="00762518"/>
    <w:rsid w:val="00765EBB"/>
    <w:rsid w:val="007669CA"/>
    <w:rsid w:val="00766F68"/>
    <w:rsid w:val="00767949"/>
    <w:rsid w:val="0077154B"/>
    <w:rsid w:val="00772351"/>
    <w:rsid w:val="007726CF"/>
    <w:rsid w:val="00773A58"/>
    <w:rsid w:val="00773E21"/>
    <w:rsid w:val="00773EA5"/>
    <w:rsid w:val="007762B4"/>
    <w:rsid w:val="007767B2"/>
    <w:rsid w:val="00776A43"/>
    <w:rsid w:val="00784030"/>
    <w:rsid w:val="007853E6"/>
    <w:rsid w:val="007879AC"/>
    <w:rsid w:val="00791A11"/>
    <w:rsid w:val="007947CE"/>
    <w:rsid w:val="00794EB5"/>
    <w:rsid w:val="007979BC"/>
    <w:rsid w:val="007A0AD3"/>
    <w:rsid w:val="007A1319"/>
    <w:rsid w:val="007A22E9"/>
    <w:rsid w:val="007A3846"/>
    <w:rsid w:val="007A5035"/>
    <w:rsid w:val="007B1699"/>
    <w:rsid w:val="007B2B11"/>
    <w:rsid w:val="007B4ED5"/>
    <w:rsid w:val="007B5BA2"/>
    <w:rsid w:val="007B6E0B"/>
    <w:rsid w:val="007B7426"/>
    <w:rsid w:val="007C0F06"/>
    <w:rsid w:val="007C1045"/>
    <w:rsid w:val="007C42FB"/>
    <w:rsid w:val="007C47C6"/>
    <w:rsid w:val="007C599C"/>
    <w:rsid w:val="007D3C70"/>
    <w:rsid w:val="007D4F6D"/>
    <w:rsid w:val="007D6AE4"/>
    <w:rsid w:val="007E0D57"/>
    <w:rsid w:val="007E3299"/>
    <w:rsid w:val="007E32FB"/>
    <w:rsid w:val="007E53B2"/>
    <w:rsid w:val="007E6587"/>
    <w:rsid w:val="007F0454"/>
    <w:rsid w:val="007F22CE"/>
    <w:rsid w:val="007F6AD2"/>
    <w:rsid w:val="007F7DE6"/>
    <w:rsid w:val="0080005C"/>
    <w:rsid w:val="008005C2"/>
    <w:rsid w:val="008023A5"/>
    <w:rsid w:val="008054E7"/>
    <w:rsid w:val="00805B05"/>
    <w:rsid w:val="00807227"/>
    <w:rsid w:val="008122A6"/>
    <w:rsid w:val="00813214"/>
    <w:rsid w:val="00816F3F"/>
    <w:rsid w:val="00817262"/>
    <w:rsid w:val="008204F0"/>
    <w:rsid w:val="00821549"/>
    <w:rsid w:val="00823334"/>
    <w:rsid w:val="00826AA9"/>
    <w:rsid w:val="00832D47"/>
    <w:rsid w:val="00835636"/>
    <w:rsid w:val="00836E59"/>
    <w:rsid w:val="0083781B"/>
    <w:rsid w:val="00837C38"/>
    <w:rsid w:val="00837CBA"/>
    <w:rsid w:val="00843E2C"/>
    <w:rsid w:val="0084488C"/>
    <w:rsid w:val="00844C1B"/>
    <w:rsid w:val="00844E52"/>
    <w:rsid w:val="008450D7"/>
    <w:rsid w:val="00845ACD"/>
    <w:rsid w:val="00845DC5"/>
    <w:rsid w:val="00845DEA"/>
    <w:rsid w:val="008471AD"/>
    <w:rsid w:val="008472E9"/>
    <w:rsid w:val="00850778"/>
    <w:rsid w:val="008520A5"/>
    <w:rsid w:val="0085235C"/>
    <w:rsid w:val="00853157"/>
    <w:rsid w:val="008536DD"/>
    <w:rsid w:val="008548DF"/>
    <w:rsid w:val="00854CBC"/>
    <w:rsid w:val="0085754A"/>
    <w:rsid w:val="00860153"/>
    <w:rsid w:val="00860741"/>
    <w:rsid w:val="00861942"/>
    <w:rsid w:val="00861D89"/>
    <w:rsid w:val="008656F0"/>
    <w:rsid w:val="0087161C"/>
    <w:rsid w:val="008803ED"/>
    <w:rsid w:val="00880953"/>
    <w:rsid w:val="00886D26"/>
    <w:rsid w:val="00887830"/>
    <w:rsid w:val="0089036F"/>
    <w:rsid w:val="0089235E"/>
    <w:rsid w:val="00893144"/>
    <w:rsid w:val="008935AE"/>
    <w:rsid w:val="00893C73"/>
    <w:rsid w:val="008954E6"/>
    <w:rsid w:val="00897122"/>
    <w:rsid w:val="008A194E"/>
    <w:rsid w:val="008A2710"/>
    <w:rsid w:val="008A526E"/>
    <w:rsid w:val="008A590F"/>
    <w:rsid w:val="008A6C72"/>
    <w:rsid w:val="008B136B"/>
    <w:rsid w:val="008B1B95"/>
    <w:rsid w:val="008B1DE8"/>
    <w:rsid w:val="008B46BE"/>
    <w:rsid w:val="008B529E"/>
    <w:rsid w:val="008B5D84"/>
    <w:rsid w:val="008B6567"/>
    <w:rsid w:val="008C0045"/>
    <w:rsid w:val="008C0777"/>
    <w:rsid w:val="008C0E4E"/>
    <w:rsid w:val="008C6D1A"/>
    <w:rsid w:val="008D091F"/>
    <w:rsid w:val="008D4586"/>
    <w:rsid w:val="008D5212"/>
    <w:rsid w:val="008D7BD5"/>
    <w:rsid w:val="008E16E6"/>
    <w:rsid w:val="008E3813"/>
    <w:rsid w:val="008E3D4D"/>
    <w:rsid w:val="008E3EB9"/>
    <w:rsid w:val="008E5602"/>
    <w:rsid w:val="008E5B4D"/>
    <w:rsid w:val="008E753A"/>
    <w:rsid w:val="008F24CB"/>
    <w:rsid w:val="008F3610"/>
    <w:rsid w:val="008F6990"/>
    <w:rsid w:val="008F6B4B"/>
    <w:rsid w:val="0090044F"/>
    <w:rsid w:val="00901498"/>
    <w:rsid w:val="009029C3"/>
    <w:rsid w:val="009056AB"/>
    <w:rsid w:val="00911024"/>
    <w:rsid w:val="00912E2F"/>
    <w:rsid w:val="00913227"/>
    <w:rsid w:val="00914B66"/>
    <w:rsid w:val="00914DD8"/>
    <w:rsid w:val="009150EB"/>
    <w:rsid w:val="009153B3"/>
    <w:rsid w:val="00915ED2"/>
    <w:rsid w:val="009161D9"/>
    <w:rsid w:val="009174DF"/>
    <w:rsid w:val="00920B78"/>
    <w:rsid w:val="00920CE3"/>
    <w:rsid w:val="00926643"/>
    <w:rsid w:val="009269E3"/>
    <w:rsid w:val="00927032"/>
    <w:rsid w:val="009278F6"/>
    <w:rsid w:val="00930208"/>
    <w:rsid w:val="00933DAC"/>
    <w:rsid w:val="00935147"/>
    <w:rsid w:val="00936863"/>
    <w:rsid w:val="0093796C"/>
    <w:rsid w:val="00940911"/>
    <w:rsid w:val="00940C9E"/>
    <w:rsid w:val="009419E2"/>
    <w:rsid w:val="00942428"/>
    <w:rsid w:val="00944428"/>
    <w:rsid w:val="009444B6"/>
    <w:rsid w:val="00946BCB"/>
    <w:rsid w:val="009478E8"/>
    <w:rsid w:val="00950EDD"/>
    <w:rsid w:val="009518D7"/>
    <w:rsid w:val="00952157"/>
    <w:rsid w:val="00952EED"/>
    <w:rsid w:val="00954662"/>
    <w:rsid w:val="00954B1E"/>
    <w:rsid w:val="00956EBD"/>
    <w:rsid w:val="00957E56"/>
    <w:rsid w:val="00960E0F"/>
    <w:rsid w:val="00970212"/>
    <w:rsid w:val="00974493"/>
    <w:rsid w:val="00974EE4"/>
    <w:rsid w:val="00975B76"/>
    <w:rsid w:val="00976C50"/>
    <w:rsid w:val="00977477"/>
    <w:rsid w:val="009779E3"/>
    <w:rsid w:val="00980021"/>
    <w:rsid w:val="00981E0B"/>
    <w:rsid w:val="009857FB"/>
    <w:rsid w:val="00985AED"/>
    <w:rsid w:val="00987197"/>
    <w:rsid w:val="0099161D"/>
    <w:rsid w:val="00991E82"/>
    <w:rsid w:val="00992300"/>
    <w:rsid w:val="00992E0A"/>
    <w:rsid w:val="009931AD"/>
    <w:rsid w:val="009937D3"/>
    <w:rsid w:val="0099546F"/>
    <w:rsid w:val="009A1B94"/>
    <w:rsid w:val="009A3D65"/>
    <w:rsid w:val="009A3F6D"/>
    <w:rsid w:val="009A3FAD"/>
    <w:rsid w:val="009A3FD2"/>
    <w:rsid w:val="009A7028"/>
    <w:rsid w:val="009A7B38"/>
    <w:rsid w:val="009B0346"/>
    <w:rsid w:val="009B2F7B"/>
    <w:rsid w:val="009B32BE"/>
    <w:rsid w:val="009B3C97"/>
    <w:rsid w:val="009B4B7D"/>
    <w:rsid w:val="009B4C61"/>
    <w:rsid w:val="009B5B00"/>
    <w:rsid w:val="009B6EEA"/>
    <w:rsid w:val="009B7177"/>
    <w:rsid w:val="009C00F1"/>
    <w:rsid w:val="009C265A"/>
    <w:rsid w:val="009C474C"/>
    <w:rsid w:val="009C5CD2"/>
    <w:rsid w:val="009C6A2C"/>
    <w:rsid w:val="009C6E14"/>
    <w:rsid w:val="009C71D4"/>
    <w:rsid w:val="009C7B77"/>
    <w:rsid w:val="009D1EBA"/>
    <w:rsid w:val="009D2F6C"/>
    <w:rsid w:val="009D4AE9"/>
    <w:rsid w:val="009D6D37"/>
    <w:rsid w:val="009E1B96"/>
    <w:rsid w:val="009E7E79"/>
    <w:rsid w:val="009F135C"/>
    <w:rsid w:val="009F318A"/>
    <w:rsid w:val="009F336E"/>
    <w:rsid w:val="009F50DA"/>
    <w:rsid w:val="009F5996"/>
    <w:rsid w:val="00A01ABE"/>
    <w:rsid w:val="00A043AD"/>
    <w:rsid w:val="00A05561"/>
    <w:rsid w:val="00A07092"/>
    <w:rsid w:val="00A07A8C"/>
    <w:rsid w:val="00A1207C"/>
    <w:rsid w:val="00A22D33"/>
    <w:rsid w:val="00A259AA"/>
    <w:rsid w:val="00A279D8"/>
    <w:rsid w:val="00A32C4A"/>
    <w:rsid w:val="00A33DD4"/>
    <w:rsid w:val="00A340CD"/>
    <w:rsid w:val="00A35132"/>
    <w:rsid w:val="00A366CD"/>
    <w:rsid w:val="00A4038B"/>
    <w:rsid w:val="00A423CF"/>
    <w:rsid w:val="00A42D02"/>
    <w:rsid w:val="00A439AB"/>
    <w:rsid w:val="00A50F63"/>
    <w:rsid w:val="00A51367"/>
    <w:rsid w:val="00A5393C"/>
    <w:rsid w:val="00A5597F"/>
    <w:rsid w:val="00A61E54"/>
    <w:rsid w:val="00A62409"/>
    <w:rsid w:val="00A6513A"/>
    <w:rsid w:val="00A65AB6"/>
    <w:rsid w:val="00A65EEF"/>
    <w:rsid w:val="00A7198C"/>
    <w:rsid w:val="00A7419C"/>
    <w:rsid w:val="00A766C2"/>
    <w:rsid w:val="00A824C3"/>
    <w:rsid w:val="00A8553C"/>
    <w:rsid w:val="00A8577C"/>
    <w:rsid w:val="00A87BA7"/>
    <w:rsid w:val="00A9010F"/>
    <w:rsid w:val="00A901DE"/>
    <w:rsid w:val="00A9465D"/>
    <w:rsid w:val="00A94FB7"/>
    <w:rsid w:val="00A960F5"/>
    <w:rsid w:val="00A9747C"/>
    <w:rsid w:val="00AA31AB"/>
    <w:rsid w:val="00AA4E9D"/>
    <w:rsid w:val="00AA5DE4"/>
    <w:rsid w:val="00AA610E"/>
    <w:rsid w:val="00AA62B7"/>
    <w:rsid w:val="00AB08CA"/>
    <w:rsid w:val="00AB19F7"/>
    <w:rsid w:val="00AB1EF9"/>
    <w:rsid w:val="00AB231C"/>
    <w:rsid w:val="00AB6264"/>
    <w:rsid w:val="00AB69FD"/>
    <w:rsid w:val="00AB74F5"/>
    <w:rsid w:val="00AB7D4E"/>
    <w:rsid w:val="00AC564D"/>
    <w:rsid w:val="00AC66AF"/>
    <w:rsid w:val="00AD0187"/>
    <w:rsid w:val="00AD2D94"/>
    <w:rsid w:val="00AD4563"/>
    <w:rsid w:val="00AD55A3"/>
    <w:rsid w:val="00AD7F56"/>
    <w:rsid w:val="00AE54A8"/>
    <w:rsid w:val="00AE6E05"/>
    <w:rsid w:val="00AE7CF1"/>
    <w:rsid w:val="00AF159E"/>
    <w:rsid w:val="00AF19D8"/>
    <w:rsid w:val="00AF2995"/>
    <w:rsid w:val="00AF2D47"/>
    <w:rsid w:val="00AF51AC"/>
    <w:rsid w:val="00AF6621"/>
    <w:rsid w:val="00AF6729"/>
    <w:rsid w:val="00AF70A4"/>
    <w:rsid w:val="00B00921"/>
    <w:rsid w:val="00B01339"/>
    <w:rsid w:val="00B027B4"/>
    <w:rsid w:val="00B02947"/>
    <w:rsid w:val="00B035E2"/>
    <w:rsid w:val="00B05AE8"/>
    <w:rsid w:val="00B05B59"/>
    <w:rsid w:val="00B107D3"/>
    <w:rsid w:val="00B11423"/>
    <w:rsid w:val="00B13C9B"/>
    <w:rsid w:val="00B13E5A"/>
    <w:rsid w:val="00B148B0"/>
    <w:rsid w:val="00B15C63"/>
    <w:rsid w:val="00B238CE"/>
    <w:rsid w:val="00B240A1"/>
    <w:rsid w:val="00B2572C"/>
    <w:rsid w:val="00B27265"/>
    <w:rsid w:val="00B3608F"/>
    <w:rsid w:val="00B41CC7"/>
    <w:rsid w:val="00B41DD1"/>
    <w:rsid w:val="00B45C49"/>
    <w:rsid w:val="00B46332"/>
    <w:rsid w:val="00B46FF4"/>
    <w:rsid w:val="00B477B2"/>
    <w:rsid w:val="00B51240"/>
    <w:rsid w:val="00B52EC2"/>
    <w:rsid w:val="00B53781"/>
    <w:rsid w:val="00B5413A"/>
    <w:rsid w:val="00B5540D"/>
    <w:rsid w:val="00B66DA6"/>
    <w:rsid w:val="00B67521"/>
    <w:rsid w:val="00B67B49"/>
    <w:rsid w:val="00B76E6E"/>
    <w:rsid w:val="00B8153E"/>
    <w:rsid w:val="00B81695"/>
    <w:rsid w:val="00B84BCA"/>
    <w:rsid w:val="00B86957"/>
    <w:rsid w:val="00B86F31"/>
    <w:rsid w:val="00B8728A"/>
    <w:rsid w:val="00B940F2"/>
    <w:rsid w:val="00B962C6"/>
    <w:rsid w:val="00B965FB"/>
    <w:rsid w:val="00BA0340"/>
    <w:rsid w:val="00BA0F97"/>
    <w:rsid w:val="00BA4706"/>
    <w:rsid w:val="00BA472D"/>
    <w:rsid w:val="00BA654D"/>
    <w:rsid w:val="00BB0E07"/>
    <w:rsid w:val="00BB127F"/>
    <w:rsid w:val="00BB2D93"/>
    <w:rsid w:val="00BB49CE"/>
    <w:rsid w:val="00BB58AC"/>
    <w:rsid w:val="00BB5B84"/>
    <w:rsid w:val="00BC357D"/>
    <w:rsid w:val="00BC475D"/>
    <w:rsid w:val="00BC5F27"/>
    <w:rsid w:val="00BD08C4"/>
    <w:rsid w:val="00BD235C"/>
    <w:rsid w:val="00BD25BB"/>
    <w:rsid w:val="00BD3507"/>
    <w:rsid w:val="00BD63A0"/>
    <w:rsid w:val="00BE0600"/>
    <w:rsid w:val="00BE13DA"/>
    <w:rsid w:val="00BE3A2C"/>
    <w:rsid w:val="00BE518D"/>
    <w:rsid w:val="00BE5DEB"/>
    <w:rsid w:val="00BE6D8F"/>
    <w:rsid w:val="00BF18B4"/>
    <w:rsid w:val="00BF341F"/>
    <w:rsid w:val="00BF38D4"/>
    <w:rsid w:val="00BF4A26"/>
    <w:rsid w:val="00BF4B43"/>
    <w:rsid w:val="00BF7F1D"/>
    <w:rsid w:val="00C00601"/>
    <w:rsid w:val="00C009A6"/>
    <w:rsid w:val="00C01C59"/>
    <w:rsid w:val="00C02500"/>
    <w:rsid w:val="00C04269"/>
    <w:rsid w:val="00C0563E"/>
    <w:rsid w:val="00C060E0"/>
    <w:rsid w:val="00C07420"/>
    <w:rsid w:val="00C10C36"/>
    <w:rsid w:val="00C11B6B"/>
    <w:rsid w:val="00C224DE"/>
    <w:rsid w:val="00C22976"/>
    <w:rsid w:val="00C24583"/>
    <w:rsid w:val="00C24860"/>
    <w:rsid w:val="00C25085"/>
    <w:rsid w:val="00C26263"/>
    <w:rsid w:val="00C321AD"/>
    <w:rsid w:val="00C338A2"/>
    <w:rsid w:val="00C35CCE"/>
    <w:rsid w:val="00C36572"/>
    <w:rsid w:val="00C37CD1"/>
    <w:rsid w:val="00C40E65"/>
    <w:rsid w:val="00C41E10"/>
    <w:rsid w:val="00C43FDF"/>
    <w:rsid w:val="00C45D81"/>
    <w:rsid w:val="00C50820"/>
    <w:rsid w:val="00C56B0B"/>
    <w:rsid w:val="00C61AB2"/>
    <w:rsid w:val="00C630BC"/>
    <w:rsid w:val="00C65EDC"/>
    <w:rsid w:val="00C66E46"/>
    <w:rsid w:val="00C702D8"/>
    <w:rsid w:val="00C705BE"/>
    <w:rsid w:val="00C734AA"/>
    <w:rsid w:val="00C75207"/>
    <w:rsid w:val="00C760CF"/>
    <w:rsid w:val="00C769C9"/>
    <w:rsid w:val="00C820E1"/>
    <w:rsid w:val="00C847AB"/>
    <w:rsid w:val="00C90CF8"/>
    <w:rsid w:val="00C91002"/>
    <w:rsid w:val="00C95365"/>
    <w:rsid w:val="00C97292"/>
    <w:rsid w:val="00CA2BB8"/>
    <w:rsid w:val="00CA36D3"/>
    <w:rsid w:val="00CA58D9"/>
    <w:rsid w:val="00CA5AF4"/>
    <w:rsid w:val="00CA5BF1"/>
    <w:rsid w:val="00CA70B3"/>
    <w:rsid w:val="00CA7B40"/>
    <w:rsid w:val="00CC6C21"/>
    <w:rsid w:val="00CC764C"/>
    <w:rsid w:val="00CC7DAA"/>
    <w:rsid w:val="00CD1054"/>
    <w:rsid w:val="00CD4A46"/>
    <w:rsid w:val="00CD6F2B"/>
    <w:rsid w:val="00CE1DC2"/>
    <w:rsid w:val="00CE2693"/>
    <w:rsid w:val="00CE2818"/>
    <w:rsid w:val="00CE3EA4"/>
    <w:rsid w:val="00CE47F7"/>
    <w:rsid w:val="00CE7985"/>
    <w:rsid w:val="00CE7EAA"/>
    <w:rsid w:val="00CF01FB"/>
    <w:rsid w:val="00CF03D0"/>
    <w:rsid w:val="00CF1EB7"/>
    <w:rsid w:val="00CF6D18"/>
    <w:rsid w:val="00CF6DEC"/>
    <w:rsid w:val="00CF7934"/>
    <w:rsid w:val="00D0069A"/>
    <w:rsid w:val="00D017BB"/>
    <w:rsid w:val="00D0305A"/>
    <w:rsid w:val="00D03B19"/>
    <w:rsid w:val="00D054FB"/>
    <w:rsid w:val="00D06E7A"/>
    <w:rsid w:val="00D10321"/>
    <w:rsid w:val="00D1224C"/>
    <w:rsid w:val="00D141E6"/>
    <w:rsid w:val="00D14F21"/>
    <w:rsid w:val="00D15F50"/>
    <w:rsid w:val="00D2137E"/>
    <w:rsid w:val="00D225EF"/>
    <w:rsid w:val="00D24169"/>
    <w:rsid w:val="00D248AD"/>
    <w:rsid w:val="00D268C6"/>
    <w:rsid w:val="00D27F0E"/>
    <w:rsid w:val="00D34720"/>
    <w:rsid w:val="00D4001E"/>
    <w:rsid w:val="00D40B13"/>
    <w:rsid w:val="00D436F6"/>
    <w:rsid w:val="00D45D2F"/>
    <w:rsid w:val="00D523F9"/>
    <w:rsid w:val="00D5371F"/>
    <w:rsid w:val="00D544E1"/>
    <w:rsid w:val="00D55737"/>
    <w:rsid w:val="00D56BE2"/>
    <w:rsid w:val="00D61F55"/>
    <w:rsid w:val="00D63057"/>
    <w:rsid w:val="00D63DD7"/>
    <w:rsid w:val="00D63E7A"/>
    <w:rsid w:val="00D64A33"/>
    <w:rsid w:val="00D65514"/>
    <w:rsid w:val="00D720B4"/>
    <w:rsid w:val="00D74574"/>
    <w:rsid w:val="00D748B4"/>
    <w:rsid w:val="00D74D2C"/>
    <w:rsid w:val="00D76057"/>
    <w:rsid w:val="00D7646D"/>
    <w:rsid w:val="00D77199"/>
    <w:rsid w:val="00D779E0"/>
    <w:rsid w:val="00D80A32"/>
    <w:rsid w:val="00D816F4"/>
    <w:rsid w:val="00D82578"/>
    <w:rsid w:val="00D84F4D"/>
    <w:rsid w:val="00D84FA5"/>
    <w:rsid w:val="00D8510F"/>
    <w:rsid w:val="00D860C0"/>
    <w:rsid w:val="00D91F76"/>
    <w:rsid w:val="00D92E21"/>
    <w:rsid w:val="00D9354B"/>
    <w:rsid w:val="00D93C1F"/>
    <w:rsid w:val="00DA0D44"/>
    <w:rsid w:val="00DA0E73"/>
    <w:rsid w:val="00DA14A9"/>
    <w:rsid w:val="00DA33B8"/>
    <w:rsid w:val="00DA40C2"/>
    <w:rsid w:val="00DA5787"/>
    <w:rsid w:val="00DA6862"/>
    <w:rsid w:val="00DA7DA3"/>
    <w:rsid w:val="00DB14F2"/>
    <w:rsid w:val="00DB46FD"/>
    <w:rsid w:val="00DB5A3C"/>
    <w:rsid w:val="00DC0048"/>
    <w:rsid w:val="00DC041F"/>
    <w:rsid w:val="00DC158F"/>
    <w:rsid w:val="00DC1FC2"/>
    <w:rsid w:val="00DC1FD0"/>
    <w:rsid w:val="00DC326E"/>
    <w:rsid w:val="00DC3B8D"/>
    <w:rsid w:val="00DC6785"/>
    <w:rsid w:val="00DC6EB6"/>
    <w:rsid w:val="00DC7ABE"/>
    <w:rsid w:val="00DD0F24"/>
    <w:rsid w:val="00DD2D46"/>
    <w:rsid w:val="00DD3292"/>
    <w:rsid w:val="00DD38F4"/>
    <w:rsid w:val="00DD71B8"/>
    <w:rsid w:val="00DD7645"/>
    <w:rsid w:val="00DE0BF1"/>
    <w:rsid w:val="00DE287D"/>
    <w:rsid w:val="00DE2D63"/>
    <w:rsid w:val="00DE4A21"/>
    <w:rsid w:val="00DE4EAE"/>
    <w:rsid w:val="00DE5A37"/>
    <w:rsid w:val="00DE7639"/>
    <w:rsid w:val="00DF2F56"/>
    <w:rsid w:val="00DF3542"/>
    <w:rsid w:val="00DF5BD4"/>
    <w:rsid w:val="00DF7E6D"/>
    <w:rsid w:val="00E00ADF"/>
    <w:rsid w:val="00E02404"/>
    <w:rsid w:val="00E11FB4"/>
    <w:rsid w:val="00E1337A"/>
    <w:rsid w:val="00E15C06"/>
    <w:rsid w:val="00E162F3"/>
    <w:rsid w:val="00E178B7"/>
    <w:rsid w:val="00E24306"/>
    <w:rsid w:val="00E24786"/>
    <w:rsid w:val="00E25C85"/>
    <w:rsid w:val="00E26099"/>
    <w:rsid w:val="00E26267"/>
    <w:rsid w:val="00E31DA5"/>
    <w:rsid w:val="00E320F1"/>
    <w:rsid w:val="00E331FD"/>
    <w:rsid w:val="00E33B32"/>
    <w:rsid w:val="00E3407A"/>
    <w:rsid w:val="00E34FF0"/>
    <w:rsid w:val="00E40715"/>
    <w:rsid w:val="00E433B4"/>
    <w:rsid w:val="00E442CA"/>
    <w:rsid w:val="00E478F4"/>
    <w:rsid w:val="00E51955"/>
    <w:rsid w:val="00E541A9"/>
    <w:rsid w:val="00E55F8B"/>
    <w:rsid w:val="00E61FE0"/>
    <w:rsid w:val="00E62B34"/>
    <w:rsid w:val="00E64D45"/>
    <w:rsid w:val="00E65E29"/>
    <w:rsid w:val="00E66BF3"/>
    <w:rsid w:val="00E710D3"/>
    <w:rsid w:val="00E71751"/>
    <w:rsid w:val="00E73D7D"/>
    <w:rsid w:val="00E74BBF"/>
    <w:rsid w:val="00E770D4"/>
    <w:rsid w:val="00E80AF8"/>
    <w:rsid w:val="00E907A3"/>
    <w:rsid w:val="00E9116B"/>
    <w:rsid w:val="00E949D2"/>
    <w:rsid w:val="00E952D4"/>
    <w:rsid w:val="00E96381"/>
    <w:rsid w:val="00E9659C"/>
    <w:rsid w:val="00E97CDC"/>
    <w:rsid w:val="00EA0AB0"/>
    <w:rsid w:val="00EA1CD6"/>
    <w:rsid w:val="00EA45C7"/>
    <w:rsid w:val="00EA593E"/>
    <w:rsid w:val="00EA60F8"/>
    <w:rsid w:val="00EB293C"/>
    <w:rsid w:val="00EB2E1A"/>
    <w:rsid w:val="00EB2F37"/>
    <w:rsid w:val="00EB3144"/>
    <w:rsid w:val="00EB32A7"/>
    <w:rsid w:val="00EB3B5E"/>
    <w:rsid w:val="00EB4DC8"/>
    <w:rsid w:val="00EB5433"/>
    <w:rsid w:val="00EB5EA1"/>
    <w:rsid w:val="00EB667F"/>
    <w:rsid w:val="00EC0838"/>
    <w:rsid w:val="00EC1BC9"/>
    <w:rsid w:val="00EC37D5"/>
    <w:rsid w:val="00EC58B7"/>
    <w:rsid w:val="00EC6835"/>
    <w:rsid w:val="00EC695E"/>
    <w:rsid w:val="00EC74F5"/>
    <w:rsid w:val="00ED2F05"/>
    <w:rsid w:val="00ED7774"/>
    <w:rsid w:val="00EE44AE"/>
    <w:rsid w:val="00EE4F15"/>
    <w:rsid w:val="00EE5E19"/>
    <w:rsid w:val="00EF3673"/>
    <w:rsid w:val="00EF6135"/>
    <w:rsid w:val="00F0036A"/>
    <w:rsid w:val="00F01365"/>
    <w:rsid w:val="00F01956"/>
    <w:rsid w:val="00F02218"/>
    <w:rsid w:val="00F033F3"/>
    <w:rsid w:val="00F04F6F"/>
    <w:rsid w:val="00F07537"/>
    <w:rsid w:val="00F07A4D"/>
    <w:rsid w:val="00F07B16"/>
    <w:rsid w:val="00F116E2"/>
    <w:rsid w:val="00F126B6"/>
    <w:rsid w:val="00F17103"/>
    <w:rsid w:val="00F17E8D"/>
    <w:rsid w:val="00F230AA"/>
    <w:rsid w:val="00F23322"/>
    <w:rsid w:val="00F24173"/>
    <w:rsid w:val="00F243A3"/>
    <w:rsid w:val="00F254F3"/>
    <w:rsid w:val="00F2566F"/>
    <w:rsid w:val="00F27A3B"/>
    <w:rsid w:val="00F30682"/>
    <w:rsid w:val="00F307DD"/>
    <w:rsid w:val="00F30B14"/>
    <w:rsid w:val="00F3121C"/>
    <w:rsid w:val="00F3136E"/>
    <w:rsid w:val="00F31F40"/>
    <w:rsid w:val="00F324D5"/>
    <w:rsid w:val="00F3260D"/>
    <w:rsid w:val="00F3416F"/>
    <w:rsid w:val="00F341F0"/>
    <w:rsid w:val="00F35C91"/>
    <w:rsid w:val="00F35E94"/>
    <w:rsid w:val="00F36204"/>
    <w:rsid w:val="00F3718B"/>
    <w:rsid w:val="00F44429"/>
    <w:rsid w:val="00F53DA5"/>
    <w:rsid w:val="00F5495D"/>
    <w:rsid w:val="00F5689C"/>
    <w:rsid w:val="00F60965"/>
    <w:rsid w:val="00F6157C"/>
    <w:rsid w:val="00F620D7"/>
    <w:rsid w:val="00F67346"/>
    <w:rsid w:val="00F6740A"/>
    <w:rsid w:val="00F70B80"/>
    <w:rsid w:val="00F70D35"/>
    <w:rsid w:val="00F71B6E"/>
    <w:rsid w:val="00F71F12"/>
    <w:rsid w:val="00F72E72"/>
    <w:rsid w:val="00F738EA"/>
    <w:rsid w:val="00F742BD"/>
    <w:rsid w:val="00F756EC"/>
    <w:rsid w:val="00F757ED"/>
    <w:rsid w:val="00F7593E"/>
    <w:rsid w:val="00F7620A"/>
    <w:rsid w:val="00F77812"/>
    <w:rsid w:val="00F80FCB"/>
    <w:rsid w:val="00F82679"/>
    <w:rsid w:val="00F826C0"/>
    <w:rsid w:val="00F83562"/>
    <w:rsid w:val="00F84945"/>
    <w:rsid w:val="00F84F6A"/>
    <w:rsid w:val="00F87C45"/>
    <w:rsid w:val="00F94697"/>
    <w:rsid w:val="00FA05F6"/>
    <w:rsid w:val="00FA2FEC"/>
    <w:rsid w:val="00FA4173"/>
    <w:rsid w:val="00FA4A9A"/>
    <w:rsid w:val="00FA5EBA"/>
    <w:rsid w:val="00FA64CC"/>
    <w:rsid w:val="00FA7F58"/>
    <w:rsid w:val="00FB1EB5"/>
    <w:rsid w:val="00FB1FCD"/>
    <w:rsid w:val="00FB594F"/>
    <w:rsid w:val="00FC0161"/>
    <w:rsid w:val="00FC1E47"/>
    <w:rsid w:val="00FC4329"/>
    <w:rsid w:val="00FC4A6A"/>
    <w:rsid w:val="00FC57A5"/>
    <w:rsid w:val="00FC6E11"/>
    <w:rsid w:val="00FC704C"/>
    <w:rsid w:val="00FD27DC"/>
    <w:rsid w:val="00FD328B"/>
    <w:rsid w:val="00FD449E"/>
    <w:rsid w:val="00FD4CB3"/>
    <w:rsid w:val="00FD5896"/>
    <w:rsid w:val="00FD695F"/>
    <w:rsid w:val="00FE18F1"/>
    <w:rsid w:val="00FE2CF5"/>
    <w:rsid w:val="00FE44C3"/>
    <w:rsid w:val="00FE4B04"/>
    <w:rsid w:val="00FE79CF"/>
    <w:rsid w:val="00FF3013"/>
    <w:rsid w:val="00FF58B3"/>
    <w:rsid w:val="00FF78D6"/>
    <w:rsid w:val="00FF7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9FF7"/>
  <w14:defaultImageDpi w14:val="32767"/>
  <w15:docId w15:val="{4D889865-56DB-4701-98A2-93506B5F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A5"/>
    <w:pPr>
      <w:spacing w:after="120" w:line="264" w:lineRule="auto"/>
      <w:jc w:val="both"/>
    </w:pPr>
    <w:rPr>
      <w:rFonts w:ascii="Cambria" w:eastAsia="Cambria" w:hAnsi="Cambria" w:cs="Cambria"/>
      <w:color w:val="000000"/>
    </w:rPr>
  </w:style>
  <w:style w:type="paragraph" w:styleId="Heading1">
    <w:name w:val="heading 1"/>
    <w:next w:val="Normal"/>
    <w:link w:val="Heading1Char"/>
    <w:uiPriority w:val="9"/>
    <w:qFormat/>
    <w:rsid w:val="00B66DA6"/>
    <w:pPr>
      <w:keepNext/>
      <w:keepLines/>
      <w:spacing w:before="200" w:after="120" w:line="264" w:lineRule="auto"/>
      <w:outlineLvl w:val="0"/>
    </w:pPr>
    <w:rPr>
      <w:rFonts w:ascii="Cambria" w:eastAsia="Cambria" w:hAnsi="Cambria" w:cs="Cambria"/>
      <w:b/>
      <w:color w:val="000000"/>
      <w:sz w:val="24"/>
    </w:rPr>
  </w:style>
  <w:style w:type="paragraph" w:styleId="Heading2">
    <w:name w:val="heading 2"/>
    <w:next w:val="Normal"/>
    <w:link w:val="Heading2Char"/>
    <w:uiPriority w:val="9"/>
    <w:unhideWhenUsed/>
    <w:qFormat/>
    <w:rsid w:val="00B66DA6"/>
    <w:pPr>
      <w:keepNext/>
      <w:keepLines/>
      <w:spacing w:before="120" w:after="60" w:line="264" w:lineRule="auto"/>
      <w:outlineLvl w:val="1"/>
    </w:pPr>
    <w:rPr>
      <w:rFonts w:ascii="Cambria" w:eastAsia="Cambria" w:hAnsi="Cambria" w:cs="Cambria"/>
      <w:b/>
      <w:color w:val="000000"/>
    </w:rPr>
  </w:style>
  <w:style w:type="paragraph" w:styleId="Heading3">
    <w:name w:val="heading 3"/>
    <w:next w:val="Normal"/>
    <w:link w:val="Heading3Char"/>
    <w:uiPriority w:val="9"/>
    <w:unhideWhenUsed/>
    <w:qFormat/>
    <w:rsid w:val="00B66DA6"/>
    <w:pPr>
      <w:keepNext/>
      <w:keepLines/>
      <w:spacing w:before="60" w:after="60" w:line="264" w:lineRule="auto"/>
      <w:outlineLvl w:val="2"/>
    </w:pPr>
    <w:rPr>
      <w:rFonts w:ascii="Cambria" w:eastAsia="Cambria" w:hAnsi="Cambria" w:cs="Cambria"/>
      <w:i/>
      <w:color w:val="000000"/>
    </w:rPr>
  </w:style>
  <w:style w:type="paragraph" w:styleId="Heading4">
    <w:name w:val="heading 4"/>
    <w:basedOn w:val="Normal"/>
    <w:next w:val="Normal"/>
    <w:link w:val="Heading4Char"/>
    <w:uiPriority w:val="9"/>
    <w:unhideWhenUsed/>
    <w:qFormat/>
    <w:rsid w:val="00EB54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07A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815B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07AA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07A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7AA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66DA6"/>
    <w:rPr>
      <w:rFonts w:ascii="Cambria" w:eastAsia="Cambria" w:hAnsi="Cambria" w:cs="Cambria"/>
      <w:b/>
      <w:color w:val="000000"/>
    </w:rPr>
  </w:style>
  <w:style w:type="character" w:customStyle="1" w:styleId="Heading1Char">
    <w:name w:val="Heading 1 Char"/>
    <w:link w:val="Heading1"/>
    <w:uiPriority w:val="9"/>
    <w:rsid w:val="00B66DA6"/>
    <w:rPr>
      <w:rFonts w:ascii="Cambria" w:eastAsia="Cambria" w:hAnsi="Cambria" w:cs="Cambria"/>
      <w:b/>
      <w:color w:val="000000"/>
      <w:sz w:val="24"/>
    </w:rPr>
  </w:style>
  <w:style w:type="paragraph" w:customStyle="1" w:styleId="footnotedescription">
    <w:name w:val="footnote description"/>
    <w:next w:val="Normal"/>
    <w:link w:val="footnotedescriptionChar"/>
    <w:hidden/>
    <w:pPr>
      <w:spacing w:after="0"/>
      <w:ind w:left="111"/>
    </w:pPr>
    <w:rPr>
      <w:rFonts w:ascii="Cambria" w:eastAsia="Cambria" w:hAnsi="Cambria" w:cs="Cambria"/>
      <w:color w:val="000000"/>
      <w:sz w:val="16"/>
    </w:rPr>
  </w:style>
  <w:style w:type="character" w:customStyle="1" w:styleId="footnotedescriptionChar">
    <w:name w:val="footnote description Char"/>
    <w:link w:val="footnotedescription"/>
    <w:rPr>
      <w:rFonts w:ascii="Cambria" w:eastAsia="Cambria" w:hAnsi="Cambria" w:cs="Cambria"/>
      <w:color w:val="000000"/>
      <w:sz w:val="16"/>
    </w:rPr>
  </w:style>
  <w:style w:type="character" w:customStyle="1" w:styleId="Heading3Char">
    <w:name w:val="Heading 3 Char"/>
    <w:link w:val="Heading3"/>
    <w:uiPriority w:val="9"/>
    <w:rsid w:val="00E949D2"/>
    <w:rPr>
      <w:rFonts w:ascii="Cambria" w:eastAsia="Cambria" w:hAnsi="Cambria" w:cs="Cambria"/>
      <w:i/>
      <w:color w:val="000000"/>
    </w:rPr>
  </w:style>
  <w:style w:type="character" w:customStyle="1" w:styleId="footnotemark">
    <w:name w:val="footnote mark"/>
    <w:hidden/>
    <w:rPr>
      <w:rFonts w:ascii="Cambria" w:eastAsia="Cambria" w:hAnsi="Cambria" w:cs="Cambri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24413"/>
    <w:pPr>
      <w:ind w:left="720"/>
      <w:contextualSpacing/>
    </w:pPr>
  </w:style>
  <w:style w:type="character" w:styleId="Hyperlink">
    <w:name w:val="Hyperlink"/>
    <w:basedOn w:val="DefaultParagraphFont"/>
    <w:uiPriority w:val="99"/>
    <w:unhideWhenUsed/>
    <w:rsid w:val="0068047F"/>
    <w:rPr>
      <w:color w:val="0563C1" w:themeColor="hyperlink"/>
      <w:u w:val="single"/>
    </w:rPr>
  </w:style>
  <w:style w:type="character" w:styleId="UnresolvedMention">
    <w:name w:val="Unresolved Mention"/>
    <w:basedOn w:val="DefaultParagraphFont"/>
    <w:uiPriority w:val="99"/>
    <w:semiHidden/>
    <w:unhideWhenUsed/>
    <w:rsid w:val="0068047F"/>
    <w:rPr>
      <w:color w:val="605E5C"/>
      <w:shd w:val="clear" w:color="auto" w:fill="E1DFDD"/>
    </w:rPr>
  </w:style>
  <w:style w:type="paragraph" w:styleId="Revision">
    <w:name w:val="Revision"/>
    <w:hidden/>
    <w:uiPriority w:val="99"/>
    <w:semiHidden/>
    <w:rsid w:val="006A75F8"/>
    <w:pPr>
      <w:spacing w:after="0" w:line="240" w:lineRule="auto"/>
    </w:pPr>
    <w:rPr>
      <w:rFonts w:ascii="Cambria" w:eastAsia="Cambria" w:hAnsi="Cambria" w:cs="Cambria"/>
      <w:color w:val="000000"/>
      <w:sz w:val="20"/>
    </w:rPr>
  </w:style>
  <w:style w:type="character" w:styleId="CommentReference">
    <w:name w:val="annotation reference"/>
    <w:basedOn w:val="DefaultParagraphFont"/>
    <w:uiPriority w:val="99"/>
    <w:semiHidden/>
    <w:unhideWhenUsed/>
    <w:rsid w:val="00505E26"/>
    <w:rPr>
      <w:sz w:val="16"/>
      <w:szCs w:val="16"/>
    </w:rPr>
  </w:style>
  <w:style w:type="paragraph" w:styleId="CommentText">
    <w:name w:val="annotation text"/>
    <w:basedOn w:val="Normal"/>
    <w:link w:val="CommentTextChar"/>
    <w:uiPriority w:val="99"/>
    <w:unhideWhenUsed/>
    <w:rsid w:val="00505E26"/>
    <w:pPr>
      <w:spacing w:line="240" w:lineRule="auto"/>
    </w:pPr>
    <w:rPr>
      <w:szCs w:val="20"/>
    </w:rPr>
  </w:style>
  <w:style w:type="character" w:customStyle="1" w:styleId="CommentTextChar">
    <w:name w:val="Comment Text Char"/>
    <w:basedOn w:val="DefaultParagraphFont"/>
    <w:link w:val="CommentText"/>
    <w:uiPriority w:val="99"/>
    <w:rsid w:val="00505E26"/>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505E26"/>
    <w:rPr>
      <w:b/>
      <w:bCs/>
    </w:rPr>
  </w:style>
  <w:style w:type="character" w:customStyle="1" w:styleId="CommentSubjectChar">
    <w:name w:val="Comment Subject Char"/>
    <w:basedOn w:val="CommentTextChar"/>
    <w:link w:val="CommentSubject"/>
    <w:uiPriority w:val="99"/>
    <w:semiHidden/>
    <w:rsid w:val="00505E26"/>
    <w:rPr>
      <w:rFonts w:ascii="Cambria" w:eastAsia="Cambria" w:hAnsi="Cambria" w:cs="Cambria"/>
      <w:b/>
      <w:bCs/>
      <w:color w:val="000000"/>
      <w:sz w:val="20"/>
      <w:szCs w:val="20"/>
    </w:rPr>
  </w:style>
  <w:style w:type="character" w:styleId="PlaceholderText">
    <w:name w:val="Placeholder Text"/>
    <w:basedOn w:val="DefaultParagraphFont"/>
    <w:uiPriority w:val="99"/>
    <w:semiHidden/>
    <w:rsid w:val="005E19D4"/>
    <w:rPr>
      <w:color w:val="808080"/>
    </w:rPr>
  </w:style>
  <w:style w:type="table" w:styleId="TableGrid0">
    <w:name w:val="Table Grid"/>
    <w:basedOn w:val="TableNormal"/>
    <w:uiPriority w:val="39"/>
    <w:rsid w:val="00946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478E8"/>
    <w:pPr>
      <w:spacing w:after="240" w:line="240" w:lineRule="auto"/>
    </w:pPr>
    <w:rPr>
      <w:iCs/>
      <w:color w:val="auto"/>
      <w:sz w:val="16"/>
      <w:szCs w:val="18"/>
    </w:rPr>
  </w:style>
  <w:style w:type="paragraph" w:styleId="NoSpacing">
    <w:name w:val="No Spacing"/>
    <w:uiPriority w:val="1"/>
    <w:qFormat/>
    <w:rsid w:val="00FC6E11"/>
    <w:pPr>
      <w:spacing w:after="0" w:line="240" w:lineRule="auto"/>
      <w:ind w:firstLine="289"/>
      <w:jc w:val="both"/>
    </w:pPr>
    <w:rPr>
      <w:rFonts w:ascii="Cambria" w:eastAsia="Cambria" w:hAnsi="Cambria" w:cs="Cambria"/>
      <w:color w:val="000000"/>
    </w:rPr>
  </w:style>
  <w:style w:type="character" w:customStyle="1" w:styleId="Heading4Char">
    <w:name w:val="Heading 4 Char"/>
    <w:basedOn w:val="DefaultParagraphFont"/>
    <w:link w:val="Heading4"/>
    <w:uiPriority w:val="9"/>
    <w:rsid w:val="00EB5433"/>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F3260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762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62B4"/>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7762B4"/>
    <w:rPr>
      <w:vertAlign w:val="superscript"/>
    </w:rPr>
  </w:style>
  <w:style w:type="paragraph" w:styleId="BalloonText">
    <w:name w:val="Balloon Text"/>
    <w:basedOn w:val="Normal"/>
    <w:link w:val="BalloonTextChar"/>
    <w:uiPriority w:val="99"/>
    <w:semiHidden/>
    <w:unhideWhenUsed/>
    <w:rsid w:val="000A3D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D5B"/>
    <w:rPr>
      <w:rFonts w:ascii="Segoe UI" w:eastAsia="Cambria" w:hAnsi="Segoe UI" w:cs="Segoe UI"/>
      <w:color w:val="000000"/>
      <w:sz w:val="18"/>
      <w:szCs w:val="18"/>
    </w:rPr>
  </w:style>
  <w:style w:type="character" w:styleId="LineNumber">
    <w:name w:val="line number"/>
    <w:basedOn w:val="DefaultParagraphFont"/>
    <w:uiPriority w:val="99"/>
    <w:semiHidden/>
    <w:unhideWhenUsed/>
    <w:rsid w:val="00DA40C2"/>
  </w:style>
  <w:style w:type="paragraph" w:styleId="Header">
    <w:name w:val="header"/>
    <w:basedOn w:val="Normal"/>
    <w:link w:val="HeaderChar"/>
    <w:uiPriority w:val="99"/>
    <w:unhideWhenUsed/>
    <w:rsid w:val="00381F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1FC9"/>
    <w:rPr>
      <w:rFonts w:ascii="Cambria" w:eastAsia="Cambria" w:hAnsi="Cambria" w:cs="Cambria"/>
      <w:color w:val="000000"/>
    </w:rPr>
  </w:style>
  <w:style w:type="paragraph" w:styleId="Footer">
    <w:name w:val="footer"/>
    <w:basedOn w:val="Normal"/>
    <w:link w:val="FooterChar"/>
    <w:uiPriority w:val="99"/>
    <w:unhideWhenUsed/>
    <w:rsid w:val="00381F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1FC9"/>
    <w:rPr>
      <w:rFonts w:ascii="Cambria" w:eastAsia="Cambria" w:hAnsi="Cambria" w:cs="Cambria"/>
      <w:color w:val="000000"/>
    </w:rPr>
  </w:style>
  <w:style w:type="character" w:styleId="FollowedHyperlink">
    <w:name w:val="FollowedHyperlink"/>
    <w:basedOn w:val="DefaultParagraphFont"/>
    <w:uiPriority w:val="99"/>
    <w:semiHidden/>
    <w:unhideWhenUsed/>
    <w:rsid w:val="001A5125"/>
    <w:rPr>
      <w:color w:val="954F72" w:themeColor="followedHyperlink"/>
      <w:u w:val="single"/>
    </w:rPr>
  </w:style>
  <w:style w:type="table" w:styleId="PlainTable5">
    <w:name w:val="Plain Table 5"/>
    <w:basedOn w:val="TableNormal"/>
    <w:uiPriority w:val="45"/>
    <w:rsid w:val="006A0A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6Char">
    <w:name w:val="Heading 6 Char"/>
    <w:basedOn w:val="DefaultParagraphFont"/>
    <w:link w:val="Heading6"/>
    <w:uiPriority w:val="9"/>
    <w:semiHidden/>
    <w:rsid w:val="003815BD"/>
    <w:rPr>
      <w:rFonts w:asciiTheme="majorHAnsi" w:eastAsiaTheme="majorEastAsia" w:hAnsiTheme="majorHAnsi" w:cstheme="majorBidi"/>
      <w:color w:val="1F3763" w:themeColor="accent1" w:themeShade="7F"/>
    </w:rPr>
  </w:style>
  <w:style w:type="table" w:styleId="PlainTable3">
    <w:name w:val="Plain Table 3"/>
    <w:basedOn w:val="TableNormal"/>
    <w:uiPriority w:val="43"/>
    <w:rsid w:val="002C63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ibliography">
    <w:name w:val="Bibliography"/>
    <w:basedOn w:val="Normal"/>
    <w:next w:val="Normal"/>
    <w:uiPriority w:val="37"/>
    <w:unhideWhenUsed/>
    <w:rsid w:val="00975B76"/>
    <w:pPr>
      <w:tabs>
        <w:tab w:val="left" w:pos="384"/>
      </w:tabs>
      <w:spacing w:after="0" w:line="240" w:lineRule="auto"/>
      <w:ind w:left="384" w:hanging="384"/>
    </w:pPr>
  </w:style>
  <w:style w:type="character" w:styleId="BookTitle">
    <w:name w:val="Book Title"/>
    <w:basedOn w:val="DefaultParagraphFont"/>
    <w:uiPriority w:val="33"/>
    <w:qFormat/>
    <w:rsid w:val="00507AAB"/>
    <w:rPr>
      <w:b/>
      <w:bCs/>
      <w:i/>
      <w:iCs/>
      <w:spacing w:val="5"/>
    </w:rPr>
  </w:style>
  <w:style w:type="character" w:styleId="Emphasis">
    <w:name w:val="Emphasis"/>
    <w:basedOn w:val="DefaultParagraphFont"/>
    <w:uiPriority w:val="20"/>
    <w:qFormat/>
    <w:rsid w:val="00507AAB"/>
    <w:rPr>
      <w:i/>
      <w:iCs/>
    </w:rPr>
  </w:style>
  <w:style w:type="character" w:customStyle="1" w:styleId="Heading5Char">
    <w:name w:val="Heading 5 Char"/>
    <w:basedOn w:val="DefaultParagraphFont"/>
    <w:link w:val="Heading5"/>
    <w:uiPriority w:val="9"/>
    <w:semiHidden/>
    <w:rsid w:val="00507A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07AA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07A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AA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07AAB"/>
    <w:rPr>
      <w:i/>
      <w:iCs/>
      <w:color w:val="4472C4" w:themeColor="accent1"/>
    </w:rPr>
  </w:style>
  <w:style w:type="paragraph" w:styleId="IntenseQuote">
    <w:name w:val="Intense Quote"/>
    <w:basedOn w:val="Normal"/>
    <w:next w:val="Normal"/>
    <w:link w:val="IntenseQuoteChar"/>
    <w:uiPriority w:val="30"/>
    <w:qFormat/>
    <w:rsid w:val="00507AA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07AAB"/>
    <w:rPr>
      <w:rFonts w:ascii="Cambria" w:eastAsia="Cambria" w:hAnsi="Cambria" w:cs="Cambria"/>
      <w:i/>
      <w:iCs/>
      <w:color w:val="4472C4" w:themeColor="accent1"/>
    </w:rPr>
  </w:style>
  <w:style w:type="character" w:styleId="IntenseReference">
    <w:name w:val="Intense Reference"/>
    <w:basedOn w:val="DefaultParagraphFont"/>
    <w:uiPriority w:val="32"/>
    <w:qFormat/>
    <w:rsid w:val="00507AAB"/>
    <w:rPr>
      <w:b/>
      <w:bCs/>
      <w:smallCaps/>
      <w:color w:val="4472C4" w:themeColor="accent1"/>
      <w:spacing w:val="5"/>
    </w:rPr>
  </w:style>
  <w:style w:type="paragraph" w:styleId="Quote">
    <w:name w:val="Quote"/>
    <w:basedOn w:val="Normal"/>
    <w:next w:val="Normal"/>
    <w:link w:val="QuoteChar"/>
    <w:uiPriority w:val="29"/>
    <w:qFormat/>
    <w:rsid w:val="00507AA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07AAB"/>
    <w:rPr>
      <w:rFonts w:ascii="Cambria" w:eastAsia="Cambria" w:hAnsi="Cambria" w:cs="Cambria"/>
      <w:i/>
      <w:iCs/>
      <w:color w:val="404040" w:themeColor="text1" w:themeTint="BF"/>
    </w:rPr>
  </w:style>
  <w:style w:type="character" w:styleId="Strong">
    <w:name w:val="Strong"/>
    <w:basedOn w:val="DefaultParagraphFont"/>
    <w:uiPriority w:val="22"/>
    <w:qFormat/>
    <w:rsid w:val="00507AAB"/>
    <w:rPr>
      <w:b/>
      <w:bCs/>
    </w:rPr>
  </w:style>
  <w:style w:type="paragraph" w:styleId="Subtitle">
    <w:name w:val="Subtitle"/>
    <w:basedOn w:val="Normal"/>
    <w:next w:val="Normal"/>
    <w:link w:val="SubtitleChar"/>
    <w:uiPriority w:val="11"/>
    <w:qFormat/>
    <w:rsid w:val="00507AA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07AAB"/>
    <w:rPr>
      <w:color w:val="5A5A5A" w:themeColor="text1" w:themeTint="A5"/>
      <w:spacing w:val="15"/>
    </w:rPr>
  </w:style>
  <w:style w:type="character" w:styleId="SubtleEmphasis">
    <w:name w:val="Subtle Emphasis"/>
    <w:basedOn w:val="DefaultParagraphFont"/>
    <w:uiPriority w:val="19"/>
    <w:qFormat/>
    <w:rsid w:val="00507AAB"/>
    <w:rPr>
      <w:i/>
      <w:iCs/>
      <w:color w:val="404040" w:themeColor="text1" w:themeTint="BF"/>
    </w:rPr>
  </w:style>
  <w:style w:type="character" w:styleId="SubtleReference">
    <w:name w:val="Subtle Reference"/>
    <w:basedOn w:val="DefaultParagraphFont"/>
    <w:uiPriority w:val="31"/>
    <w:qFormat/>
    <w:rsid w:val="00507AAB"/>
    <w:rPr>
      <w:smallCaps/>
      <w:color w:val="5A5A5A" w:themeColor="text1" w:themeTint="A5"/>
    </w:rPr>
  </w:style>
  <w:style w:type="paragraph" w:styleId="Title">
    <w:name w:val="Title"/>
    <w:basedOn w:val="Normal"/>
    <w:next w:val="Normal"/>
    <w:link w:val="TitleChar"/>
    <w:uiPriority w:val="10"/>
    <w:qFormat/>
    <w:rsid w:val="00507AA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07AAB"/>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07AAB"/>
    <w:pPr>
      <w:spacing w:before="240" w:after="0"/>
      <w:jc w:val="both"/>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430">
      <w:bodyDiv w:val="1"/>
      <w:marLeft w:val="0"/>
      <w:marRight w:val="0"/>
      <w:marTop w:val="0"/>
      <w:marBottom w:val="0"/>
      <w:divBdr>
        <w:top w:val="none" w:sz="0" w:space="0" w:color="auto"/>
        <w:left w:val="none" w:sz="0" w:space="0" w:color="auto"/>
        <w:bottom w:val="none" w:sz="0" w:space="0" w:color="auto"/>
        <w:right w:val="none" w:sz="0" w:space="0" w:color="auto"/>
      </w:divBdr>
      <w:divsChild>
        <w:div w:id="1021855092">
          <w:marLeft w:val="0"/>
          <w:marRight w:val="0"/>
          <w:marTop w:val="0"/>
          <w:marBottom w:val="0"/>
          <w:divBdr>
            <w:top w:val="none" w:sz="0" w:space="0" w:color="auto"/>
            <w:left w:val="none" w:sz="0" w:space="0" w:color="auto"/>
            <w:bottom w:val="none" w:sz="0" w:space="0" w:color="auto"/>
            <w:right w:val="none" w:sz="0" w:space="0" w:color="auto"/>
          </w:divBdr>
          <w:divsChild>
            <w:div w:id="664629624">
              <w:marLeft w:val="0"/>
              <w:marRight w:val="0"/>
              <w:marTop w:val="0"/>
              <w:marBottom w:val="0"/>
              <w:divBdr>
                <w:top w:val="none" w:sz="0" w:space="0" w:color="auto"/>
                <w:left w:val="none" w:sz="0" w:space="0" w:color="auto"/>
                <w:bottom w:val="none" w:sz="0" w:space="0" w:color="auto"/>
                <w:right w:val="none" w:sz="0" w:space="0" w:color="auto"/>
              </w:divBdr>
              <w:divsChild>
                <w:div w:id="2035425870">
                  <w:marLeft w:val="0"/>
                  <w:marRight w:val="0"/>
                  <w:marTop w:val="0"/>
                  <w:marBottom w:val="0"/>
                  <w:divBdr>
                    <w:top w:val="none" w:sz="0" w:space="0" w:color="auto"/>
                    <w:left w:val="none" w:sz="0" w:space="0" w:color="auto"/>
                    <w:bottom w:val="none" w:sz="0" w:space="0" w:color="auto"/>
                    <w:right w:val="none" w:sz="0" w:space="0" w:color="auto"/>
                  </w:divBdr>
                  <w:divsChild>
                    <w:div w:id="500895511">
                      <w:marLeft w:val="0"/>
                      <w:marRight w:val="0"/>
                      <w:marTop w:val="0"/>
                      <w:marBottom w:val="0"/>
                      <w:divBdr>
                        <w:top w:val="none" w:sz="0" w:space="0" w:color="auto"/>
                        <w:left w:val="none" w:sz="0" w:space="0" w:color="auto"/>
                        <w:bottom w:val="none" w:sz="0" w:space="0" w:color="auto"/>
                        <w:right w:val="none" w:sz="0" w:space="0" w:color="auto"/>
                      </w:divBdr>
                      <w:divsChild>
                        <w:div w:id="2131969536">
                          <w:marLeft w:val="0"/>
                          <w:marRight w:val="0"/>
                          <w:marTop w:val="0"/>
                          <w:marBottom w:val="0"/>
                          <w:divBdr>
                            <w:top w:val="none" w:sz="0" w:space="0" w:color="auto"/>
                            <w:left w:val="none" w:sz="0" w:space="0" w:color="auto"/>
                            <w:bottom w:val="none" w:sz="0" w:space="0" w:color="auto"/>
                            <w:right w:val="none" w:sz="0" w:space="0" w:color="auto"/>
                          </w:divBdr>
                          <w:divsChild>
                            <w:div w:id="20309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02317">
      <w:bodyDiv w:val="1"/>
      <w:marLeft w:val="0"/>
      <w:marRight w:val="0"/>
      <w:marTop w:val="0"/>
      <w:marBottom w:val="0"/>
      <w:divBdr>
        <w:top w:val="none" w:sz="0" w:space="0" w:color="auto"/>
        <w:left w:val="none" w:sz="0" w:space="0" w:color="auto"/>
        <w:bottom w:val="none" w:sz="0" w:space="0" w:color="auto"/>
        <w:right w:val="none" w:sz="0" w:space="0" w:color="auto"/>
      </w:divBdr>
      <w:divsChild>
        <w:div w:id="245455415">
          <w:marLeft w:val="0"/>
          <w:marRight w:val="0"/>
          <w:marTop w:val="0"/>
          <w:marBottom w:val="0"/>
          <w:divBdr>
            <w:top w:val="none" w:sz="0" w:space="0" w:color="auto"/>
            <w:left w:val="none" w:sz="0" w:space="0" w:color="auto"/>
            <w:bottom w:val="none" w:sz="0" w:space="0" w:color="auto"/>
            <w:right w:val="none" w:sz="0" w:space="0" w:color="auto"/>
          </w:divBdr>
          <w:divsChild>
            <w:div w:id="16392034">
              <w:marLeft w:val="0"/>
              <w:marRight w:val="0"/>
              <w:marTop w:val="0"/>
              <w:marBottom w:val="0"/>
              <w:divBdr>
                <w:top w:val="none" w:sz="0" w:space="0" w:color="auto"/>
                <w:left w:val="none" w:sz="0" w:space="0" w:color="auto"/>
                <w:bottom w:val="none" w:sz="0" w:space="0" w:color="auto"/>
                <w:right w:val="none" w:sz="0" w:space="0" w:color="auto"/>
              </w:divBdr>
              <w:divsChild>
                <w:div w:id="806433175">
                  <w:marLeft w:val="0"/>
                  <w:marRight w:val="0"/>
                  <w:marTop w:val="0"/>
                  <w:marBottom w:val="0"/>
                  <w:divBdr>
                    <w:top w:val="none" w:sz="0" w:space="0" w:color="auto"/>
                    <w:left w:val="none" w:sz="0" w:space="0" w:color="auto"/>
                    <w:bottom w:val="none" w:sz="0" w:space="0" w:color="auto"/>
                    <w:right w:val="none" w:sz="0" w:space="0" w:color="auto"/>
                  </w:divBdr>
                  <w:divsChild>
                    <w:div w:id="1433088231">
                      <w:marLeft w:val="0"/>
                      <w:marRight w:val="0"/>
                      <w:marTop w:val="0"/>
                      <w:marBottom w:val="0"/>
                      <w:divBdr>
                        <w:top w:val="none" w:sz="0" w:space="0" w:color="auto"/>
                        <w:left w:val="none" w:sz="0" w:space="0" w:color="auto"/>
                        <w:bottom w:val="none" w:sz="0" w:space="0" w:color="auto"/>
                        <w:right w:val="none" w:sz="0" w:space="0" w:color="auto"/>
                      </w:divBdr>
                      <w:divsChild>
                        <w:div w:id="739136053">
                          <w:marLeft w:val="0"/>
                          <w:marRight w:val="0"/>
                          <w:marTop w:val="0"/>
                          <w:marBottom w:val="0"/>
                          <w:divBdr>
                            <w:top w:val="none" w:sz="0" w:space="0" w:color="auto"/>
                            <w:left w:val="none" w:sz="0" w:space="0" w:color="auto"/>
                            <w:bottom w:val="none" w:sz="0" w:space="0" w:color="auto"/>
                            <w:right w:val="none" w:sz="0" w:space="0" w:color="auto"/>
                          </w:divBdr>
                          <w:divsChild>
                            <w:div w:id="20161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62222">
      <w:bodyDiv w:val="1"/>
      <w:marLeft w:val="0"/>
      <w:marRight w:val="0"/>
      <w:marTop w:val="0"/>
      <w:marBottom w:val="0"/>
      <w:divBdr>
        <w:top w:val="none" w:sz="0" w:space="0" w:color="auto"/>
        <w:left w:val="none" w:sz="0" w:space="0" w:color="auto"/>
        <w:bottom w:val="none" w:sz="0" w:space="0" w:color="auto"/>
        <w:right w:val="none" w:sz="0" w:space="0" w:color="auto"/>
      </w:divBdr>
      <w:divsChild>
        <w:div w:id="523128077">
          <w:marLeft w:val="0"/>
          <w:marRight w:val="0"/>
          <w:marTop w:val="0"/>
          <w:marBottom w:val="0"/>
          <w:divBdr>
            <w:top w:val="none" w:sz="0" w:space="0" w:color="auto"/>
            <w:left w:val="none" w:sz="0" w:space="0" w:color="auto"/>
            <w:bottom w:val="none" w:sz="0" w:space="0" w:color="auto"/>
            <w:right w:val="none" w:sz="0" w:space="0" w:color="auto"/>
          </w:divBdr>
          <w:divsChild>
            <w:div w:id="1394691558">
              <w:marLeft w:val="0"/>
              <w:marRight w:val="0"/>
              <w:marTop w:val="0"/>
              <w:marBottom w:val="0"/>
              <w:divBdr>
                <w:top w:val="none" w:sz="0" w:space="0" w:color="auto"/>
                <w:left w:val="none" w:sz="0" w:space="0" w:color="auto"/>
                <w:bottom w:val="none" w:sz="0" w:space="0" w:color="auto"/>
                <w:right w:val="none" w:sz="0" w:space="0" w:color="auto"/>
              </w:divBdr>
              <w:divsChild>
                <w:div w:id="2116900018">
                  <w:marLeft w:val="0"/>
                  <w:marRight w:val="0"/>
                  <w:marTop w:val="0"/>
                  <w:marBottom w:val="0"/>
                  <w:divBdr>
                    <w:top w:val="none" w:sz="0" w:space="0" w:color="auto"/>
                    <w:left w:val="none" w:sz="0" w:space="0" w:color="auto"/>
                    <w:bottom w:val="none" w:sz="0" w:space="0" w:color="auto"/>
                    <w:right w:val="none" w:sz="0" w:space="0" w:color="auto"/>
                  </w:divBdr>
                  <w:divsChild>
                    <w:div w:id="24989551">
                      <w:marLeft w:val="0"/>
                      <w:marRight w:val="0"/>
                      <w:marTop w:val="0"/>
                      <w:marBottom w:val="0"/>
                      <w:divBdr>
                        <w:top w:val="none" w:sz="0" w:space="0" w:color="auto"/>
                        <w:left w:val="none" w:sz="0" w:space="0" w:color="auto"/>
                        <w:bottom w:val="none" w:sz="0" w:space="0" w:color="auto"/>
                        <w:right w:val="none" w:sz="0" w:space="0" w:color="auto"/>
                      </w:divBdr>
                      <w:divsChild>
                        <w:div w:id="1093354651">
                          <w:marLeft w:val="0"/>
                          <w:marRight w:val="0"/>
                          <w:marTop w:val="0"/>
                          <w:marBottom w:val="0"/>
                          <w:divBdr>
                            <w:top w:val="none" w:sz="0" w:space="0" w:color="auto"/>
                            <w:left w:val="none" w:sz="0" w:space="0" w:color="auto"/>
                            <w:bottom w:val="none" w:sz="0" w:space="0" w:color="auto"/>
                            <w:right w:val="none" w:sz="0" w:space="0" w:color="auto"/>
                          </w:divBdr>
                          <w:divsChild>
                            <w:div w:id="15095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83796">
      <w:bodyDiv w:val="1"/>
      <w:marLeft w:val="0"/>
      <w:marRight w:val="0"/>
      <w:marTop w:val="0"/>
      <w:marBottom w:val="0"/>
      <w:divBdr>
        <w:top w:val="none" w:sz="0" w:space="0" w:color="auto"/>
        <w:left w:val="none" w:sz="0" w:space="0" w:color="auto"/>
        <w:bottom w:val="none" w:sz="0" w:space="0" w:color="auto"/>
        <w:right w:val="none" w:sz="0" w:space="0" w:color="auto"/>
      </w:divBdr>
      <w:divsChild>
        <w:div w:id="1245724336">
          <w:marLeft w:val="0"/>
          <w:marRight w:val="0"/>
          <w:marTop w:val="0"/>
          <w:marBottom w:val="0"/>
          <w:divBdr>
            <w:top w:val="none" w:sz="0" w:space="0" w:color="auto"/>
            <w:left w:val="none" w:sz="0" w:space="0" w:color="auto"/>
            <w:bottom w:val="none" w:sz="0" w:space="0" w:color="auto"/>
            <w:right w:val="none" w:sz="0" w:space="0" w:color="auto"/>
          </w:divBdr>
          <w:divsChild>
            <w:div w:id="1793358338">
              <w:marLeft w:val="0"/>
              <w:marRight w:val="0"/>
              <w:marTop w:val="0"/>
              <w:marBottom w:val="0"/>
              <w:divBdr>
                <w:top w:val="none" w:sz="0" w:space="0" w:color="auto"/>
                <w:left w:val="none" w:sz="0" w:space="0" w:color="auto"/>
                <w:bottom w:val="none" w:sz="0" w:space="0" w:color="auto"/>
                <w:right w:val="none" w:sz="0" w:space="0" w:color="auto"/>
              </w:divBdr>
              <w:divsChild>
                <w:div w:id="1819607079">
                  <w:marLeft w:val="0"/>
                  <w:marRight w:val="0"/>
                  <w:marTop w:val="0"/>
                  <w:marBottom w:val="0"/>
                  <w:divBdr>
                    <w:top w:val="none" w:sz="0" w:space="0" w:color="auto"/>
                    <w:left w:val="none" w:sz="0" w:space="0" w:color="auto"/>
                    <w:bottom w:val="none" w:sz="0" w:space="0" w:color="auto"/>
                    <w:right w:val="none" w:sz="0" w:space="0" w:color="auto"/>
                  </w:divBdr>
                  <w:divsChild>
                    <w:div w:id="1169296818">
                      <w:marLeft w:val="0"/>
                      <w:marRight w:val="0"/>
                      <w:marTop w:val="0"/>
                      <w:marBottom w:val="0"/>
                      <w:divBdr>
                        <w:top w:val="none" w:sz="0" w:space="0" w:color="auto"/>
                        <w:left w:val="none" w:sz="0" w:space="0" w:color="auto"/>
                        <w:bottom w:val="none" w:sz="0" w:space="0" w:color="auto"/>
                        <w:right w:val="none" w:sz="0" w:space="0" w:color="auto"/>
                      </w:divBdr>
                      <w:divsChild>
                        <w:div w:id="80759872">
                          <w:marLeft w:val="0"/>
                          <w:marRight w:val="0"/>
                          <w:marTop w:val="0"/>
                          <w:marBottom w:val="0"/>
                          <w:divBdr>
                            <w:top w:val="none" w:sz="0" w:space="0" w:color="auto"/>
                            <w:left w:val="none" w:sz="0" w:space="0" w:color="auto"/>
                            <w:bottom w:val="none" w:sz="0" w:space="0" w:color="auto"/>
                            <w:right w:val="none" w:sz="0" w:space="0" w:color="auto"/>
                          </w:divBdr>
                          <w:divsChild>
                            <w:div w:id="3780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433183">
      <w:bodyDiv w:val="1"/>
      <w:marLeft w:val="0"/>
      <w:marRight w:val="0"/>
      <w:marTop w:val="0"/>
      <w:marBottom w:val="0"/>
      <w:divBdr>
        <w:top w:val="none" w:sz="0" w:space="0" w:color="auto"/>
        <w:left w:val="none" w:sz="0" w:space="0" w:color="auto"/>
        <w:bottom w:val="none" w:sz="0" w:space="0" w:color="auto"/>
        <w:right w:val="none" w:sz="0" w:space="0" w:color="auto"/>
      </w:divBdr>
    </w:div>
    <w:div w:id="276061715">
      <w:bodyDiv w:val="1"/>
      <w:marLeft w:val="0"/>
      <w:marRight w:val="0"/>
      <w:marTop w:val="0"/>
      <w:marBottom w:val="0"/>
      <w:divBdr>
        <w:top w:val="none" w:sz="0" w:space="0" w:color="auto"/>
        <w:left w:val="none" w:sz="0" w:space="0" w:color="auto"/>
        <w:bottom w:val="none" w:sz="0" w:space="0" w:color="auto"/>
        <w:right w:val="none" w:sz="0" w:space="0" w:color="auto"/>
      </w:divBdr>
      <w:divsChild>
        <w:div w:id="749738940">
          <w:marLeft w:val="0"/>
          <w:marRight w:val="0"/>
          <w:marTop w:val="0"/>
          <w:marBottom w:val="0"/>
          <w:divBdr>
            <w:top w:val="none" w:sz="0" w:space="0" w:color="auto"/>
            <w:left w:val="none" w:sz="0" w:space="0" w:color="auto"/>
            <w:bottom w:val="none" w:sz="0" w:space="0" w:color="auto"/>
            <w:right w:val="none" w:sz="0" w:space="0" w:color="auto"/>
          </w:divBdr>
          <w:divsChild>
            <w:div w:id="798499246">
              <w:marLeft w:val="0"/>
              <w:marRight w:val="0"/>
              <w:marTop w:val="0"/>
              <w:marBottom w:val="0"/>
              <w:divBdr>
                <w:top w:val="none" w:sz="0" w:space="0" w:color="auto"/>
                <w:left w:val="none" w:sz="0" w:space="0" w:color="auto"/>
                <w:bottom w:val="none" w:sz="0" w:space="0" w:color="auto"/>
                <w:right w:val="none" w:sz="0" w:space="0" w:color="auto"/>
              </w:divBdr>
              <w:divsChild>
                <w:div w:id="1092818199">
                  <w:marLeft w:val="0"/>
                  <w:marRight w:val="0"/>
                  <w:marTop w:val="0"/>
                  <w:marBottom w:val="0"/>
                  <w:divBdr>
                    <w:top w:val="none" w:sz="0" w:space="0" w:color="auto"/>
                    <w:left w:val="none" w:sz="0" w:space="0" w:color="auto"/>
                    <w:bottom w:val="none" w:sz="0" w:space="0" w:color="auto"/>
                    <w:right w:val="none" w:sz="0" w:space="0" w:color="auto"/>
                  </w:divBdr>
                  <w:divsChild>
                    <w:div w:id="436219966">
                      <w:marLeft w:val="0"/>
                      <w:marRight w:val="0"/>
                      <w:marTop w:val="0"/>
                      <w:marBottom w:val="0"/>
                      <w:divBdr>
                        <w:top w:val="none" w:sz="0" w:space="0" w:color="auto"/>
                        <w:left w:val="none" w:sz="0" w:space="0" w:color="auto"/>
                        <w:bottom w:val="none" w:sz="0" w:space="0" w:color="auto"/>
                        <w:right w:val="none" w:sz="0" w:space="0" w:color="auto"/>
                      </w:divBdr>
                      <w:divsChild>
                        <w:div w:id="475951409">
                          <w:marLeft w:val="0"/>
                          <w:marRight w:val="0"/>
                          <w:marTop w:val="0"/>
                          <w:marBottom w:val="0"/>
                          <w:divBdr>
                            <w:top w:val="none" w:sz="0" w:space="0" w:color="auto"/>
                            <w:left w:val="none" w:sz="0" w:space="0" w:color="auto"/>
                            <w:bottom w:val="none" w:sz="0" w:space="0" w:color="auto"/>
                            <w:right w:val="none" w:sz="0" w:space="0" w:color="auto"/>
                          </w:divBdr>
                          <w:divsChild>
                            <w:div w:id="1025058749">
                              <w:marLeft w:val="0"/>
                              <w:marRight w:val="0"/>
                              <w:marTop w:val="0"/>
                              <w:marBottom w:val="0"/>
                              <w:divBdr>
                                <w:top w:val="none" w:sz="0" w:space="0" w:color="auto"/>
                                <w:left w:val="none" w:sz="0" w:space="0" w:color="auto"/>
                                <w:bottom w:val="none" w:sz="0" w:space="0" w:color="auto"/>
                                <w:right w:val="none" w:sz="0" w:space="0" w:color="auto"/>
                              </w:divBdr>
                              <w:divsChild>
                                <w:div w:id="1762068098">
                                  <w:marLeft w:val="0"/>
                                  <w:marRight w:val="0"/>
                                  <w:marTop w:val="0"/>
                                  <w:marBottom w:val="0"/>
                                  <w:divBdr>
                                    <w:top w:val="none" w:sz="0" w:space="0" w:color="auto"/>
                                    <w:left w:val="none" w:sz="0" w:space="0" w:color="auto"/>
                                    <w:bottom w:val="none" w:sz="0" w:space="0" w:color="auto"/>
                                    <w:right w:val="none" w:sz="0" w:space="0" w:color="auto"/>
                                  </w:divBdr>
                                  <w:divsChild>
                                    <w:div w:id="14608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873990">
      <w:bodyDiv w:val="1"/>
      <w:marLeft w:val="0"/>
      <w:marRight w:val="0"/>
      <w:marTop w:val="0"/>
      <w:marBottom w:val="0"/>
      <w:divBdr>
        <w:top w:val="none" w:sz="0" w:space="0" w:color="auto"/>
        <w:left w:val="none" w:sz="0" w:space="0" w:color="auto"/>
        <w:bottom w:val="none" w:sz="0" w:space="0" w:color="auto"/>
        <w:right w:val="none" w:sz="0" w:space="0" w:color="auto"/>
      </w:divBdr>
      <w:divsChild>
        <w:div w:id="896938388">
          <w:marLeft w:val="0"/>
          <w:marRight w:val="0"/>
          <w:marTop w:val="0"/>
          <w:marBottom w:val="0"/>
          <w:divBdr>
            <w:top w:val="none" w:sz="0" w:space="0" w:color="auto"/>
            <w:left w:val="none" w:sz="0" w:space="0" w:color="auto"/>
            <w:bottom w:val="none" w:sz="0" w:space="0" w:color="auto"/>
            <w:right w:val="none" w:sz="0" w:space="0" w:color="auto"/>
          </w:divBdr>
          <w:divsChild>
            <w:div w:id="741563206">
              <w:marLeft w:val="0"/>
              <w:marRight w:val="0"/>
              <w:marTop w:val="0"/>
              <w:marBottom w:val="0"/>
              <w:divBdr>
                <w:top w:val="none" w:sz="0" w:space="0" w:color="auto"/>
                <w:left w:val="none" w:sz="0" w:space="0" w:color="auto"/>
                <w:bottom w:val="none" w:sz="0" w:space="0" w:color="auto"/>
                <w:right w:val="none" w:sz="0" w:space="0" w:color="auto"/>
              </w:divBdr>
              <w:divsChild>
                <w:div w:id="799224740">
                  <w:marLeft w:val="0"/>
                  <w:marRight w:val="0"/>
                  <w:marTop w:val="0"/>
                  <w:marBottom w:val="0"/>
                  <w:divBdr>
                    <w:top w:val="none" w:sz="0" w:space="0" w:color="auto"/>
                    <w:left w:val="none" w:sz="0" w:space="0" w:color="auto"/>
                    <w:bottom w:val="none" w:sz="0" w:space="0" w:color="auto"/>
                    <w:right w:val="none" w:sz="0" w:space="0" w:color="auto"/>
                  </w:divBdr>
                  <w:divsChild>
                    <w:div w:id="1755930048">
                      <w:marLeft w:val="0"/>
                      <w:marRight w:val="0"/>
                      <w:marTop w:val="0"/>
                      <w:marBottom w:val="0"/>
                      <w:divBdr>
                        <w:top w:val="none" w:sz="0" w:space="0" w:color="auto"/>
                        <w:left w:val="none" w:sz="0" w:space="0" w:color="auto"/>
                        <w:bottom w:val="none" w:sz="0" w:space="0" w:color="auto"/>
                        <w:right w:val="none" w:sz="0" w:space="0" w:color="auto"/>
                      </w:divBdr>
                      <w:divsChild>
                        <w:div w:id="749036991">
                          <w:marLeft w:val="0"/>
                          <w:marRight w:val="0"/>
                          <w:marTop w:val="0"/>
                          <w:marBottom w:val="0"/>
                          <w:divBdr>
                            <w:top w:val="none" w:sz="0" w:space="0" w:color="auto"/>
                            <w:left w:val="none" w:sz="0" w:space="0" w:color="auto"/>
                            <w:bottom w:val="none" w:sz="0" w:space="0" w:color="auto"/>
                            <w:right w:val="none" w:sz="0" w:space="0" w:color="auto"/>
                          </w:divBdr>
                          <w:divsChild>
                            <w:div w:id="10291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865589">
      <w:bodyDiv w:val="1"/>
      <w:marLeft w:val="0"/>
      <w:marRight w:val="0"/>
      <w:marTop w:val="0"/>
      <w:marBottom w:val="0"/>
      <w:divBdr>
        <w:top w:val="none" w:sz="0" w:space="0" w:color="auto"/>
        <w:left w:val="none" w:sz="0" w:space="0" w:color="auto"/>
        <w:bottom w:val="none" w:sz="0" w:space="0" w:color="auto"/>
        <w:right w:val="none" w:sz="0" w:space="0" w:color="auto"/>
      </w:divBdr>
    </w:div>
    <w:div w:id="357122247">
      <w:bodyDiv w:val="1"/>
      <w:marLeft w:val="0"/>
      <w:marRight w:val="0"/>
      <w:marTop w:val="0"/>
      <w:marBottom w:val="0"/>
      <w:divBdr>
        <w:top w:val="none" w:sz="0" w:space="0" w:color="auto"/>
        <w:left w:val="none" w:sz="0" w:space="0" w:color="auto"/>
        <w:bottom w:val="none" w:sz="0" w:space="0" w:color="auto"/>
        <w:right w:val="none" w:sz="0" w:space="0" w:color="auto"/>
      </w:divBdr>
      <w:divsChild>
        <w:div w:id="2048255">
          <w:marLeft w:val="0"/>
          <w:marRight w:val="0"/>
          <w:marTop w:val="0"/>
          <w:marBottom w:val="240"/>
          <w:divBdr>
            <w:top w:val="none" w:sz="0" w:space="0" w:color="auto"/>
            <w:left w:val="none" w:sz="0" w:space="0" w:color="auto"/>
            <w:bottom w:val="none" w:sz="0" w:space="0" w:color="auto"/>
            <w:right w:val="none" w:sz="0" w:space="0" w:color="auto"/>
          </w:divBdr>
        </w:div>
      </w:divsChild>
    </w:div>
    <w:div w:id="399524603">
      <w:bodyDiv w:val="1"/>
      <w:marLeft w:val="0"/>
      <w:marRight w:val="0"/>
      <w:marTop w:val="0"/>
      <w:marBottom w:val="0"/>
      <w:divBdr>
        <w:top w:val="none" w:sz="0" w:space="0" w:color="auto"/>
        <w:left w:val="none" w:sz="0" w:space="0" w:color="auto"/>
        <w:bottom w:val="none" w:sz="0" w:space="0" w:color="auto"/>
        <w:right w:val="none" w:sz="0" w:space="0" w:color="auto"/>
      </w:divBdr>
      <w:divsChild>
        <w:div w:id="130634114">
          <w:marLeft w:val="0"/>
          <w:marRight w:val="0"/>
          <w:marTop w:val="0"/>
          <w:marBottom w:val="0"/>
          <w:divBdr>
            <w:top w:val="none" w:sz="0" w:space="0" w:color="auto"/>
            <w:left w:val="none" w:sz="0" w:space="0" w:color="auto"/>
            <w:bottom w:val="none" w:sz="0" w:space="0" w:color="auto"/>
            <w:right w:val="none" w:sz="0" w:space="0" w:color="auto"/>
          </w:divBdr>
          <w:divsChild>
            <w:div w:id="970407350">
              <w:marLeft w:val="0"/>
              <w:marRight w:val="0"/>
              <w:marTop w:val="0"/>
              <w:marBottom w:val="0"/>
              <w:divBdr>
                <w:top w:val="none" w:sz="0" w:space="0" w:color="auto"/>
                <w:left w:val="none" w:sz="0" w:space="0" w:color="auto"/>
                <w:bottom w:val="none" w:sz="0" w:space="0" w:color="auto"/>
                <w:right w:val="none" w:sz="0" w:space="0" w:color="auto"/>
              </w:divBdr>
              <w:divsChild>
                <w:div w:id="522132677">
                  <w:marLeft w:val="0"/>
                  <w:marRight w:val="0"/>
                  <w:marTop w:val="0"/>
                  <w:marBottom w:val="0"/>
                  <w:divBdr>
                    <w:top w:val="none" w:sz="0" w:space="0" w:color="auto"/>
                    <w:left w:val="none" w:sz="0" w:space="0" w:color="auto"/>
                    <w:bottom w:val="none" w:sz="0" w:space="0" w:color="auto"/>
                    <w:right w:val="none" w:sz="0" w:space="0" w:color="auto"/>
                  </w:divBdr>
                  <w:divsChild>
                    <w:div w:id="392779766">
                      <w:marLeft w:val="0"/>
                      <w:marRight w:val="0"/>
                      <w:marTop w:val="0"/>
                      <w:marBottom w:val="0"/>
                      <w:divBdr>
                        <w:top w:val="none" w:sz="0" w:space="0" w:color="auto"/>
                        <w:left w:val="none" w:sz="0" w:space="0" w:color="auto"/>
                        <w:bottom w:val="none" w:sz="0" w:space="0" w:color="auto"/>
                        <w:right w:val="none" w:sz="0" w:space="0" w:color="auto"/>
                      </w:divBdr>
                      <w:divsChild>
                        <w:div w:id="85853542">
                          <w:marLeft w:val="0"/>
                          <w:marRight w:val="0"/>
                          <w:marTop w:val="0"/>
                          <w:marBottom w:val="0"/>
                          <w:divBdr>
                            <w:top w:val="none" w:sz="0" w:space="0" w:color="auto"/>
                            <w:left w:val="none" w:sz="0" w:space="0" w:color="auto"/>
                            <w:bottom w:val="none" w:sz="0" w:space="0" w:color="auto"/>
                            <w:right w:val="none" w:sz="0" w:space="0" w:color="auto"/>
                          </w:divBdr>
                          <w:divsChild>
                            <w:div w:id="122271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38179">
      <w:bodyDiv w:val="1"/>
      <w:marLeft w:val="0"/>
      <w:marRight w:val="0"/>
      <w:marTop w:val="0"/>
      <w:marBottom w:val="0"/>
      <w:divBdr>
        <w:top w:val="none" w:sz="0" w:space="0" w:color="auto"/>
        <w:left w:val="none" w:sz="0" w:space="0" w:color="auto"/>
        <w:bottom w:val="none" w:sz="0" w:space="0" w:color="auto"/>
        <w:right w:val="none" w:sz="0" w:space="0" w:color="auto"/>
      </w:divBdr>
      <w:divsChild>
        <w:div w:id="272900723">
          <w:marLeft w:val="0"/>
          <w:marRight w:val="0"/>
          <w:marTop w:val="0"/>
          <w:marBottom w:val="0"/>
          <w:divBdr>
            <w:top w:val="none" w:sz="0" w:space="0" w:color="auto"/>
            <w:left w:val="none" w:sz="0" w:space="0" w:color="auto"/>
            <w:bottom w:val="none" w:sz="0" w:space="0" w:color="auto"/>
            <w:right w:val="none" w:sz="0" w:space="0" w:color="auto"/>
          </w:divBdr>
          <w:divsChild>
            <w:div w:id="1138373629">
              <w:marLeft w:val="0"/>
              <w:marRight w:val="0"/>
              <w:marTop w:val="0"/>
              <w:marBottom w:val="0"/>
              <w:divBdr>
                <w:top w:val="none" w:sz="0" w:space="0" w:color="auto"/>
                <w:left w:val="none" w:sz="0" w:space="0" w:color="auto"/>
                <w:bottom w:val="none" w:sz="0" w:space="0" w:color="auto"/>
                <w:right w:val="none" w:sz="0" w:space="0" w:color="auto"/>
              </w:divBdr>
              <w:divsChild>
                <w:div w:id="997152262">
                  <w:marLeft w:val="0"/>
                  <w:marRight w:val="0"/>
                  <w:marTop w:val="0"/>
                  <w:marBottom w:val="0"/>
                  <w:divBdr>
                    <w:top w:val="none" w:sz="0" w:space="0" w:color="auto"/>
                    <w:left w:val="none" w:sz="0" w:space="0" w:color="auto"/>
                    <w:bottom w:val="none" w:sz="0" w:space="0" w:color="auto"/>
                    <w:right w:val="none" w:sz="0" w:space="0" w:color="auto"/>
                  </w:divBdr>
                  <w:divsChild>
                    <w:div w:id="817460394">
                      <w:marLeft w:val="0"/>
                      <w:marRight w:val="0"/>
                      <w:marTop w:val="0"/>
                      <w:marBottom w:val="0"/>
                      <w:divBdr>
                        <w:top w:val="none" w:sz="0" w:space="0" w:color="auto"/>
                        <w:left w:val="none" w:sz="0" w:space="0" w:color="auto"/>
                        <w:bottom w:val="none" w:sz="0" w:space="0" w:color="auto"/>
                        <w:right w:val="none" w:sz="0" w:space="0" w:color="auto"/>
                      </w:divBdr>
                      <w:divsChild>
                        <w:div w:id="339547128">
                          <w:marLeft w:val="0"/>
                          <w:marRight w:val="0"/>
                          <w:marTop w:val="0"/>
                          <w:marBottom w:val="0"/>
                          <w:divBdr>
                            <w:top w:val="none" w:sz="0" w:space="0" w:color="auto"/>
                            <w:left w:val="none" w:sz="0" w:space="0" w:color="auto"/>
                            <w:bottom w:val="none" w:sz="0" w:space="0" w:color="auto"/>
                            <w:right w:val="none" w:sz="0" w:space="0" w:color="auto"/>
                          </w:divBdr>
                          <w:divsChild>
                            <w:div w:id="179255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84208">
      <w:bodyDiv w:val="1"/>
      <w:marLeft w:val="0"/>
      <w:marRight w:val="0"/>
      <w:marTop w:val="0"/>
      <w:marBottom w:val="0"/>
      <w:divBdr>
        <w:top w:val="none" w:sz="0" w:space="0" w:color="auto"/>
        <w:left w:val="none" w:sz="0" w:space="0" w:color="auto"/>
        <w:bottom w:val="none" w:sz="0" w:space="0" w:color="auto"/>
        <w:right w:val="none" w:sz="0" w:space="0" w:color="auto"/>
      </w:divBdr>
      <w:divsChild>
        <w:div w:id="1445032381">
          <w:marLeft w:val="0"/>
          <w:marRight w:val="0"/>
          <w:marTop w:val="0"/>
          <w:marBottom w:val="0"/>
          <w:divBdr>
            <w:top w:val="none" w:sz="0" w:space="0" w:color="auto"/>
            <w:left w:val="none" w:sz="0" w:space="0" w:color="auto"/>
            <w:bottom w:val="none" w:sz="0" w:space="0" w:color="auto"/>
            <w:right w:val="none" w:sz="0" w:space="0" w:color="auto"/>
          </w:divBdr>
        </w:div>
      </w:divsChild>
    </w:div>
    <w:div w:id="515576008">
      <w:bodyDiv w:val="1"/>
      <w:marLeft w:val="0"/>
      <w:marRight w:val="0"/>
      <w:marTop w:val="0"/>
      <w:marBottom w:val="0"/>
      <w:divBdr>
        <w:top w:val="none" w:sz="0" w:space="0" w:color="auto"/>
        <w:left w:val="none" w:sz="0" w:space="0" w:color="auto"/>
        <w:bottom w:val="none" w:sz="0" w:space="0" w:color="auto"/>
        <w:right w:val="none" w:sz="0" w:space="0" w:color="auto"/>
      </w:divBdr>
    </w:div>
    <w:div w:id="531767699">
      <w:bodyDiv w:val="1"/>
      <w:marLeft w:val="0"/>
      <w:marRight w:val="0"/>
      <w:marTop w:val="0"/>
      <w:marBottom w:val="0"/>
      <w:divBdr>
        <w:top w:val="none" w:sz="0" w:space="0" w:color="auto"/>
        <w:left w:val="none" w:sz="0" w:space="0" w:color="auto"/>
        <w:bottom w:val="none" w:sz="0" w:space="0" w:color="auto"/>
        <w:right w:val="none" w:sz="0" w:space="0" w:color="auto"/>
      </w:divBdr>
    </w:div>
    <w:div w:id="534385619">
      <w:bodyDiv w:val="1"/>
      <w:marLeft w:val="0"/>
      <w:marRight w:val="0"/>
      <w:marTop w:val="0"/>
      <w:marBottom w:val="0"/>
      <w:divBdr>
        <w:top w:val="none" w:sz="0" w:space="0" w:color="auto"/>
        <w:left w:val="none" w:sz="0" w:space="0" w:color="auto"/>
        <w:bottom w:val="none" w:sz="0" w:space="0" w:color="auto"/>
        <w:right w:val="none" w:sz="0" w:space="0" w:color="auto"/>
      </w:divBdr>
      <w:divsChild>
        <w:div w:id="1780252622">
          <w:marLeft w:val="0"/>
          <w:marRight w:val="0"/>
          <w:marTop w:val="0"/>
          <w:marBottom w:val="0"/>
          <w:divBdr>
            <w:top w:val="none" w:sz="0" w:space="0" w:color="auto"/>
            <w:left w:val="none" w:sz="0" w:space="0" w:color="auto"/>
            <w:bottom w:val="none" w:sz="0" w:space="0" w:color="auto"/>
            <w:right w:val="none" w:sz="0" w:space="0" w:color="auto"/>
          </w:divBdr>
          <w:divsChild>
            <w:div w:id="1826385980">
              <w:marLeft w:val="0"/>
              <w:marRight w:val="0"/>
              <w:marTop w:val="0"/>
              <w:marBottom w:val="0"/>
              <w:divBdr>
                <w:top w:val="none" w:sz="0" w:space="0" w:color="auto"/>
                <w:left w:val="none" w:sz="0" w:space="0" w:color="auto"/>
                <w:bottom w:val="none" w:sz="0" w:space="0" w:color="auto"/>
                <w:right w:val="none" w:sz="0" w:space="0" w:color="auto"/>
              </w:divBdr>
              <w:divsChild>
                <w:div w:id="1807120005">
                  <w:marLeft w:val="0"/>
                  <w:marRight w:val="0"/>
                  <w:marTop w:val="0"/>
                  <w:marBottom w:val="0"/>
                  <w:divBdr>
                    <w:top w:val="none" w:sz="0" w:space="0" w:color="auto"/>
                    <w:left w:val="none" w:sz="0" w:space="0" w:color="auto"/>
                    <w:bottom w:val="none" w:sz="0" w:space="0" w:color="auto"/>
                    <w:right w:val="none" w:sz="0" w:space="0" w:color="auto"/>
                  </w:divBdr>
                  <w:divsChild>
                    <w:div w:id="1485464122">
                      <w:marLeft w:val="0"/>
                      <w:marRight w:val="0"/>
                      <w:marTop w:val="0"/>
                      <w:marBottom w:val="0"/>
                      <w:divBdr>
                        <w:top w:val="none" w:sz="0" w:space="0" w:color="auto"/>
                        <w:left w:val="none" w:sz="0" w:space="0" w:color="auto"/>
                        <w:bottom w:val="none" w:sz="0" w:space="0" w:color="auto"/>
                        <w:right w:val="none" w:sz="0" w:space="0" w:color="auto"/>
                      </w:divBdr>
                      <w:divsChild>
                        <w:div w:id="1651249519">
                          <w:marLeft w:val="0"/>
                          <w:marRight w:val="0"/>
                          <w:marTop w:val="0"/>
                          <w:marBottom w:val="0"/>
                          <w:divBdr>
                            <w:top w:val="none" w:sz="0" w:space="0" w:color="auto"/>
                            <w:left w:val="none" w:sz="0" w:space="0" w:color="auto"/>
                            <w:bottom w:val="none" w:sz="0" w:space="0" w:color="auto"/>
                            <w:right w:val="none" w:sz="0" w:space="0" w:color="auto"/>
                          </w:divBdr>
                          <w:divsChild>
                            <w:div w:id="3501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793114">
      <w:bodyDiv w:val="1"/>
      <w:marLeft w:val="0"/>
      <w:marRight w:val="0"/>
      <w:marTop w:val="0"/>
      <w:marBottom w:val="0"/>
      <w:divBdr>
        <w:top w:val="none" w:sz="0" w:space="0" w:color="auto"/>
        <w:left w:val="none" w:sz="0" w:space="0" w:color="auto"/>
        <w:bottom w:val="none" w:sz="0" w:space="0" w:color="auto"/>
        <w:right w:val="none" w:sz="0" w:space="0" w:color="auto"/>
      </w:divBdr>
    </w:div>
    <w:div w:id="639726598">
      <w:bodyDiv w:val="1"/>
      <w:marLeft w:val="0"/>
      <w:marRight w:val="0"/>
      <w:marTop w:val="0"/>
      <w:marBottom w:val="0"/>
      <w:divBdr>
        <w:top w:val="none" w:sz="0" w:space="0" w:color="auto"/>
        <w:left w:val="none" w:sz="0" w:space="0" w:color="auto"/>
        <w:bottom w:val="none" w:sz="0" w:space="0" w:color="auto"/>
        <w:right w:val="none" w:sz="0" w:space="0" w:color="auto"/>
      </w:divBdr>
    </w:div>
    <w:div w:id="644161389">
      <w:bodyDiv w:val="1"/>
      <w:marLeft w:val="0"/>
      <w:marRight w:val="0"/>
      <w:marTop w:val="0"/>
      <w:marBottom w:val="0"/>
      <w:divBdr>
        <w:top w:val="none" w:sz="0" w:space="0" w:color="auto"/>
        <w:left w:val="none" w:sz="0" w:space="0" w:color="auto"/>
        <w:bottom w:val="none" w:sz="0" w:space="0" w:color="auto"/>
        <w:right w:val="none" w:sz="0" w:space="0" w:color="auto"/>
      </w:divBdr>
    </w:div>
    <w:div w:id="652950617">
      <w:bodyDiv w:val="1"/>
      <w:marLeft w:val="0"/>
      <w:marRight w:val="0"/>
      <w:marTop w:val="0"/>
      <w:marBottom w:val="0"/>
      <w:divBdr>
        <w:top w:val="none" w:sz="0" w:space="0" w:color="auto"/>
        <w:left w:val="none" w:sz="0" w:space="0" w:color="auto"/>
        <w:bottom w:val="none" w:sz="0" w:space="0" w:color="auto"/>
        <w:right w:val="none" w:sz="0" w:space="0" w:color="auto"/>
      </w:divBdr>
      <w:divsChild>
        <w:div w:id="477302459">
          <w:marLeft w:val="0"/>
          <w:marRight w:val="0"/>
          <w:marTop w:val="0"/>
          <w:marBottom w:val="0"/>
          <w:divBdr>
            <w:top w:val="none" w:sz="0" w:space="0" w:color="auto"/>
            <w:left w:val="none" w:sz="0" w:space="0" w:color="auto"/>
            <w:bottom w:val="none" w:sz="0" w:space="0" w:color="auto"/>
            <w:right w:val="none" w:sz="0" w:space="0" w:color="auto"/>
          </w:divBdr>
          <w:divsChild>
            <w:div w:id="723218567">
              <w:marLeft w:val="0"/>
              <w:marRight w:val="0"/>
              <w:marTop w:val="0"/>
              <w:marBottom w:val="0"/>
              <w:divBdr>
                <w:top w:val="none" w:sz="0" w:space="0" w:color="auto"/>
                <w:left w:val="none" w:sz="0" w:space="0" w:color="auto"/>
                <w:bottom w:val="none" w:sz="0" w:space="0" w:color="auto"/>
                <w:right w:val="none" w:sz="0" w:space="0" w:color="auto"/>
              </w:divBdr>
              <w:divsChild>
                <w:div w:id="505947410">
                  <w:marLeft w:val="0"/>
                  <w:marRight w:val="0"/>
                  <w:marTop w:val="0"/>
                  <w:marBottom w:val="0"/>
                  <w:divBdr>
                    <w:top w:val="none" w:sz="0" w:space="0" w:color="auto"/>
                    <w:left w:val="none" w:sz="0" w:space="0" w:color="auto"/>
                    <w:bottom w:val="none" w:sz="0" w:space="0" w:color="auto"/>
                    <w:right w:val="none" w:sz="0" w:space="0" w:color="auto"/>
                  </w:divBdr>
                  <w:divsChild>
                    <w:div w:id="1537306806">
                      <w:marLeft w:val="0"/>
                      <w:marRight w:val="0"/>
                      <w:marTop w:val="0"/>
                      <w:marBottom w:val="0"/>
                      <w:divBdr>
                        <w:top w:val="none" w:sz="0" w:space="0" w:color="auto"/>
                        <w:left w:val="none" w:sz="0" w:space="0" w:color="auto"/>
                        <w:bottom w:val="none" w:sz="0" w:space="0" w:color="auto"/>
                        <w:right w:val="none" w:sz="0" w:space="0" w:color="auto"/>
                      </w:divBdr>
                      <w:divsChild>
                        <w:div w:id="1787040465">
                          <w:marLeft w:val="0"/>
                          <w:marRight w:val="0"/>
                          <w:marTop w:val="0"/>
                          <w:marBottom w:val="0"/>
                          <w:divBdr>
                            <w:top w:val="none" w:sz="0" w:space="0" w:color="auto"/>
                            <w:left w:val="none" w:sz="0" w:space="0" w:color="auto"/>
                            <w:bottom w:val="none" w:sz="0" w:space="0" w:color="auto"/>
                            <w:right w:val="none" w:sz="0" w:space="0" w:color="auto"/>
                          </w:divBdr>
                          <w:divsChild>
                            <w:div w:id="18284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681710">
      <w:bodyDiv w:val="1"/>
      <w:marLeft w:val="0"/>
      <w:marRight w:val="0"/>
      <w:marTop w:val="0"/>
      <w:marBottom w:val="0"/>
      <w:divBdr>
        <w:top w:val="none" w:sz="0" w:space="0" w:color="auto"/>
        <w:left w:val="none" w:sz="0" w:space="0" w:color="auto"/>
        <w:bottom w:val="none" w:sz="0" w:space="0" w:color="auto"/>
        <w:right w:val="none" w:sz="0" w:space="0" w:color="auto"/>
      </w:divBdr>
      <w:divsChild>
        <w:div w:id="2098866096">
          <w:marLeft w:val="0"/>
          <w:marRight w:val="0"/>
          <w:marTop w:val="0"/>
          <w:marBottom w:val="240"/>
          <w:divBdr>
            <w:top w:val="none" w:sz="0" w:space="0" w:color="auto"/>
            <w:left w:val="none" w:sz="0" w:space="0" w:color="auto"/>
            <w:bottom w:val="none" w:sz="0" w:space="0" w:color="auto"/>
            <w:right w:val="none" w:sz="0" w:space="0" w:color="auto"/>
          </w:divBdr>
        </w:div>
      </w:divsChild>
    </w:div>
    <w:div w:id="755706460">
      <w:bodyDiv w:val="1"/>
      <w:marLeft w:val="0"/>
      <w:marRight w:val="0"/>
      <w:marTop w:val="0"/>
      <w:marBottom w:val="0"/>
      <w:divBdr>
        <w:top w:val="none" w:sz="0" w:space="0" w:color="auto"/>
        <w:left w:val="none" w:sz="0" w:space="0" w:color="auto"/>
        <w:bottom w:val="none" w:sz="0" w:space="0" w:color="auto"/>
        <w:right w:val="none" w:sz="0" w:space="0" w:color="auto"/>
      </w:divBdr>
    </w:div>
    <w:div w:id="759913095">
      <w:bodyDiv w:val="1"/>
      <w:marLeft w:val="0"/>
      <w:marRight w:val="0"/>
      <w:marTop w:val="0"/>
      <w:marBottom w:val="0"/>
      <w:divBdr>
        <w:top w:val="none" w:sz="0" w:space="0" w:color="auto"/>
        <w:left w:val="none" w:sz="0" w:space="0" w:color="auto"/>
        <w:bottom w:val="none" w:sz="0" w:space="0" w:color="auto"/>
        <w:right w:val="none" w:sz="0" w:space="0" w:color="auto"/>
      </w:divBdr>
    </w:div>
    <w:div w:id="804809441">
      <w:bodyDiv w:val="1"/>
      <w:marLeft w:val="0"/>
      <w:marRight w:val="0"/>
      <w:marTop w:val="0"/>
      <w:marBottom w:val="0"/>
      <w:divBdr>
        <w:top w:val="none" w:sz="0" w:space="0" w:color="auto"/>
        <w:left w:val="none" w:sz="0" w:space="0" w:color="auto"/>
        <w:bottom w:val="none" w:sz="0" w:space="0" w:color="auto"/>
        <w:right w:val="none" w:sz="0" w:space="0" w:color="auto"/>
      </w:divBdr>
      <w:divsChild>
        <w:div w:id="1041175067">
          <w:marLeft w:val="0"/>
          <w:marRight w:val="0"/>
          <w:marTop w:val="0"/>
          <w:marBottom w:val="0"/>
          <w:divBdr>
            <w:top w:val="none" w:sz="0" w:space="0" w:color="auto"/>
            <w:left w:val="none" w:sz="0" w:space="0" w:color="auto"/>
            <w:bottom w:val="none" w:sz="0" w:space="0" w:color="auto"/>
            <w:right w:val="none" w:sz="0" w:space="0" w:color="auto"/>
          </w:divBdr>
          <w:divsChild>
            <w:div w:id="738138716">
              <w:marLeft w:val="0"/>
              <w:marRight w:val="0"/>
              <w:marTop w:val="0"/>
              <w:marBottom w:val="0"/>
              <w:divBdr>
                <w:top w:val="none" w:sz="0" w:space="0" w:color="auto"/>
                <w:left w:val="none" w:sz="0" w:space="0" w:color="auto"/>
                <w:bottom w:val="none" w:sz="0" w:space="0" w:color="auto"/>
                <w:right w:val="none" w:sz="0" w:space="0" w:color="auto"/>
              </w:divBdr>
              <w:divsChild>
                <w:div w:id="1669744266">
                  <w:marLeft w:val="0"/>
                  <w:marRight w:val="0"/>
                  <w:marTop w:val="0"/>
                  <w:marBottom w:val="0"/>
                  <w:divBdr>
                    <w:top w:val="none" w:sz="0" w:space="0" w:color="auto"/>
                    <w:left w:val="none" w:sz="0" w:space="0" w:color="auto"/>
                    <w:bottom w:val="none" w:sz="0" w:space="0" w:color="auto"/>
                    <w:right w:val="none" w:sz="0" w:space="0" w:color="auto"/>
                  </w:divBdr>
                  <w:divsChild>
                    <w:div w:id="884874912">
                      <w:marLeft w:val="0"/>
                      <w:marRight w:val="0"/>
                      <w:marTop w:val="0"/>
                      <w:marBottom w:val="0"/>
                      <w:divBdr>
                        <w:top w:val="none" w:sz="0" w:space="0" w:color="auto"/>
                        <w:left w:val="none" w:sz="0" w:space="0" w:color="auto"/>
                        <w:bottom w:val="none" w:sz="0" w:space="0" w:color="auto"/>
                        <w:right w:val="none" w:sz="0" w:space="0" w:color="auto"/>
                      </w:divBdr>
                      <w:divsChild>
                        <w:div w:id="103038655">
                          <w:marLeft w:val="0"/>
                          <w:marRight w:val="0"/>
                          <w:marTop w:val="0"/>
                          <w:marBottom w:val="0"/>
                          <w:divBdr>
                            <w:top w:val="none" w:sz="0" w:space="0" w:color="auto"/>
                            <w:left w:val="none" w:sz="0" w:space="0" w:color="auto"/>
                            <w:bottom w:val="none" w:sz="0" w:space="0" w:color="auto"/>
                            <w:right w:val="none" w:sz="0" w:space="0" w:color="auto"/>
                          </w:divBdr>
                          <w:divsChild>
                            <w:div w:id="17042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394722">
      <w:bodyDiv w:val="1"/>
      <w:marLeft w:val="0"/>
      <w:marRight w:val="0"/>
      <w:marTop w:val="0"/>
      <w:marBottom w:val="0"/>
      <w:divBdr>
        <w:top w:val="none" w:sz="0" w:space="0" w:color="auto"/>
        <w:left w:val="none" w:sz="0" w:space="0" w:color="auto"/>
        <w:bottom w:val="none" w:sz="0" w:space="0" w:color="auto"/>
        <w:right w:val="none" w:sz="0" w:space="0" w:color="auto"/>
      </w:divBdr>
      <w:divsChild>
        <w:div w:id="1907642452">
          <w:marLeft w:val="0"/>
          <w:marRight w:val="0"/>
          <w:marTop w:val="0"/>
          <w:marBottom w:val="0"/>
          <w:divBdr>
            <w:top w:val="none" w:sz="0" w:space="0" w:color="auto"/>
            <w:left w:val="none" w:sz="0" w:space="0" w:color="auto"/>
            <w:bottom w:val="none" w:sz="0" w:space="0" w:color="auto"/>
            <w:right w:val="none" w:sz="0" w:space="0" w:color="auto"/>
          </w:divBdr>
          <w:divsChild>
            <w:div w:id="1108742438">
              <w:marLeft w:val="0"/>
              <w:marRight w:val="0"/>
              <w:marTop w:val="0"/>
              <w:marBottom w:val="0"/>
              <w:divBdr>
                <w:top w:val="none" w:sz="0" w:space="0" w:color="auto"/>
                <w:left w:val="none" w:sz="0" w:space="0" w:color="auto"/>
                <w:bottom w:val="none" w:sz="0" w:space="0" w:color="auto"/>
                <w:right w:val="none" w:sz="0" w:space="0" w:color="auto"/>
              </w:divBdr>
              <w:divsChild>
                <w:div w:id="1590693617">
                  <w:marLeft w:val="0"/>
                  <w:marRight w:val="0"/>
                  <w:marTop w:val="0"/>
                  <w:marBottom w:val="0"/>
                  <w:divBdr>
                    <w:top w:val="none" w:sz="0" w:space="0" w:color="auto"/>
                    <w:left w:val="none" w:sz="0" w:space="0" w:color="auto"/>
                    <w:bottom w:val="none" w:sz="0" w:space="0" w:color="auto"/>
                    <w:right w:val="none" w:sz="0" w:space="0" w:color="auto"/>
                  </w:divBdr>
                  <w:divsChild>
                    <w:div w:id="141502763">
                      <w:marLeft w:val="0"/>
                      <w:marRight w:val="0"/>
                      <w:marTop w:val="0"/>
                      <w:marBottom w:val="0"/>
                      <w:divBdr>
                        <w:top w:val="none" w:sz="0" w:space="0" w:color="auto"/>
                        <w:left w:val="none" w:sz="0" w:space="0" w:color="auto"/>
                        <w:bottom w:val="none" w:sz="0" w:space="0" w:color="auto"/>
                        <w:right w:val="none" w:sz="0" w:space="0" w:color="auto"/>
                      </w:divBdr>
                      <w:divsChild>
                        <w:div w:id="1816800476">
                          <w:marLeft w:val="0"/>
                          <w:marRight w:val="0"/>
                          <w:marTop w:val="0"/>
                          <w:marBottom w:val="0"/>
                          <w:divBdr>
                            <w:top w:val="none" w:sz="0" w:space="0" w:color="auto"/>
                            <w:left w:val="none" w:sz="0" w:space="0" w:color="auto"/>
                            <w:bottom w:val="none" w:sz="0" w:space="0" w:color="auto"/>
                            <w:right w:val="none" w:sz="0" w:space="0" w:color="auto"/>
                          </w:divBdr>
                          <w:divsChild>
                            <w:div w:id="11864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788868">
      <w:bodyDiv w:val="1"/>
      <w:marLeft w:val="0"/>
      <w:marRight w:val="0"/>
      <w:marTop w:val="0"/>
      <w:marBottom w:val="0"/>
      <w:divBdr>
        <w:top w:val="none" w:sz="0" w:space="0" w:color="auto"/>
        <w:left w:val="none" w:sz="0" w:space="0" w:color="auto"/>
        <w:bottom w:val="none" w:sz="0" w:space="0" w:color="auto"/>
        <w:right w:val="none" w:sz="0" w:space="0" w:color="auto"/>
      </w:divBdr>
    </w:div>
    <w:div w:id="905460362">
      <w:bodyDiv w:val="1"/>
      <w:marLeft w:val="0"/>
      <w:marRight w:val="0"/>
      <w:marTop w:val="0"/>
      <w:marBottom w:val="0"/>
      <w:divBdr>
        <w:top w:val="none" w:sz="0" w:space="0" w:color="auto"/>
        <w:left w:val="none" w:sz="0" w:space="0" w:color="auto"/>
        <w:bottom w:val="none" w:sz="0" w:space="0" w:color="auto"/>
        <w:right w:val="none" w:sz="0" w:space="0" w:color="auto"/>
      </w:divBdr>
    </w:div>
    <w:div w:id="917128738">
      <w:bodyDiv w:val="1"/>
      <w:marLeft w:val="0"/>
      <w:marRight w:val="0"/>
      <w:marTop w:val="0"/>
      <w:marBottom w:val="0"/>
      <w:divBdr>
        <w:top w:val="none" w:sz="0" w:space="0" w:color="auto"/>
        <w:left w:val="none" w:sz="0" w:space="0" w:color="auto"/>
        <w:bottom w:val="none" w:sz="0" w:space="0" w:color="auto"/>
        <w:right w:val="none" w:sz="0" w:space="0" w:color="auto"/>
      </w:divBdr>
      <w:divsChild>
        <w:div w:id="799373432">
          <w:marLeft w:val="0"/>
          <w:marRight w:val="0"/>
          <w:marTop w:val="0"/>
          <w:marBottom w:val="0"/>
          <w:divBdr>
            <w:top w:val="none" w:sz="0" w:space="0" w:color="auto"/>
            <w:left w:val="none" w:sz="0" w:space="0" w:color="auto"/>
            <w:bottom w:val="none" w:sz="0" w:space="0" w:color="auto"/>
            <w:right w:val="none" w:sz="0" w:space="0" w:color="auto"/>
          </w:divBdr>
          <w:divsChild>
            <w:div w:id="579171928">
              <w:marLeft w:val="0"/>
              <w:marRight w:val="0"/>
              <w:marTop w:val="0"/>
              <w:marBottom w:val="0"/>
              <w:divBdr>
                <w:top w:val="none" w:sz="0" w:space="0" w:color="auto"/>
                <w:left w:val="none" w:sz="0" w:space="0" w:color="auto"/>
                <w:bottom w:val="none" w:sz="0" w:space="0" w:color="auto"/>
                <w:right w:val="none" w:sz="0" w:space="0" w:color="auto"/>
              </w:divBdr>
              <w:divsChild>
                <w:div w:id="1734042889">
                  <w:marLeft w:val="0"/>
                  <w:marRight w:val="0"/>
                  <w:marTop w:val="0"/>
                  <w:marBottom w:val="0"/>
                  <w:divBdr>
                    <w:top w:val="none" w:sz="0" w:space="0" w:color="auto"/>
                    <w:left w:val="none" w:sz="0" w:space="0" w:color="auto"/>
                    <w:bottom w:val="none" w:sz="0" w:space="0" w:color="auto"/>
                    <w:right w:val="none" w:sz="0" w:space="0" w:color="auto"/>
                  </w:divBdr>
                  <w:divsChild>
                    <w:div w:id="890574111">
                      <w:marLeft w:val="0"/>
                      <w:marRight w:val="0"/>
                      <w:marTop w:val="0"/>
                      <w:marBottom w:val="0"/>
                      <w:divBdr>
                        <w:top w:val="none" w:sz="0" w:space="0" w:color="auto"/>
                        <w:left w:val="none" w:sz="0" w:space="0" w:color="auto"/>
                        <w:bottom w:val="none" w:sz="0" w:space="0" w:color="auto"/>
                        <w:right w:val="none" w:sz="0" w:space="0" w:color="auto"/>
                      </w:divBdr>
                      <w:divsChild>
                        <w:div w:id="358553276">
                          <w:marLeft w:val="0"/>
                          <w:marRight w:val="0"/>
                          <w:marTop w:val="0"/>
                          <w:marBottom w:val="0"/>
                          <w:divBdr>
                            <w:top w:val="none" w:sz="0" w:space="0" w:color="auto"/>
                            <w:left w:val="none" w:sz="0" w:space="0" w:color="auto"/>
                            <w:bottom w:val="none" w:sz="0" w:space="0" w:color="auto"/>
                            <w:right w:val="none" w:sz="0" w:space="0" w:color="auto"/>
                          </w:divBdr>
                          <w:divsChild>
                            <w:div w:id="115634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622268">
      <w:bodyDiv w:val="1"/>
      <w:marLeft w:val="0"/>
      <w:marRight w:val="0"/>
      <w:marTop w:val="0"/>
      <w:marBottom w:val="0"/>
      <w:divBdr>
        <w:top w:val="none" w:sz="0" w:space="0" w:color="auto"/>
        <w:left w:val="none" w:sz="0" w:space="0" w:color="auto"/>
        <w:bottom w:val="none" w:sz="0" w:space="0" w:color="auto"/>
        <w:right w:val="none" w:sz="0" w:space="0" w:color="auto"/>
      </w:divBdr>
      <w:divsChild>
        <w:div w:id="1341202436">
          <w:marLeft w:val="0"/>
          <w:marRight w:val="0"/>
          <w:marTop w:val="0"/>
          <w:marBottom w:val="0"/>
          <w:divBdr>
            <w:top w:val="none" w:sz="0" w:space="0" w:color="auto"/>
            <w:left w:val="none" w:sz="0" w:space="0" w:color="auto"/>
            <w:bottom w:val="none" w:sz="0" w:space="0" w:color="auto"/>
            <w:right w:val="none" w:sz="0" w:space="0" w:color="auto"/>
          </w:divBdr>
          <w:divsChild>
            <w:div w:id="2011568055">
              <w:marLeft w:val="0"/>
              <w:marRight w:val="0"/>
              <w:marTop w:val="0"/>
              <w:marBottom w:val="0"/>
              <w:divBdr>
                <w:top w:val="none" w:sz="0" w:space="0" w:color="auto"/>
                <w:left w:val="none" w:sz="0" w:space="0" w:color="auto"/>
                <w:bottom w:val="none" w:sz="0" w:space="0" w:color="auto"/>
                <w:right w:val="none" w:sz="0" w:space="0" w:color="auto"/>
              </w:divBdr>
              <w:divsChild>
                <w:div w:id="2048290773">
                  <w:marLeft w:val="0"/>
                  <w:marRight w:val="0"/>
                  <w:marTop w:val="0"/>
                  <w:marBottom w:val="0"/>
                  <w:divBdr>
                    <w:top w:val="none" w:sz="0" w:space="0" w:color="auto"/>
                    <w:left w:val="none" w:sz="0" w:space="0" w:color="auto"/>
                    <w:bottom w:val="none" w:sz="0" w:space="0" w:color="auto"/>
                    <w:right w:val="none" w:sz="0" w:space="0" w:color="auto"/>
                  </w:divBdr>
                  <w:divsChild>
                    <w:div w:id="747581607">
                      <w:marLeft w:val="0"/>
                      <w:marRight w:val="0"/>
                      <w:marTop w:val="0"/>
                      <w:marBottom w:val="0"/>
                      <w:divBdr>
                        <w:top w:val="none" w:sz="0" w:space="0" w:color="auto"/>
                        <w:left w:val="none" w:sz="0" w:space="0" w:color="auto"/>
                        <w:bottom w:val="none" w:sz="0" w:space="0" w:color="auto"/>
                        <w:right w:val="none" w:sz="0" w:space="0" w:color="auto"/>
                      </w:divBdr>
                      <w:divsChild>
                        <w:div w:id="642004807">
                          <w:marLeft w:val="0"/>
                          <w:marRight w:val="0"/>
                          <w:marTop w:val="0"/>
                          <w:marBottom w:val="0"/>
                          <w:divBdr>
                            <w:top w:val="none" w:sz="0" w:space="0" w:color="auto"/>
                            <w:left w:val="none" w:sz="0" w:space="0" w:color="auto"/>
                            <w:bottom w:val="none" w:sz="0" w:space="0" w:color="auto"/>
                            <w:right w:val="none" w:sz="0" w:space="0" w:color="auto"/>
                          </w:divBdr>
                          <w:divsChild>
                            <w:div w:id="12501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881196">
      <w:bodyDiv w:val="1"/>
      <w:marLeft w:val="0"/>
      <w:marRight w:val="0"/>
      <w:marTop w:val="0"/>
      <w:marBottom w:val="0"/>
      <w:divBdr>
        <w:top w:val="none" w:sz="0" w:space="0" w:color="auto"/>
        <w:left w:val="none" w:sz="0" w:space="0" w:color="auto"/>
        <w:bottom w:val="none" w:sz="0" w:space="0" w:color="auto"/>
        <w:right w:val="none" w:sz="0" w:space="0" w:color="auto"/>
      </w:divBdr>
    </w:div>
    <w:div w:id="990140426">
      <w:bodyDiv w:val="1"/>
      <w:marLeft w:val="0"/>
      <w:marRight w:val="0"/>
      <w:marTop w:val="0"/>
      <w:marBottom w:val="0"/>
      <w:divBdr>
        <w:top w:val="none" w:sz="0" w:space="0" w:color="auto"/>
        <w:left w:val="none" w:sz="0" w:space="0" w:color="auto"/>
        <w:bottom w:val="none" w:sz="0" w:space="0" w:color="auto"/>
        <w:right w:val="none" w:sz="0" w:space="0" w:color="auto"/>
      </w:divBdr>
      <w:divsChild>
        <w:div w:id="267858786">
          <w:marLeft w:val="0"/>
          <w:marRight w:val="0"/>
          <w:marTop w:val="0"/>
          <w:marBottom w:val="0"/>
          <w:divBdr>
            <w:top w:val="none" w:sz="0" w:space="0" w:color="auto"/>
            <w:left w:val="none" w:sz="0" w:space="0" w:color="auto"/>
            <w:bottom w:val="none" w:sz="0" w:space="0" w:color="auto"/>
            <w:right w:val="none" w:sz="0" w:space="0" w:color="auto"/>
          </w:divBdr>
          <w:divsChild>
            <w:div w:id="178473529">
              <w:marLeft w:val="0"/>
              <w:marRight w:val="0"/>
              <w:marTop w:val="0"/>
              <w:marBottom w:val="0"/>
              <w:divBdr>
                <w:top w:val="none" w:sz="0" w:space="0" w:color="auto"/>
                <w:left w:val="none" w:sz="0" w:space="0" w:color="auto"/>
                <w:bottom w:val="none" w:sz="0" w:space="0" w:color="auto"/>
                <w:right w:val="none" w:sz="0" w:space="0" w:color="auto"/>
              </w:divBdr>
              <w:divsChild>
                <w:div w:id="613905289">
                  <w:marLeft w:val="0"/>
                  <w:marRight w:val="0"/>
                  <w:marTop w:val="0"/>
                  <w:marBottom w:val="0"/>
                  <w:divBdr>
                    <w:top w:val="none" w:sz="0" w:space="0" w:color="auto"/>
                    <w:left w:val="none" w:sz="0" w:space="0" w:color="auto"/>
                    <w:bottom w:val="none" w:sz="0" w:space="0" w:color="auto"/>
                    <w:right w:val="none" w:sz="0" w:space="0" w:color="auto"/>
                  </w:divBdr>
                  <w:divsChild>
                    <w:div w:id="1442258163">
                      <w:marLeft w:val="0"/>
                      <w:marRight w:val="0"/>
                      <w:marTop w:val="0"/>
                      <w:marBottom w:val="0"/>
                      <w:divBdr>
                        <w:top w:val="none" w:sz="0" w:space="0" w:color="auto"/>
                        <w:left w:val="none" w:sz="0" w:space="0" w:color="auto"/>
                        <w:bottom w:val="none" w:sz="0" w:space="0" w:color="auto"/>
                        <w:right w:val="none" w:sz="0" w:space="0" w:color="auto"/>
                      </w:divBdr>
                      <w:divsChild>
                        <w:div w:id="1391657926">
                          <w:marLeft w:val="0"/>
                          <w:marRight w:val="0"/>
                          <w:marTop w:val="0"/>
                          <w:marBottom w:val="0"/>
                          <w:divBdr>
                            <w:top w:val="none" w:sz="0" w:space="0" w:color="auto"/>
                            <w:left w:val="none" w:sz="0" w:space="0" w:color="auto"/>
                            <w:bottom w:val="none" w:sz="0" w:space="0" w:color="auto"/>
                            <w:right w:val="none" w:sz="0" w:space="0" w:color="auto"/>
                          </w:divBdr>
                          <w:divsChild>
                            <w:div w:id="3533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984395">
      <w:bodyDiv w:val="1"/>
      <w:marLeft w:val="0"/>
      <w:marRight w:val="0"/>
      <w:marTop w:val="0"/>
      <w:marBottom w:val="0"/>
      <w:divBdr>
        <w:top w:val="none" w:sz="0" w:space="0" w:color="auto"/>
        <w:left w:val="none" w:sz="0" w:space="0" w:color="auto"/>
        <w:bottom w:val="none" w:sz="0" w:space="0" w:color="auto"/>
        <w:right w:val="none" w:sz="0" w:space="0" w:color="auto"/>
      </w:divBdr>
      <w:divsChild>
        <w:div w:id="503713104">
          <w:marLeft w:val="0"/>
          <w:marRight w:val="0"/>
          <w:marTop w:val="0"/>
          <w:marBottom w:val="0"/>
          <w:divBdr>
            <w:top w:val="none" w:sz="0" w:space="0" w:color="auto"/>
            <w:left w:val="none" w:sz="0" w:space="0" w:color="auto"/>
            <w:bottom w:val="none" w:sz="0" w:space="0" w:color="auto"/>
            <w:right w:val="none" w:sz="0" w:space="0" w:color="auto"/>
          </w:divBdr>
          <w:divsChild>
            <w:div w:id="1433166435">
              <w:marLeft w:val="0"/>
              <w:marRight w:val="0"/>
              <w:marTop w:val="0"/>
              <w:marBottom w:val="0"/>
              <w:divBdr>
                <w:top w:val="none" w:sz="0" w:space="0" w:color="auto"/>
                <w:left w:val="none" w:sz="0" w:space="0" w:color="auto"/>
                <w:bottom w:val="none" w:sz="0" w:space="0" w:color="auto"/>
                <w:right w:val="none" w:sz="0" w:space="0" w:color="auto"/>
              </w:divBdr>
              <w:divsChild>
                <w:div w:id="1796019641">
                  <w:marLeft w:val="0"/>
                  <w:marRight w:val="0"/>
                  <w:marTop w:val="0"/>
                  <w:marBottom w:val="0"/>
                  <w:divBdr>
                    <w:top w:val="none" w:sz="0" w:space="0" w:color="auto"/>
                    <w:left w:val="none" w:sz="0" w:space="0" w:color="auto"/>
                    <w:bottom w:val="none" w:sz="0" w:space="0" w:color="auto"/>
                    <w:right w:val="none" w:sz="0" w:space="0" w:color="auto"/>
                  </w:divBdr>
                  <w:divsChild>
                    <w:div w:id="1376350926">
                      <w:marLeft w:val="0"/>
                      <w:marRight w:val="0"/>
                      <w:marTop w:val="0"/>
                      <w:marBottom w:val="0"/>
                      <w:divBdr>
                        <w:top w:val="none" w:sz="0" w:space="0" w:color="auto"/>
                        <w:left w:val="none" w:sz="0" w:space="0" w:color="auto"/>
                        <w:bottom w:val="none" w:sz="0" w:space="0" w:color="auto"/>
                        <w:right w:val="none" w:sz="0" w:space="0" w:color="auto"/>
                      </w:divBdr>
                      <w:divsChild>
                        <w:div w:id="439842086">
                          <w:marLeft w:val="0"/>
                          <w:marRight w:val="0"/>
                          <w:marTop w:val="0"/>
                          <w:marBottom w:val="0"/>
                          <w:divBdr>
                            <w:top w:val="none" w:sz="0" w:space="0" w:color="auto"/>
                            <w:left w:val="none" w:sz="0" w:space="0" w:color="auto"/>
                            <w:bottom w:val="none" w:sz="0" w:space="0" w:color="auto"/>
                            <w:right w:val="none" w:sz="0" w:space="0" w:color="auto"/>
                          </w:divBdr>
                          <w:divsChild>
                            <w:div w:id="65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441229">
      <w:bodyDiv w:val="1"/>
      <w:marLeft w:val="0"/>
      <w:marRight w:val="0"/>
      <w:marTop w:val="0"/>
      <w:marBottom w:val="0"/>
      <w:divBdr>
        <w:top w:val="none" w:sz="0" w:space="0" w:color="auto"/>
        <w:left w:val="none" w:sz="0" w:space="0" w:color="auto"/>
        <w:bottom w:val="none" w:sz="0" w:space="0" w:color="auto"/>
        <w:right w:val="none" w:sz="0" w:space="0" w:color="auto"/>
      </w:divBdr>
    </w:div>
    <w:div w:id="1106387415">
      <w:bodyDiv w:val="1"/>
      <w:marLeft w:val="0"/>
      <w:marRight w:val="0"/>
      <w:marTop w:val="0"/>
      <w:marBottom w:val="0"/>
      <w:divBdr>
        <w:top w:val="none" w:sz="0" w:space="0" w:color="auto"/>
        <w:left w:val="none" w:sz="0" w:space="0" w:color="auto"/>
        <w:bottom w:val="none" w:sz="0" w:space="0" w:color="auto"/>
        <w:right w:val="none" w:sz="0" w:space="0" w:color="auto"/>
      </w:divBdr>
      <w:divsChild>
        <w:div w:id="1531259468">
          <w:marLeft w:val="0"/>
          <w:marRight w:val="0"/>
          <w:marTop w:val="0"/>
          <w:marBottom w:val="0"/>
          <w:divBdr>
            <w:top w:val="none" w:sz="0" w:space="0" w:color="auto"/>
            <w:left w:val="none" w:sz="0" w:space="0" w:color="auto"/>
            <w:bottom w:val="none" w:sz="0" w:space="0" w:color="auto"/>
            <w:right w:val="none" w:sz="0" w:space="0" w:color="auto"/>
          </w:divBdr>
          <w:divsChild>
            <w:div w:id="1160775659">
              <w:marLeft w:val="0"/>
              <w:marRight w:val="0"/>
              <w:marTop w:val="0"/>
              <w:marBottom w:val="0"/>
              <w:divBdr>
                <w:top w:val="none" w:sz="0" w:space="0" w:color="auto"/>
                <w:left w:val="none" w:sz="0" w:space="0" w:color="auto"/>
                <w:bottom w:val="none" w:sz="0" w:space="0" w:color="auto"/>
                <w:right w:val="none" w:sz="0" w:space="0" w:color="auto"/>
              </w:divBdr>
              <w:divsChild>
                <w:div w:id="511257815">
                  <w:marLeft w:val="0"/>
                  <w:marRight w:val="0"/>
                  <w:marTop w:val="0"/>
                  <w:marBottom w:val="0"/>
                  <w:divBdr>
                    <w:top w:val="none" w:sz="0" w:space="0" w:color="auto"/>
                    <w:left w:val="none" w:sz="0" w:space="0" w:color="auto"/>
                    <w:bottom w:val="none" w:sz="0" w:space="0" w:color="auto"/>
                    <w:right w:val="none" w:sz="0" w:space="0" w:color="auto"/>
                  </w:divBdr>
                  <w:divsChild>
                    <w:div w:id="1625505403">
                      <w:marLeft w:val="0"/>
                      <w:marRight w:val="0"/>
                      <w:marTop w:val="0"/>
                      <w:marBottom w:val="0"/>
                      <w:divBdr>
                        <w:top w:val="none" w:sz="0" w:space="0" w:color="auto"/>
                        <w:left w:val="none" w:sz="0" w:space="0" w:color="auto"/>
                        <w:bottom w:val="none" w:sz="0" w:space="0" w:color="auto"/>
                        <w:right w:val="none" w:sz="0" w:space="0" w:color="auto"/>
                      </w:divBdr>
                      <w:divsChild>
                        <w:div w:id="1851138326">
                          <w:marLeft w:val="0"/>
                          <w:marRight w:val="0"/>
                          <w:marTop w:val="0"/>
                          <w:marBottom w:val="0"/>
                          <w:divBdr>
                            <w:top w:val="none" w:sz="0" w:space="0" w:color="auto"/>
                            <w:left w:val="none" w:sz="0" w:space="0" w:color="auto"/>
                            <w:bottom w:val="none" w:sz="0" w:space="0" w:color="auto"/>
                            <w:right w:val="none" w:sz="0" w:space="0" w:color="auto"/>
                          </w:divBdr>
                          <w:divsChild>
                            <w:div w:id="14914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76710">
      <w:bodyDiv w:val="1"/>
      <w:marLeft w:val="0"/>
      <w:marRight w:val="0"/>
      <w:marTop w:val="0"/>
      <w:marBottom w:val="0"/>
      <w:divBdr>
        <w:top w:val="none" w:sz="0" w:space="0" w:color="auto"/>
        <w:left w:val="none" w:sz="0" w:space="0" w:color="auto"/>
        <w:bottom w:val="none" w:sz="0" w:space="0" w:color="auto"/>
        <w:right w:val="none" w:sz="0" w:space="0" w:color="auto"/>
      </w:divBdr>
    </w:div>
    <w:div w:id="1119450951">
      <w:bodyDiv w:val="1"/>
      <w:marLeft w:val="0"/>
      <w:marRight w:val="0"/>
      <w:marTop w:val="0"/>
      <w:marBottom w:val="0"/>
      <w:divBdr>
        <w:top w:val="none" w:sz="0" w:space="0" w:color="auto"/>
        <w:left w:val="none" w:sz="0" w:space="0" w:color="auto"/>
        <w:bottom w:val="none" w:sz="0" w:space="0" w:color="auto"/>
        <w:right w:val="none" w:sz="0" w:space="0" w:color="auto"/>
      </w:divBdr>
      <w:divsChild>
        <w:div w:id="408694422">
          <w:marLeft w:val="0"/>
          <w:marRight w:val="0"/>
          <w:marTop w:val="0"/>
          <w:marBottom w:val="0"/>
          <w:divBdr>
            <w:top w:val="none" w:sz="0" w:space="0" w:color="auto"/>
            <w:left w:val="none" w:sz="0" w:space="0" w:color="auto"/>
            <w:bottom w:val="none" w:sz="0" w:space="0" w:color="auto"/>
            <w:right w:val="none" w:sz="0" w:space="0" w:color="auto"/>
          </w:divBdr>
          <w:divsChild>
            <w:div w:id="437721244">
              <w:marLeft w:val="0"/>
              <w:marRight w:val="0"/>
              <w:marTop w:val="0"/>
              <w:marBottom w:val="0"/>
              <w:divBdr>
                <w:top w:val="none" w:sz="0" w:space="0" w:color="auto"/>
                <w:left w:val="none" w:sz="0" w:space="0" w:color="auto"/>
                <w:bottom w:val="none" w:sz="0" w:space="0" w:color="auto"/>
                <w:right w:val="none" w:sz="0" w:space="0" w:color="auto"/>
              </w:divBdr>
              <w:divsChild>
                <w:div w:id="866717234">
                  <w:marLeft w:val="0"/>
                  <w:marRight w:val="0"/>
                  <w:marTop w:val="0"/>
                  <w:marBottom w:val="0"/>
                  <w:divBdr>
                    <w:top w:val="none" w:sz="0" w:space="0" w:color="auto"/>
                    <w:left w:val="none" w:sz="0" w:space="0" w:color="auto"/>
                    <w:bottom w:val="none" w:sz="0" w:space="0" w:color="auto"/>
                    <w:right w:val="none" w:sz="0" w:space="0" w:color="auto"/>
                  </w:divBdr>
                  <w:divsChild>
                    <w:div w:id="1068767972">
                      <w:marLeft w:val="0"/>
                      <w:marRight w:val="0"/>
                      <w:marTop w:val="0"/>
                      <w:marBottom w:val="0"/>
                      <w:divBdr>
                        <w:top w:val="none" w:sz="0" w:space="0" w:color="auto"/>
                        <w:left w:val="none" w:sz="0" w:space="0" w:color="auto"/>
                        <w:bottom w:val="none" w:sz="0" w:space="0" w:color="auto"/>
                        <w:right w:val="none" w:sz="0" w:space="0" w:color="auto"/>
                      </w:divBdr>
                      <w:divsChild>
                        <w:div w:id="1681472971">
                          <w:marLeft w:val="0"/>
                          <w:marRight w:val="0"/>
                          <w:marTop w:val="0"/>
                          <w:marBottom w:val="0"/>
                          <w:divBdr>
                            <w:top w:val="none" w:sz="0" w:space="0" w:color="auto"/>
                            <w:left w:val="none" w:sz="0" w:space="0" w:color="auto"/>
                            <w:bottom w:val="none" w:sz="0" w:space="0" w:color="auto"/>
                            <w:right w:val="none" w:sz="0" w:space="0" w:color="auto"/>
                          </w:divBdr>
                          <w:divsChild>
                            <w:div w:id="2240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91273">
      <w:bodyDiv w:val="1"/>
      <w:marLeft w:val="0"/>
      <w:marRight w:val="0"/>
      <w:marTop w:val="0"/>
      <w:marBottom w:val="0"/>
      <w:divBdr>
        <w:top w:val="none" w:sz="0" w:space="0" w:color="auto"/>
        <w:left w:val="none" w:sz="0" w:space="0" w:color="auto"/>
        <w:bottom w:val="none" w:sz="0" w:space="0" w:color="auto"/>
        <w:right w:val="none" w:sz="0" w:space="0" w:color="auto"/>
      </w:divBdr>
      <w:divsChild>
        <w:div w:id="722020487">
          <w:marLeft w:val="0"/>
          <w:marRight w:val="0"/>
          <w:marTop w:val="0"/>
          <w:marBottom w:val="0"/>
          <w:divBdr>
            <w:top w:val="none" w:sz="0" w:space="0" w:color="auto"/>
            <w:left w:val="none" w:sz="0" w:space="0" w:color="auto"/>
            <w:bottom w:val="none" w:sz="0" w:space="0" w:color="auto"/>
            <w:right w:val="none" w:sz="0" w:space="0" w:color="auto"/>
          </w:divBdr>
          <w:divsChild>
            <w:div w:id="691298942">
              <w:marLeft w:val="0"/>
              <w:marRight w:val="0"/>
              <w:marTop w:val="0"/>
              <w:marBottom w:val="0"/>
              <w:divBdr>
                <w:top w:val="none" w:sz="0" w:space="0" w:color="auto"/>
                <w:left w:val="none" w:sz="0" w:space="0" w:color="auto"/>
                <w:bottom w:val="none" w:sz="0" w:space="0" w:color="auto"/>
                <w:right w:val="none" w:sz="0" w:space="0" w:color="auto"/>
              </w:divBdr>
              <w:divsChild>
                <w:div w:id="1309094560">
                  <w:marLeft w:val="0"/>
                  <w:marRight w:val="0"/>
                  <w:marTop w:val="0"/>
                  <w:marBottom w:val="0"/>
                  <w:divBdr>
                    <w:top w:val="none" w:sz="0" w:space="0" w:color="auto"/>
                    <w:left w:val="none" w:sz="0" w:space="0" w:color="auto"/>
                    <w:bottom w:val="none" w:sz="0" w:space="0" w:color="auto"/>
                    <w:right w:val="none" w:sz="0" w:space="0" w:color="auto"/>
                  </w:divBdr>
                  <w:divsChild>
                    <w:div w:id="1871187794">
                      <w:marLeft w:val="0"/>
                      <w:marRight w:val="0"/>
                      <w:marTop w:val="0"/>
                      <w:marBottom w:val="0"/>
                      <w:divBdr>
                        <w:top w:val="none" w:sz="0" w:space="0" w:color="auto"/>
                        <w:left w:val="none" w:sz="0" w:space="0" w:color="auto"/>
                        <w:bottom w:val="none" w:sz="0" w:space="0" w:color="auto"/>
                        <w:right w:val="none" w:sz="0" w:space="0" w:color="auto"/>
                      </w:divBdr>
                      <w:divsChild>
                        <w:div w:id="1459832439">
                          <w:marLeft w:val="0"/>
                          <w:marRight w:val="0"/>
                          <w:marTop w:val="0"/>
                          <w:marBottom w:val="0"/>
                          <w:divBdr>
                            <w:top w:val="none" w:sz="0" w:space="0" w:color="auto"/>
                            <w:left w:val="none" w:sz="0" w:space="0" w:color="auto"/>
                            <w:bottom w:val="none" w:sz="0" w:space="0" w:color="auto"/>
                            <w:right w:val="none" w:sz="0" w:space="0" w:color="auto"/>
                          </w:divBdr>
                          <w:divsChild>
                            <w:div w:id="83619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400107">
      <w:bodyDiv w:val="1"/>
      <w:marLeft w:val="0"/>
      <w:marRight w:val="0"/>
      <w:marTop w:val="0"/>
      <w:marBottom w:val="0"/>
      <w:divBdr>
        <w:top w:val="none" w:sz="0" w:space="0" w:color="auto"/>
        <w:left w:val="none" w:sz="0" w:space="0" w:color="auto"/>
        <w:bottom w:val="none" w:sz="0" w:space="0" w:color="auto"/>
        <w:right w:val="none" w:sz="0" w:space="0" w:color="auto"/>
      </w:divBdr>
      <w:divsChild>
        <w:div w:id="236090518">
          <w:marLeft w:val="0"/>
          <w:marRight w:val="0"/>
          <w:marTop w:val="0"/>
          <w:marBottom w:val="0"/>
          <w:divBdr>
            <w:top w:val="none" w:sz="0" w:space="0" w:color="auto"/>
            <w:left w:val="none" w:sz="0" w:space="0" w:color="auto"/>
            <w:bottom w:val="none" w:sz="0" w:space="0" w:color="auto"/>
            <w:right w:val="none" w:sz="0" w:space="0" w:color="auto"/>
          </w:divBdr>
          <w:divsChild>
            <w:div w:id="1128399816">
              <w:marLeft w:val="0"/>
              <w:marRight w:val="0"/>
              <w:marTop w:val="0"/>
              <w:marBottom w:val="0"/>
              <w:divBdr>
                <w:top w:val="none" w:sz="0" w:space="0" w:color="auto"/>
                <w:left w:val="none" w:sz="0" w:space="0" w:color="auto"/>
                <w:bottom w:val="none" w:sz="0" w:space="0" w:color="auto"/>
                <w:right w:val="none" w:sz="0" w:space="0" w:color="auto"/>
              </w:divBdr>
              <w:divsChild>
                <w:div w:id="1725105998">
                  <w:marLeft w:val="0"/>
                  <w:marRight w:val="0"/>
                  <w:marTop w:val="0"/>
                  <w:marBottom w:val="0"/>
                  <w:divBdr>
                    <w:top w:val="none" w:sz="0" w:space="0" w:color="auto"/>
                    <w:left w:val="none" w:sz="0" w:space="0" w:color="auto"/>
                    <w:bottom w:val="none" w:sz="0" w:space="0" w:color="auto"/>
                    <w:right w:val="none" w:sz="0" w:space="0" w:color="auto"/>
                  </w:divBdr>
                  <w:divsChild>
                    <w:div w:id="268705540">
                      <w:marLeft w:val="0"/>
                      <w:marRight w:val="0"/>
                      <w:marTop w:val="0"/>
                      <w:marBottom w:val="0"/>
                      <w:divBdr>
                        <w:top w:val="none" w:sz="0" w:space="0" w:color="auto"/>
                        <w:left w:val="none" w:sz="0" w:space="0" w:color="auto"/>
                        <w:bottom w:val="none" w:sz="0" w:space="0" w:color="auto"/>
                        <w:right w:val="none" w:sz="0" w:space="0" w:color="auto"/>
                      </w:divBdr>
                      <w:divsChild>
                        <w:div w:id="1554658915">
                          <w:marLeft w:val="0"/>
                          <w:marRight w:val="0"/>
                          <w:marTop w:val="0"/>
                          <w:marBottom w:val="0"/>
                          <w:divBdr>
                            <w:top w:val="none" w:sz="0" w:space="0" w:color="auto"/>
                            <w:left w:val="none" w:sz="0" w:space="0" w:color="auto"/>
                            <w:bottom w:val="none" w:sz="0" w:space="0" w:color="auto"/>
                            <w:right w:val="none" w:sz="0" w:space="0" w:color="auto"/>
                          </w:divBdr>
                          <w:divsChild>
                            <w:div w:id="123963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704072">
      <w:bodyDiv w:val="1"/>
      <w:marLeft w:val="0"/>
      <w:marRight w:val="0"/>
      <w:marTop w:val="0"/>
      <w:marBottom w:val="0"/>
      <w:divBdr>
        <w:top w:val="none" w:sz="0" w:space="0" w:color="auto"/>
        <w:left w:val="none" w:sz="0" w:space="0" w:color="auto"/>
        <w:bottom w:val="none" w:sz="0" w:space="0" w:color="auto"/>
        <w:right w:val="none" w:sz="0" w:space="0" w:color="auto"/>
      </w:divBdr>
    </w:div>
    <w:div w:id="1243683141">
      <w:bodyDiv w:val="1"/>
      <w:marLeft w:val="0"/>
      <w:marRight w:val="0"/>
      <w:marTop w:val="0"/>
      <w:marBottom w:val="0"/>
      <w:divBdr>
        <w:top w:val="none" w:sz="0" w:space="0" w:color="auto"/>
        <w:left w:val="none" w:sz="0" w:space="0" w:color="auto"/>
        <w:bottom w:val="none" w:sz="0" w:space="0" w:color="auto"/>
        <w:right w:val="none" w:sz="0" w:space="0" w:color="auto"/>
      </w:divBdr>
    </w:div>
    <w:div w:id="1297486253">
      <w:bodyDiv w:val="1"/>
      <w:marLeft w:val="0"/>
      <w:marRight w:val="0"/>
      <w:marTop w:val="0"/>
      <w:marBottom w:val="0"/>
      <w:divBdr>
        <w:top w:val="none" w:sz="0" w:space="0" w:color="auto"/>
        <w:left w:val="none" w:sz="0" w:space="0" w:color="auto"/>
        <w:bottom w:val="none" w:sz="0" w:space="0" w:color="auto"/>
        <w:right w:val="none" w:sz="0" w:space="0" w:color="auto"/>
      </w:divBdr>
      <w:divsChild>
        <w:div w:id="1047724994">
          <w:marLeft w:val="0"/>
          <w:marRight w:val="0"/>
          <w:marTop w:val="0"/>
          <w:marBottom w:val="0"/>
          <w:divBdr>
            <w:top w:val="none" w:sz="0" w:space="0" w:color="auto"/>
            <w:left w:val="none" w:sz="0" w:space="0" w:color="auto"/>
            <w:bottom w:val="none" w:sz="0" w:space="0" w:color="auto"/>
            <w:right w:val="none" w:sz="0" w:space="0" w:color="auto"/>
          </w:divBdr>
        </w:div>
      </w:divsChild>
    </w:div>
    <w:div w:id="1331830770">
      <w:bodyDiv w:val="1"/>
      <w:marLeft w:val="0"/>
      <w:marRight w:val="0"/>
      <w:marTop w:val="0"/>
      <w:marBottom w:val="0"/>
      <w:divBdr>
        <w:top w:val="none" w:sz="0" w:space="0" w:color="auto"/>
        <w:left w:val="none" w:sz="0" w:space="0" w:color="auto"/>
        <w:bottom w:val="none" w:sz="0" w:space="0" w:color="auto"/>
        <w:right w:val="none" w:sz="0" w:space="0" w:color="auto"/>
      </w:divBdr>
    </w:div>
    <w:div w:id="1373991596">
      <w:bodyDiv w:val="1"/>
      <w:marLeft w:val="0"/>
      <w:marRight w:val="0"/>
      <w:marTop w:val="0"/>
      <w:marBottom w:val="0"/>
      <w:divBdr>
        <w:top w:val="none" w:sz="0" w:space="0" w:color="auto"/>
        <w:left w:val="none" w:sz="0" w:space="0" w:color="auto"/>
        <w:bottom w:val="none" w:sz="0" w:space="0" w:color="auto"/>
        <w:right w:val="none" w:sz="0" w:space="0" w:color="auto"/>
      </w:divBdr>
    </w:div>
    <w:div w:id="1427995521">
      <w:bodyDiv w:val="1"/>
      <w:marLeft w:val="0"/>
      <w:marRight w:val="0"/>
      <w:marTop w:val="0"/>
      <w:marBottom w:val="0"/>
      <w:divBdr>
        <w:top w:val="none" w:sz="0" w:space="0" w:color="auto"/>
        <w:left w:val="none" w:sz="0" w:space="0" w:color="auto"/>
        <w:bottom w:val="none" w:sz="0" w:space="0" w:color="auto"/>
        <w:right w:val="none" w:sz="0" w:space="0" w:color="auto"/>
      </w:divBdr>
      <w:divsChild>
        <w:div w:id="2002807164">
          <w:marLeft w:val="0"/>
          <w:marRight w:val="0"/>
          <w:marTop w:val="0"/>
          <w:marBottom w:val="0"/>
          <w:divBdr>
            <w:top w:val="none" w:sz="0" w:space="0" w:color="auto"/>
            <w:left w:val="none" w:sz="0" w:space="0" w:color="auto"/>
            <w:bottom w:val="none" w:sz="0" w:space="0" w:color="auto"/>
            <w:right w:val="none" w:sz="0" w:space="0" w:color="auto"/>
          </w:divBdr>
          <w:divsChild>
            <w:div w:id="598680061">
              <w:marLeft w:val="0"/>
              <w:marRight w:val="0"/>
              <w:marTop w:val="0"/>
              <w:marBottom w:val="0"/>
              <w:divBdr>
                <w:top w:val="none" w:sz="0" w:space="0" w:color="auto"/>
                <w:left w:val="none" w:sz="0" w:space="0" w:color="auto"/>
                <w:bottom w:val="none" w:sz="0" w:space="0" w:color="auto"/>
                <w:right w:val="none" w:sz="0" w:space="0" w:color="auto"/>
              </w:divBdr>
              <w:divsChild>
                <w:div w:id="1088190089">
                  <w:marLeft w:val="0"/>
                  <w:marRight w:val="0"/>
                  <w:marTop w:val="0"/>
                  <w:marBottom w:val="0"/>
                  <w:divBdr>
                    <w:top w:val="none" w:sz="0" w:space="0" w:color="auto"/>
                    <w:left w:val="none" w:sz="0" w:space="0" w:color="auto"/>
                    <w:bottom w:val="none" w:sz="0" w:space="0" w:color="auto"/>
                    <w:right w:val="none" w:sz="0" w:space="0" w:color="auto"/>
                  </w:divBdr>
                  <w:divsChild>
                    <w:div w:id="982854163">
                      <w:marLeft w:val="0"/>
                      <w:marRight w:val="0"/>
                      <w:marTop w:val="0"/>
                      <w:marBottom w:val="0"/>
                      <w:divBdr>
                        <w:top w:val="none" w:sz="0" w:space="0" w:color="auto"/>
                        <w:left w:val="none" w:sz="0" w:space="0" w:color="auto"/>
                        <w:bottom w:val="none" w:sz="0" w:space="0" w:color="auto"/>
                        <w:right w:val="none" w:sz="0" w:space="0" w:color="auto"/>
                      </w:divBdr>
                      <w:divsChild>
                        <w:div w:id="1614248423">
                          <w:marLeft w:val="0"/>
                          <w:marRight w:val="0"/>
                          <w:marTop w:val="0"/>
                          <w:marBottom w:val="0"/>
                          <w:divBdr>
                            <w:top w:val="none" w:sz="0" w:space="0" w:color="auto"/>
                            <w:left w:val="none" w:sz="0" w:space="0" w:color="auto"/>
                            <w:bottom w:val="none" w:sz="0" w:space="0" w:color="auto"/>
                            <w:right w:val="none" w:sz="0" w:space="0" w:color="auto"/>
                          </w:divBdr>
                          <w:divsChild>
                            <w:div w:id="9904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110442">
      <w:bodyDiv w:val="1"/>
      <w:marLeft w:val="0"/>
      <w:marRight w:val="0"/>
      <w:marTop w:val="0"/>
      <w:marBottom w:val="0"/>
      <w:divBdr>
        <w:top w:val="none" w:sz="0" w:space="0" w:color="auto"/>
        <w:left w:val="none" w:sz="0" w:space="0" w:color="auto"/>
        <w:bottom w:val="none" w:sz="0" w:space="0" w:color="auto"/>
        <w:right w:val="none" w:sz="0" w:space="0" w:color="auto"/>
      </w:divBdr>
    </w:div>
    <w:div w:id="1617758177">
      <w:bodyDiv w:val="1"/>
      <w:marLeft w:val="0"/>
      <w:marRight w:val="0"/>
      <w:marTop w:val="0"/>
      <w:marBottom w:val="0"/>
      <w:divBdr>
        <w:top w:val="none" w:sz="0" w:space="0" w:color="auto"/>
        <w:left w:val="none" w:sz="0" w:space="0" w:color="auto"/>
        <w:bottom w:val="none" w:sz="0" w:space="0" w:color="auto"/>
        <w:right w:val="none" w:sz="0" w:space="0" w:color="auto"/>
      </w:divBdr>
    </w:div>
    <w:div w:id="1671131063">
      <w:bodyDiv w:val="1"/>
      <w:marLeft w:val="0"/>
      <w:marRight w:val="0"/>
      <w:marTop w:val="0"/>
      <w:marBottom w:val="0"/>
      <w:divBdr>
        <w:top w:val="none" w:sz="0" w:space="0" w:color="auto"/>
        <w:left w:val="none" w:sz="0" w:space="0" w:color="auto"/>
        <w:bottom w:val="none" w:sz="0" w:space="0" w:color="auto"/>
        <w:right w:val="none" w:sz="0" w:space="0" w:color="auto"/>
      </w:divBdr>
    </w:div>
    <w:div w:id="1672022555">
      <w:bodyDiv w:val="1"/>
      <w:marLeft w:val="0"/>
      <w:marRight w:val="0"/>
      <w:marTop w:val="0"/>
      <w:marBottom w:val="0"/>
      <w:divBdr>
        <w:top w:val="none" w:sz="0" w:space="0" w:color="auto"/>
        <w:left w:val="none" w:sz="0" w:space="0" w:color="auto"/>
        <w:bottom w:val="none" w:sz="0" w:space="0" w:color="auto"/>
        <w:right w:val="none" w:sz="0" w:space="0" w:color="auto"/>
      </w:divBdr>
    </w:div>
    <w:div w:id="1727411859">
      <w:bodyDiv w:val="1"/>
      <w:marLeft w:val="0"/>
      <w:marRight w:val="0"/>
      <w:marTop w:val="0"/>
      <w:marBottom w:val="0"/>
      <w:divBdr>
        <w:top w:val="none" w:sz="0" w:space="0" w:color="auto"/>
        <w:left w:val="none" w:sz="0" w:space="0" w:color="auto"/>
        <w:bottom w:val="none" w:sz="0" w:space="0" w:color="auto"/>
        <w:right w:val="none" w:sz="0" w:space="0" w:color="auto"/>
      </w:divBdr>
    </w:div>
    <w:div w:id="1735425916">
      <w:bodyDiv w:val="1"/>
      <w:marLeft w:val="0"/>
      <w:marRight w:val="0"/>
      <w:marTop w:val="0"/>
      <w:marBottom w:val="0"/>
      <w:divBdr>
        <w:top w:val="none" w:sz="0" w:space="0" w:color="auto"/>
        <w:left w:val="none" w:sz="0" w:space="0" w:color="auto"/>
        <w:bottom w:val="none" w:sz="0" w:space="0" w:color="auto"/>
        <w:right w:val="none" w:sz="0" w:space="0" w:color="auto"/>
      </w:divBdr>
    </w:div>
    <w:div w:id="1766803894">
      <w:bodyDiv w:val="1"/>
      <w:marLeft w:val="0"/>
      <w:marRight w:val="0"/>
      <w:marTop w:val="0"/>
      <w:marBottom w:val="0"/>
      <w:divBdr>
        <w:top w:val="none" w:sz="0" w:space="0" w:color="auto"/>
        <w:left w:val="none" w:sz="0" w:space="0" w:color="auto"/>
        <w:bottom w:val="none" w:sz="0" w:space="0" w:color="auto"/>
        <w:right w:val="none" w:sz="0" w:space="0" w:color="auto"/>
      </w:divBdr>
      <w:divsChild>
        <w:div w:id="750349386">
          <w:marLeft w:val="0"/>
          <w:marRight w:val="0"/>
          <w:marTop w:val="0"/>
          <w:marBottom w:val="0"/>
          <w:divBdr>
            <w:top w:val="none" w:sz="0" w:space="0" w:color="auto"/>
            <w:left w:val="none" w:sz="0" w:space="0" w:color="auto"/>
            <w:bottom w:val="none" w:sz="0" w:space="0" w:color="auto"/>
            <w:right w:val="none" w:sz="0" w:space="0" w:color="auto"/>
          </w:divBdr>
          <w:divsChild>
            <w:div w:id="468977776">
              <w:marLeft w:val="0"/>
              <w:marRight w:val="0"/>
              <w:marTop w:val="0"/>
              <w:marBottom w:val="0"/>
              <w:divBdr>
                <w:top w:val="none" w:sz="0" w:space="0" w:color="auto"/>
                <w:left w:val="none" w:sz="0" w:space="0" w:color="auto"/>
                <w:bottom w:val="none" w:sz="0" w:space="0" w:color="auto"/>
                <w:right w:val="none" w:sz="0" w:space="0" w:color="auto"/>
              </w:divBdr>
              <w:divsChild>
                <w:div w:id="1117486109">
                  <w:marLeft w:val="0"/>
                  <w:marRight w:val="0"/>
                  <w:marTop w:val="0"/>
                  <w:marBottom w:val="0"/>
                  <w:divBdr>
                    <w:top w:val="none" w:sz="0" w:space="0" w:color="auto"/>
                    <w:left w:val="none" w:sz="0" w:space="0" w:color="auto"/>
                    <w:bottom w:val="none" w:sz="0" w:space="0" w:color="auto"/>
                    <w:right w:val="none" w:sz="0" w:space="0" w:color="auto"/>
                  </w:divBdr>
                  <w:divsChild>
                    <w:div w:id="1346981138">
                      <w:marLeft w:val="0"/>
                      <w:marRight w:val="0"/>
                      <w:marTop w:val="0"/>
                      <w:marBottom w:val="0"/>
                      <w:divBdr>
                        <w:top w:val="none" w:sz="0" w:space="0" w:color="auto"/>
                        <w:left w:val="none" w:sz="0" w:space="0" w:color="auto"/>
                        <w:bottom w:val="none" w:sz="0" w:space="0" w:color="auto"/>
                        <w:right w:val="none" w:sz="0" w:space="0" w:color="auto"/>
                      </w:divBdr>
                      <w:divsChild>
                        <w:div w:id="24059738">
                          <w:marLeft w:val="0"/>
                          <w:marRight w:val="0"/>
                          <w:marTop w:val="0"/>
                          <w:marBottom w:val="0"/>
                          <w:divBdr>
                            <w:top w:val="none" w:sz="0" w:space="0" w:color="auto"/>
                            <w:left w:val="none" w:sz="0" w:space="0" w:color="auto"/>
                            <w:bottom w:val="none" w:sz="0" w:space="0" w:color="auto"/>
                            <w:right w:val="none" w:sz="0" w:space="0" w:color="auto"/>
                          </w:divBdr>
                          <w:divsChild>
                            <w:div w:id="16906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39562">
      <w:bodyDiv w:val="1"/>
      <w:marLeft w:val="0"/>
      <w:marRight w:val="0"/>
      <w:marTop w:val="0"/>
      <w:marBottom w:val="0"/>
      <w:divBdr>
        <w:top w:val="none" w:sz="0" w:space="0" w:color="auto"/>
        <w:left w:val="none" w:sz="0" w:space="0" w:color="auto"/>
        <w:bottom w:val="none" w:sz="0" w:space="0" w:color="auto"/>
        <w:right w:val="none" w:sz="0" w:space="0" w:color="auto"/>
      </w:divBdr>
      <w:divsChild>
        <w:div w:id="308755500">
          <w:marLeft w:val="0"/>
          <w:marRight w:val="0"/>
          <w:marTop w:val="0"/>
          <w:marBottom w:val="0"/>
          <w:divBdr>
            <w:top w:val="none" w:sz="0" w:space="0" w:color="auto"/>
            <w:left w:val="none" w:sz="0" w:space="0" w:color="auto"/>
            <w:bottom w:val="none" w:sz="0" w:space="0" w:color="auto"/>
            <w:right w:val="none" w:sz="0" w:space="0" w:color="auto"/>
          </w:divBdr>
          <w:divsChild>
            <w:div w:id="850681810">
              <w:marLeft w:val="0"/>
              <w:marRight w:val="0"/>
              <w:marTop w:val="0"/>
              <w:marBottom w:val="0"/>
              <w:divBdr>
                <w:top w:val="none" w:sz="0" w:space="0" w:color="auto"/>
                <w:left w:val="none" w:sz="0" w:space="0" w:color="auto"/>
                <w:bottom w:val="none" w:sz="0" w:space="0" w:color="auto"/>
                <w:right w:val="none" w:sz="0" w:space="0" w:color="auto"/>
              </w:divBdr>
              <w:divsChild>
                <w:div w:id="220681764">
                  <w:marLeft w:val="0"/>
                  <w:marRight w:val="0"/>
                  <w:marTop w:val="0"/>
                  <w:marBottom w:val="0"/>
                  <w:divBdr>
                    <w:top w:val="none" w:sz="0" w:space="0" w:color="auto"/>
                    <w:left w:val="none" w:sz="0" w:space="0" w:color="auto"/>
                    <w:bottom w:val="none" w:sz="0" w:space="0" w:color="auto"/>
                    <w:right w:val="none" w:sz="0" w:space="0" w:color="auto"/>
                  </w:divBdr>
                  <w:divsChild>
                    <w:div w:id="571234390">
                      <w:marLeft w:val="0"/>
                      <w:marRight w:val="0"/>
                      <w:marTop w:val="0"/>
                      <w:marBottom w:val="0"/>
                      <w:divBdr>
                        <w:top w:val="none" w:sz="0" w:space="0" w:color="auto"/>
                        <w:left w:val="none" w:sz="0" w:space="0" w:color="auto"/>
                        <w:bottom w:val="none" w:sz="0" w:space="0" w:color="auto"/>
                        <w:right w:val="none" w:sz="0" w:space="0" w:color="auto"/>
                      </w:divBdr>
                      <w:divsChild>
                        <w:div w:id="567034862">
                          <w:marLeft w:val="0"/>
                          <w:marRight w:val="0"/>
                          <w:marTop w:val="0"/>
                          <w:marBottom w:val="0"/>
                          <w:divBdr>
                            <w:top w:val="none" w:sz="0" w:space="0" w:color="auto"/>
                            <w:left w:val="none" w:sz="0" w:space="0" w:color="auto"/>
                            <w:bottom w:val="none" w:sz="0" w:space="0" w:color="auto"/>
                            <w:right w:val="none" w:sz="0" w:space="0" w:color="auto"/>
                          </w:divBdr>
                          <w:divsChild>
                            <w:div w:id="12775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9283">
      <w:bodyDiv w:val="1"/>
      <w:marLeft w:val="0"/>
      <w:marRight w:val="0"/>
      <w:marTop w:val="0"/>
      <w:marBottom w:val="0"/>
      <w:divBdr>
        <w:top w:val="none" w:sz="0" w:space="0" w:color="auto"/>
        <w:left w:val="none" w:sz="0" w:space="0" w:color="auto"/>
        <w:bottom w:val="none" w:sz="0" w:space="0" w:color="auto"/>
        <w:right w:val="none" w:sz="0" w:space="0" w:color="auto"/>
      </w:divBdr>
      <w:divsChild>
        <w:div w:id="741830870">
          <w:marLeft w:val="0"/>
          <w:marRight w:val="0"/>
          <w:marTop w:val="0"/>
          <w:marBottom w:val="0"/>
          <w:divBdr>
            <w:top w:val="none" w:sz="0" w:space="0" w:color="auto"/>
            <w:left w:val="none" w:sz="0" w:space="0" w:color="auto"/>
            <w:bottom w:val="none" w:sz="0" w:space="0" w:color="auto"/>
            <w:right w:val="none" w:sz="0" w:space="0" w:color="auto"/>
          </w:divBdr>
          <w:divsChild>
            <w:div w:id="1998414803">
              <w:marLeft w:val="0"/>
              <w:marRight w:val="0"/>
              <w:marTop w:val="0"/>
              <w:marBottom w:val="0"/>
              <w:divBdr>
                <w:top w:val="none" w:sz="0" w:space="0" w:color="auto"/>
                <w:left w:val="none" w:sz="0" w:space="0" w:color="auto"/>
                <w:bottom w:val="none" w:sz="0" w:space="0" w:color="auto"/>
                <w:right w:val="none" w:sz="0" w:space="0" w:color="auto"/>
              </w:divBdr>
              <w:divsChild>
                <w:div w:id="279193669">
                  <w:marLeft w:val="0"/>
                  <w:marRight w:val="0"/>
                  <w:marTop w:val="0"/>
                  <w:marBottom w:val="0"/>
                  <w:divBdr>
                    <w:top w:val="none" w:sz="0" w:space="0" w:color="auto"/>
                    <w:left w:val="none" w:sz="0" w:space="0" w:color="auto"/>
                    <w:bottom w:val="none" w:sz="0" w:space="0" w:color="auto"/>
                    <w:right w:val="none" w:sz="0" w:space="0" w:color="auto"/>
                  </w:divBdr>
                  <w:divsChild>
                    <w:div w:id="1105923544">
                      <w:marLeft w:val="0"/>
                      <w:marRight w:val="0"/>
                      <w:marTop w:val="0"/>
                      <w:marBottom w:val="0"/>
                      <w:divBdr>
                        <w:top w:val="none" w:sz="0" w:space="0" w:color="auto"/>
                        <w:left w:val="none" w:sz="0" w:space="0" w:color="auto"/>
                        <w:bottom w:val="none" w:sz="0" w:space="0" w:color="auto"/>
                        <w:right w:val="none" w:sz="0" w:space="0" w:color="auto"/>
                      </w:divBdr>
                      <w:divsChild>
                        <w:div w:id="2121759384">
                          <w:marLeft w:val="0"/>
                          <w:marRight w:val="0"/>
                          <w:marTop w:val="0"/>
                          <w:marBottom w:val="0"/>
                          <w:divBdr>
                            <w:top w:val="none" w:sz="0" w:space="0" w:color="auto"/>
                            <w:left w:val="none" w:sz="0" w:space="0" w:color="auto"/>
                            <w:bottom w:val="none" w:sz="0" w:space="0" w:color="auto"/>
                            <w:right w:val="none" w:sz="0" w:space="0" w:color="auto"/>
                          </w:divBdr>
                          <w:divsChild>
                            <w:div w:id="908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753068">
      <w:bodyDiv w:val="1"/>
      <w:marLeft w:val="0"/>
      <w:marRight w:val="0"/>
      <w:marTop w:val="0"/>
      <w:marBottom w:val="0"/>
      <w:divBdr>
        <w:top w:val="none" w:sz="0" w:space="0" w:color="auto"/>
        <w:left w:val="none" w:sz="0" w:space="0" w:color="auto"/>
        <w:bottom w:val="none" w:sz="0" w:space="0" w:color="auto"/>
        <w:right w:val="none" w:sz="0" w:space="0" w:color="auto"/>
      </w:divBdr>
    </w:div>
    <w:div w:id="1969241322">
      <w:bodyDiv w:val="1"/>
      <w:marLeft w:val="0"/>
      <w:marRight w:val="0"/>
      <w:marTop w:val="0"/>
      <w:marBottom w:val="0"/>
      <w:divBdr>
        <w:top w:val="none" w:sz="0" w:space="0" w:color="auto"/>
        <w:left w:val="none" w:sz="0" w:space="0" w:color="auto"/>
        <w:bottom w:val="none" w:sz="0" w:space="0" w:color="auto"/>
        <w:right w:val="none" w:sz="0" w:space="0" w:color="auto"/>
      </w:divBdr>
    </w:div>
    <w:div w:id="2067602785">
      <w:bodyDiv w:val="1"/>
      <w:marLeft w:val="0"/>
      <w:marRight w:val="0"/>
      <w:marTop w:val="0"/>
      <w:marBottom w:val="0"/>
      <w:divBdr>
        <w:top w:val="none" w:sz="0" w:space="0" w:color="auto"/>
        <w:left w:val="none" w:sz="0" w:space="0" w:color="auto"/>
        <w:bottom w:val="none" w:sz="0" w:space="0" w:color="auto"/>
        <w:right w:val="none" w:sz="0" w:space="0" w:color="auto"/>
      </w:divBdr>
    </w:div>
    <w:div w:id="2091272515">
      <w:bodyDiv w:val="1"/>
      <w:marLeft w:val="0"/>
      <w:marRight w:val="0"/>
      <w:marTop w:val="0"/>
      <w:marBottom w:val="0"/>
      <w:divBdr>
        <w:top w:val="none" w:sz="0" w:space="0" w:color="auto"/>
        <w:left w:val="none" w:sz="0" w:space="0" w:color="auto"/>
        <w:bottom w:val="none" w:sz="0" w:space="0" w:color="auto"/>
        <w:right w:val="none" w:sz="0" w:space="0" w:color="auto"/>
      </w:divBdr>
      <w:divsChild>
        <w:div w:id="772046747">
          <w:marLeft w:val="0"/>
          <w:marRight w:val="0"/>
          <w:marTop w:val="0"/>
          <w:marBottom w:val="0"/>
          <w:divBdr>
            <w:top w:val="none" w:sz="0" w:space="0" w:color="auto"/>
            <w:left w:val="none" w:sz="0" w:space="0" w:color="auto"/>
            <w:bottom w:val="none" w:sz="0" w:space="0" w:color="auto"/>
            <w:right w:val="none" w:sz="0" w:space="0" w:color="auto"/>
          </w:divBdr>
          <w:divsChild>
            <w:div w:id="2042045403">
              <w:marLeft w:val="0"/>
              <w:marRight w:val="0"/>
              <w:marTop w:val="0"/>
              <w:marBottom w:val="0"/>
              <w:divBdr>
                <w:top w:val="none" w:sz="0" w:space="0" w:color="auto"/>
                <w:left w:val="none" w:sz="0" w:space="0" w:color="auto"/>
                <w:bottom w:val="none" w:sz="0" w:space="0" w:color="auto"/>
                <w:right w:val="none" w:sz="0" w:space="0" w:color="auto"/>
              </w:divBdr>
              <w:divsChild>
                <w:div w:id="1706636692">
                  <w:marLeft w:val="0"/>
                  <w:marRight w:val="0"/>
                  <w:marTop w:val="0"/>
                  <w:marBottom w:val="0"/>
                  <w:divBdr>
                    <w:top w:val="none" w:sz="0" w:space="0" w:color="auto"/>
                    <w:left w:val="none" w:sz="0" w:space="0" w:color="auto"/>
                    <w:bottom w:val="none" w:sz="0" w:space="0" w:color="auto"/>
                    <w:right w:val="none" w:sz="0" w:space="0" w:color="auto"/>
                  </w:divBdr>
                  <w:divsChild>
                    <w:div w:id="977107726">
                      <w:marLeft w:val="0"/>
                      <w:marRight w:val="0"/>
                      <w:marTop w:val="0"/>
                      <w:marBottom w:val="0"/>
                      <w:divBdr>
                        <w:top w:val="none" w:sz="0" w:space="0" w:color="auto"/>
                        <w:left w:val="none" w:sz="0" w:space="0" w:color="auto"/>
                        <w:bottom w:val="none" w:sz="0" w:space="0" w:color="auto"/>
                        <w:right w:val="none" w:sz="0" w:space="0" w:color="auto"/>
                      </w:divBdr>
                      <w:divsChild>
                        <w:div w:id="1806461400">
                          <w:marLeft w:val="0"/>
                          <w:marRight w:val="0"/>
                          <w:marTop w:val="0"/>
                          <w:marBottom w:val="0"/>
                          <w:divBdr>
                            <w:top w:val="none" w:sz="0" w:space="0" w:color="auto"/>
                            <w:left w:val="none" w:sz="0" w:space="0" w:color="auto"/>
                            <w:bottom w:val="none" w:sz="0" w:space="0" w:color="auto"/>
                            <w:right w:val="none" w:sz="0" w:space="0" w:color="auto"/>
                          </w:divBdr>
                          <w:divsChild>
                            <w:div w:id="5775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186977">
      <w:bodyDiv w:val="1"/>
      <w:marLeft w:val="0"/>
      <w:marRight w:val="0"/>
      <w:marTop w:val="0"/>
      <w:marBottom w:val="0"/>
      <w:divBdr>
        <w:top w:val="none" w:sz="0" w:space="0" w:color="auto"/>
        <w:left w:val="none" w:sz="0" w:space="0" w:color="auto"/>
        <w:bottom w:val="none" w:sz="0" w:space="0" w:color="auto"/>
        <w:right w:val="none" w:sz="0" w:space="0" w:color="auto"/>
      </w:divBdr>
    </w:div>
    <w:div w:id="2135253070">
      <w:bodyDiv w:val="1"/>
      <w:marLeft w:val="0"/>
      <w:marRight w:val="0"/>
      <w:marTop w:val="0"/>
      <w:marBottom w:val="0"/>
      <w:divBdr>
        <w:top w:val="none" w:sz="0" w:space="0" w:color="auto"/>
        <w:left w:val="none" w:sz="0" w:space="0" w:color="auto"/>
        <w:bottom w:val="none" w:sz="0" w:space="0" w:color="auto"/>
        <w:right w:val="none" w:sz="0" w:space="0" w:color="auto"/>
      </w:divBdr>
      <w:divsChild>
        <w:div w:id="2138520213">
          <w:marLeft w:val="0"/>
          <w:marRight w:val="0"/>
          <w:marTop w:val="0"/>
          <w:marBottom w:val="0"/>
          <w:divBdr>
            <w:top w:val="none" w:sz="0" w:space="0" w:color="auto"/>
            <w:left w:val="none" w:sz="0" w:space="0" w:color="auto"/>
            <w:bottom w:val="none" w:sz="0" w:space="0" w:color="auto"/>
            <w:right w:val="none" w:sz="0" w:space="0" w:color="auto"/>
          </w:divBdr>
          <w:divsChild>
            <w:div w:id="384068872">
              <w:marLeft w:val="0"/>
              <w:marRight w:val="0"/>
              <w:marTop w:val="0"/>
              <w:marBottom w:val="0"/>
              <w:divBdr>
                <w:top w:val="none" w:sz="0" w:space="0" w:color="auto"/>
                <w:left w:val="none" w:sz="0" w:space="0" w:color="auto"/>
                <w:bottom w:val="none" w:sz="0" w:space="0" w:color="auto"/>
                <w:right w:val="none" w:sz="0" w:space="0" w:color="auto"/>
              </w:divBdr>
              <w:divsChild>
                <w:div w:id="388454060">
                  <w:marLeft w:val="0"/>
                  <w:marRight w:val="0"/>
                  <w:marTop w:val="0"/>
                  <w:marBottom w:val="0"/>
                  <w:divBdr>
                    <w:top w:val="none" w:sz="0" w:space="0" w:color="auto"/>
                    <w:left w:val="none" w:sz="0" w:space="0" w:color="auto"/>
                    <w:bottom w:val="none" w:sz="0" w:space="0" w:color="auto"/>
                    <w:right w:val="none" w:sz="0" w:space="0" w:color="auto"/>
                  </w:divBdr>
                  <w:divsChild>
                    <w:div w:id="1605192803">
                      <w:marLeft w:val="0"/>
                      <w:marRight w:val="0"/>
                      <w:marTop w:val="0"/>
                      <w:marBottom w:val="0"/>
                      <w:divBdr>
                        <w:top w:val="none" w:sz="0" w:space="0" w:color="auto"/>
                        <w:left w:val="none" w:sz="0" w:space="0" w:color="auto"/>
                        <w:bottom w:val="none" w:sz="0" w:space="0" w:color="auto"/>
                        <w:right w:val="none" w:sz="0" w:space="0" w:color="auto"/>
                      </w:divBdr>
                      <w:divsChild>
                        <w:div w:id="2107261979">
                          <w:marLeft w:val="0"/>
                          <w:marRight w:val="0"/>
                          <w:marTop w:val="0"/>
                          <w:marBottom w:val="0"/>
                          <w:divBdr>
                            <w:top w:val="none" w:sz="0" w:space="0" w:color="auto"/>
                            <w:left w:val="none" w:sz="0" w:space="0" w:color="auto"/>
                            <w:bottom w:val="none" w:sz="0" w:space="0" w:color="auto"/>
                            <w:right w:val="none" w:sz="0" w:space="0" w:color="auto"/>
                          </w:divBdr>
                          <w:divsChild>
                            <w:div w:id="2091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mailto:aron.hartvig@stud.uni-corvinus.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0C795-FDBC-4DC8-800E-389F6506D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5252</Words>
  <Characters>31725</Characters>
  <Application>Microsoft Office Word</Application>
  <DocSecurity>0</DocSecurity>
  <Lines>1093</Lines>
  <Paragraphs>528</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36449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Áron Hartvig</dc:creator>
  <cp:keywords/>
  <cp:lastModifiedBy>Áron Hartvig</cp:lastModifiedBy>
  <cp:revision>17</cp:revision>
  <cp:lastPrinted>2025-02-05T22:22:00Z</cp:lastPrinted>
  <dcterms:created xsi:type="dcterms:W3CDTF">2026-01-18T18:19:00Z</dcterms:created>
  <dcterms:modified xsi:type="dcterms:W3CDTF">2026-07-28T08:12:00Z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id="scpM1cJf"/&gt;&lt;style id="http://www.zotero.org/styles/ieee" locale="en-GB" hasBibliography="1" bibliographyStyleHasBeenSet="1"/&gt;&lt;prefs&gt;&lt;pref name="fieldType" value="Field"/&gt;&lt;/prefs&gt;&lt;/data&gt;</vt:lpwstr>
  </property>
</Properties>
</file>