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950CB" w14:textId="77777777" w:rsidR="006958B4" w:rsidRPr="006958B4" w:rsidRDefault="006958B4" w:rsidP="006958B4">
      <w:pPr>
        <w:spacing w:line="360" w:lineRule="auto"/>
        <w:rPr>
          <w:rFonts w:ascii="Times New Roman" w:hAnsi="Times New Roman" w:cs="Times New Roman"/>
          <w:b/>
          <w:bCs/>
        </w:rPr>
      </w:pPr>
      <w:r w:rsidRPr="006958B4">
        <w:rPr>
          <w:rFonts w:ascii="Times New Roman" w:hAnsi="Times New Roman" w:cs="Times New Roman"/>
          <w:b/>
          <w:bCs/>
        </w:rPr>
        <w:t>Additional File 1. Supplementary Methods, Tables, and Figure</w:t>
      </w:r>
    </w:p>
    <w:p w14:paraId="7D1D4639" w14:textId="77777777" w:rsidR="006958B4" w:rsidRPr="006958B4" w:rsidRDefault="006958B4" w:rsidP="006958B4">
      <w:pPr>
        <w:spacing w:line="360" w:lineRule="auto"/>
        <w:rPr>
          <w:rFonts w:ascii="Times New Roman" w:hAnsi="Times New Roman" w:cs="Times New Roman"/>
        </w:rPr>
      </w:pPr>
      <w:r w:rsidRPr="006958B4">
        <w:rPr>
          <w:rFonts w:ascii="Times New Roman" w:hAnsi="Times New Roman" w:cs="Times New Roman"/>
        </w:rPr>
        <w:t>Supplementary Methods S1. Construction of catecholamine norepinephrine-equivalent dose</w:t>
      </w:r>
    </w:p>
    <w:p w14:paraId="671BE7AC" w14:textId="77777777" w:rsidR="006958B4" w:rsidRPr="006958B4" w:rsidRDefault="006958B4" w:rsidP="006958B4">
      <w:pPr>
        <w:spacing w:line="360" w:lineRule="auto"/>
        <w:rPr>
          <w:rFonts w:ascii="Times New Roman" w:hAnsi="Times New Roman" w:cs="Times New Roman"/>
        </w:rPr>
      </w:pPr>
      <w:r w:rsidRPr="006958B4">
        <w:rPr>
          <w:rFonts w:ascii="Times New Roman" w:hAnsi="Times New Roman" w:cs="Times New Roman"/>
        </w:rPr>
        <w:t>The recovered source-queue builder expressed catecholamine norepinephrine-equivalent dose (NEE) in mcg/kg/min. It used the four-agent subset of the published formula in the main manuscript: NEE = norepinephrine + epinephrine + phenylephrine/10 + dopamine/100 (main manuscript reference 15). Vasopressin was not added to continuous NEE and was instead retained as a separate binary adjunct flag.</w:t>
      </w:r>
    </w:p>
    <w:p w14:paraId="3493B223" w14:textId="77777777" w:rsidR="006958B4" w:rsidRPr="006958B4" w:rsidRDefault="006958B4" w:rsidP="006958B4">
      <w:pPr>
        <w:spacing w:line="360" w:lineRule="auto"/>
        <w:rPr>
          <w:rFonts w:ascii="Times New Roman" w:hAnsi="Times New Roman" w:cs="Times New Roman"/>
        </w:rPr>
      </w:pPr>
      <w:r w:rsidRPr="006958B4">
        <w:rPr>
          <w:rFonts w:ascii="Times New Roman" w:hAnsi="Times New Roman" w:cs="Times New Roman"/>
        </w:rPr>
        <w:t>For each eligible catecholamine record, the recorded infusion rate was converted to mcg/kg/min before the drug-specific multiplier was applied. Accepted rate units were mcg/kg/min or ug/kg/min (unchanged); mcg/min or ug/min (divided by weight); mcg/kg/</w:t>
      </w:r>
      <w:proofErr w:type="spellStart"/>
      <w:r w:rsidRPr="006958B4">
        <w:rPr>
          <w:rFonts w:ascii="Times New Roman" w:hAnsi="Times New Roman" w:cs="Times New Roman"/>
        </w:rPr>
        <w:t>hr</w:t>
      </w:r>
      <w:proofErr w:type="spellEnd"/>
      <w:r w:rsidRPr="006958B4">
        <w:rPr>
          <w:rFonts w:ascii="Times New Roman" w:hAnsi="Times New Roman" w:cs="Times New Roman"/>
        </w:rPr>
        <w:t xml:space="preserve"> or ug/kg/</w:t>
      </w:r>
      <w:proofErr w:type="spellStart"/>
      <w:r w:rsidRPr="006958B4">
        <w:rPr>
          <w:rFonts w:ascii="Times New Roman" w:hAnsi="Times New Roman" w:cs="Times New Roman"/>
        </w:rPr>
        <w:t>hr</w:t>
      </w:r>
      <w:proofErr w:type="spellEnd"/>
      <w:r w:rsidRPr="006958B4">
        <w:rPr>
          <w:rFonts w:ascii="Times New Roman" w:hAnsi="Times New Roman" w:cs="Times New Roman"/>
        </w:rPr>
        <w:t xml:space="preserve"> (divided by 60); mcg/</w:t>
      </w:r>
      <w:proofErr w:type="spellStart"/>
      <w:r w:rsidRPr="006958B4">
        <w:rPr>
          <w:rFonts w:ascii="Times New Roman" w:hAnsi="Times New Roman" w:cs="Times New Roman"/>
        </w:rPr>
        <w:t>hr</w:t>
      </w:r>
      <w:proofErr w:type="spellEnd"/>
      <w:r w:rsidRPr="006958B4">
        <w:rPr>
          <w:rFonts w:ascii="Times New Roman" w:hAnsi="Times New Roman" w:cs="Times New Roman"/>
        </w:rPr>
        <w:t xml:space="preserve"> or ug/</w:t>
      </w:r>
      <w:proofErr w:type="spellStart"/>
      <w:r w:rsidRPr="006958B4">
        <w:rPr>
          <w:rFonts w:ascii="Times New Roman" w:hAnsi="Times New Roman" w:cs="Times New Roman"/>
        </w:rPr>
        <w:t>hr</w:t>
      </w:r>
      <w:proofErr w:type="spellEnd"/>
      <w:r w:rsidRPr="006958B4">
        <w:rPr>
          <w:rFonts w:ascii="Times New Roman" w:hAnsi="Times New Roman" w:cs="Times New Roman"/>
        </w:rPr>
        <w:t xml:space="preserve"> (divided by 60 and weight); mg/</w:t>
      </w:r>
      <w:proofErr w:type="spellStart"/>
      <w:r w:rsidRPr="006958B4">
        <w:rPr>
          <w:rFonts w:ascii="Times New Roman" w:hAnsi="Times New Roman" w:cs="Times New Roman"/>
        </w:rPr>
        <w:t>hr</w:t>
      </w:r>
      <w:proofErr w:type="spellEnd"/>
      <w:r w:rsidRPr="006958B4">
        <w:rPr>
          <w:rFonts w:ascii="Times New Roman" w:hAnsi="Times New Roman" w:cs="Times New Roman"/>
        </w:rPr>
        <w:t xml:space="preserve"> (multiplied by 1000, then divided by 60 and weight); and mg/min (multiplied by 1000 and divided by weight). Weight was valid only when greater than 20 kg and no greater than 350 kg. The </w:t>
      </w:r>
      <w:proofErr w:type="spellStart"/>
      <w:r w:rsidRPr="006958B4">
        <w:rPr>
          <w:rFonts w:ascii="Times New Roman" w:hAnsi="Times New Roman" w:cs="Times New Roman"/>
        </w:rPr>
        <w:t>eICU</w:t>
      </w:r>
      <w:proofErr w:type="spellEnd"/>
      <w:r w:rsidRPr="006958B4">
        <w:rPr>
          <w:rFonts w:ascii="Times New Roman" w:hAnsi="Times New Roman" w:cs="Times New Roman"/>
        </w:rPr>
        <w:t xml:space="preserve"> implementation used the infusion-record weight when valid and otherwise used admission weight. Negative or nonnumeric rates, nonconvertible units, missing required weight, and a per-drug converted NEE greater than 5 mcg/kg/min were treated as unconvertible and did not enter numeric NEE.</w:t>
      </w:r>
    </w:p>
    <w:p w14:paraId="2125BDD6" w14:textId="77777777" w:rsidR="006958B4" w:rsidRPr="006958B4" w:rsidRDefault="006958B4" w:rsidP="006958B4">
      <w:pPr>
        <w:spacing w:line="360" w:lineRule="auto"/>
        <w:rPr>
          <w:rFonts w:ascii="Times New Roman" w:hAnsi="Times New Roman" w:cs="Times New Roman"/>
        </w:rPr>
      </w:pPr>
      <w:r w:rsidRPr="006958B4">
        <w:rPr>
          <w:rFonts w:ascii="Times New Roman" w:hAnsi="Times New Roman" w:cs="Times New Roman"/>
        </w:rPr>
        <w:t>In MIMIC-IV, norepinephrine/noradrenaline/</w:t>
      </w:r>
      <w:proofErr w:type="spellStart"/>
      <w:r w:rsidRPr="006958B4">
        <w:rPr>
          <w:rFonts w:ascii="Times New Roman" w:hAnsi="Times New Roman" w:cs="Times New Roman"/>
        </w:rPr>
        <w:t>Levophed</w:t>
      </w:r>
      <w:proofErr w:type="spellEnd"/>
      <w:r w:rsidRPr="006958B4">
        <w:rPr>
          <w:rFonts w:ascii="Times New Roman" w:hAnsi="Times New Roman" w:cs="Times New Roman"/>
        </w:rPr>
        <w:t xml:space="preserve">, epinephrine/adrenaline, phenylephrine/Neo-Synephrine, and dopamine </w:t>
      </w:r>
      <w:proofErr w:type="spellStart"/>
      <w:r w:rsidRPr="006958B4">
        <w:rPr>
          <w:rFonts w:ascii="Times New Roman" w:hAnsi="Times New Roman" w:cs="Times New Roman"/>
        </w:rPr>
        <w:t>inputevents</w:t>
      </w:r>
      <w:proofErr w:type="spellEnd"/>
      <w:r w:rsidRPr="006958B4">
        <w:rPr>
          <w:rFonts w:ascii="Times New Roman" w:hAnsi="Times New Roman" w:cs="Times New Roman"/>
        </w:rPr>
        <w:t xml:space="preserve"> were mapped to the four catecholamines. Each converted infusion contributed its dose multiplied by its fractional overlap with each 4-hour bin; simultaneous catecholamine contributions were summed. A positive vasopressin record was retained as the binary adjunct flag. In </w:t>
      </w:r>
      <w:proofErr w:type="spellStart"/>
      <w:r w:rsidRPr="006958B4">
        <w:rPr>
          <w:rFonts w:ascii="Times New Roman" w:hAnsi="Times New Roman" w:cs="Times New Roman"/>
        </w:rPr>
        <w:t>eICU</w:t>
      </w:r>
      <w:proofErr w:type="spellEnd"/>
      <w:r w:rsidRPr="006958B4">
        <w:rPr>
          <w:rFonts w:ascii="Times New Roman" w:hAnsi="Times New Roman" w:cs="Times New Roman"/>
        </w:rPr>
        <w:t xml:space="preserve">-CRD, a catecholamine record entered numeric NEE only when its drug-name unit text specified a direct catecholamine dose (mcg/kg/min or mcg/min). Within each 4-hour bin, records for the same drug were averaged and the drug-specific means were summed. </w:t>
      </w:r>
      <w:proofErr w:type="spellStart"/>
      <w:r w:rsidRPr="006958B4">
        <w:rPr>
          <w:rFonts w:ascii="Times New Roman" w:hAnsi="Times New Roman" w:cs="Times New Roman"/>
        </w:rPr>
        <w:t>eICU</w:t>
      </w:r>
      <w:proofErr w:type="spellEnd"/>
      <w:r w:rsidRPr="006958B4">
        <w:rPr>
          <w:rFonts w:ascii="Times New Roman" w:hAnsi="Times New Roman" w:cs="Times New Roman"/>
        </w:rPr>
        <w:t xml:space="preserve"> units/min was used only to identify positive vasopressin adjunct records. Records with non-direct unit text, including ml/</w:t>
      </w:r>
      <w:proofErr w:type="spellStart"/>
      <w:r w:rsidRPr="006958B4">
        <w:rPr>
          <w:rFonts w:ascii="Times New Roman" w:hAnsi="Times New Roman" w:cs="Times New Roman"/>
        </w:rPr>
        <w:t>hr</w:t>
      </w:r>
      <w:proofErr w:type="spellEnd"/>
      <w:r w:rsidRPr="006958B4">
        <w:rPr>
          <w:rFonts w:ascii="Times New Roman" w:hAnsi="Times New Roman" w:cs="Times New Roman"/>
        </w:rPr>
        <w:t>, did not enter numeric NEE but were retained in the any-vasopressor-record flag. This section and Table S2 replace the former standalone protocol and audit attachment.</w:t>
      </w:r>
    </w:p>
    <w:p w14:paraId="3FF07B68" w14:textId="77777777" w:rsidR="006958B4" w:rsidRPr="006958B4" w:rsidRDefault="006958B4" w:rsidP="006958B4">
      <w:pPr>
        <w:spacing w:line="360" w:lineRule="auto"/>
        <w:rPr>
          <w:rFonts w:ascii="Times New Roman" w:hAnsi="Times New Roman" w:cs="Times New Roman"/>
          <w:b/>
          <w:bCs/>
        </w:rPr>
      </w:pPr>
      <w:r w:rsidRPr="006958B4">
        <w:rPr>
          <w:rFonts w:ascii="Times New Roman" w:hAnsi="Times New Roman" w:cs="Times New Roman"/>
          <w:b/>
          <w:bCs/>
        </w:rPr>
        <w:t>Table S1. Predictor transport, missingness, and laboratory measurement-age audit</w:t>
      </w:r>
    </w:p>
    <w:p w14:paraId="1A6D56E8" w14:textId="07BB1542" w:rsidR="0009040A" w:rsidRDefault="006958B4" w:rsidP="006958B4">
      <w:pPr>
        <w:spacing w:line="360" w:lineRule="auto"/>
        <w:rPr>
          <w:rFonts w:ascii="Times New Roman" w:hAnsi="Times New Roman" w:cs="Times New Roman"/>
        </w:rPr>
      </w:pPr>
      <w:r w:rsidRPr="006958B4">
        <w:rPr>
          <w:rFonts w:ascii="Times New Roman" w:hAnsi="Times New Roman" w:cs="Times New Roman"/>
        </w:rPr>
        <w:t xml:space="preserve">Measurement age is the source-queue elapsed time at the end of the assessment bin. All </w:t>
      </w:r>
      <w:proofErr w:type="spellStart"/>
      <w:r w:rsidRPr="006958B4">
        <w:rPr>
          <w:rFonts w:ascii="Times New Roman" w:hAnsi="Times New Roman" w:cs="Times New Roman"/>
        </w:rPr>
        <w:t>nonmissing</w:t>
      </w:r>
      <w:proofErr w:type="spellEnd"/>
      <w:r w:rsidRPr="006958B4">
        <w:rPr>
          <w:rFonts w:ascii="Times New Roman" w:hAnsi="Times New Roman" w:cs="Times New Roman"/>
        </w:rPr>
        <w:t xml:space="preserve"> laboratory values had nonnegative measurement ages. The timestamp audit compared queue values </w:t>
      </w:r>
      <w:r w:rsidRPr="006958B4">
        <w:rPr>
          <w:rFonts w:ascii="Times New Roman" w:hAnsi="Times New Roman" w:cs="Times New Roman"/>
        </w:rPr>
        <w:lastRenderedPageBreak/>
        <w:t xml:space="preserve">with the latest raw laboratory record at or before time zero; source-queue last-value selection can intentionally retain an older value, so the match percentage is descriptive rather than a validity threshold. The measurement-age panel uses the full eligible MIMIC-IV cohort and full </w:t>
      </w:r>
      <w:proofErr w:type="spellStart"/>
      <w:r w:rsidRPr="006958B4">
        <w:rPr>
          <w:rFonts w:ascii="Times New Roman" w:hAnsi="Times New Roman" w:cs="Times New Roman"/>
        </w:rPr>
        <w:t>eICU</w:t>
      </w:r>
      <w:proofErr w:type="spellEnd"/>
      <w:r w:rsidRPr="006958B4">
        <w:rPr>
          <w:rFonts w:ascii="Times New Roman" w:hAnsi="Times New Roman" w:cs="Times New Roman"/>
        </w:rPr>
        <w:t xml:space="preserve"> cohort; the transport panel below uses the MIMIC-IV training cohort and </w:t>
      </w:r>
      <w:proofErr w:type="spellStart"/>
      <w:r w:rsidRPr="006958B4">
        <w:rPr>
          <w:rFonts w:ascii="Times New Roman" w:hAnsi="Times New Roman" w:cs="Times New Roman"/>
        </w:rPr>
        <w:t>eICU</w:t>
      </w:r>
      <w:proofErr w:type="spellEnd"/>
      <w:r w:rsidRPr="006958B4">
        <w:rPr>
          <w:rFonts w:ascii="Times New Roman" w:hAnsi="Times New Roman" w:cs="Times New Roman"/>
        </w:rPr>
        <w:t xml:space="preserve"> external cohort.</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5"/>
        <w:gridCol w:w="1385"/>
        <w:gridCol w:w="1384"/>
        <w:gridCol w:w="1384"/>
        <w:gridCol w:w="1384"/>
        <w:gridCol w:w="1384"/>
      </w:tblGrid>
      <w:tr w:rsidR="00A50EB5" w:rsidRPr="00A50EB5" w14:paraId="156D7202" w14:textId="77777777" w:rsidTr="00A50EB5">
        <w:trPr>
          <w:cantSplit/>
          <w:tblHeader/>
        </w:trPr>
        <w:tc>
          <w:tcPr>
            <w:tcW w:w="833" w:type="pct"/>
            <w:tcBorders>
              <w:top w:val="single" w:sz="4" w:space="0" w:color="auto"/>
              <w:bottom w:val="single" w:sz="4" w:space="0" w:color="auto"/>
            </w:tcBorders>
            <w:tcMar>
              <w:top w:w="60" w:type="dxa"/>
              <w:left w:w="60" w:type="dxa"/>
              <w:bottom w:w="60" w:type="dxa"/>
              <w:right w:w="60" w:type="dxa"/>
            </w:tcMar>
            <w:vAlign w:val="center"/>
          </w:tcPr>
          <w:p w14:paraId="183AD172"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b/>
                <w:color w:val="000000"/>
                <w:sz w:val="16"/>
              </w:rPr>
              <w:t>Predictor</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2381B059"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b/>
                <w:color w:val="000000"/>
                <w:sz w:val="16"/>
              </w:rPr>
              <w:t>MIMIC missing, %</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41570712" w14:textId="77777777" w:rsidR="00A50EB5" w:rsidRPr="00A50EB5" w:rsidRDefault="00A50EB5" w:rsidP="00A50EB5">
            <w:pPr>
              <w:widowControl/>
              <w:jc w:val="center"/>
              <w:rPr>
                <w:rFonts w:ascii="Times New Roman" w:eastAsia="MS Mincho" w:hAnsi="Times New Roman" w:cs="Times New Roman"/>
              </w:rPr>
            </w:pPr>
            <w:proofErr w:type="spellStart"/>
            <w:r w:rsidRPr="00A50EB5">
              <w:rPr>
                <w:rFonts w:ascii="Times New Roman" w:eastAsia="MS Mincho" w:hAnsi="Times New Roman" w:cs="Times New Roman"/>
                <w:b/>
                <w:color w:val="000000"/>
                <w:sz w:val="16"/>
              </w:rPr>
              <w:t>eICU</w:t>
            </w:r>
            <w:proofErr w:type="spellEnd"/>
            <w:r w:rsidRPr="00A50EB5">
              <w:rPr>
                <w:rFonts w:ascii="Times New Roman" w:eastAsia="MS Mincho" w:hAnsi="Times New Roman" w:cs="Times New Roman"/>
                <w:b/>
                <w:color w:val="000000"/>
                <w:sz w:val="16"/>
              </w:rPr>
              <w:t xml:space="preserve"> missing, %</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42B714FB"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b/>
                <w:color w:val="000000"/>
                <w:sz w:val="16"/>
              </w:rPr>
              <w:t>MIMIC median age, h (95th percentile)</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04ACBA0D" w14:textId="77777777" w:rsidR="00A50EB5" w:rsidRPr="00A50EB5" w:rsidRDefault="00A50EB5" w:rsidP="00A50EB5">
            <w:pPr>
              <w:widowControl/>
              <w:jc w:val="center"/>
              <w:rPr>
                <w:rFonts w:ascii="Times New Roman" w:eastAsia="MS Mincho" w:hAnsi="Times New Roman" w:cs="Times New Roman"/>
              </w:rPr>
            </w:pPr>
            <w:proofErr w:type="spellStart"/>
            <w:r w:rsidRPr="00A50EB5">
              <w:rPr>
                <w:rFonts w:ascii="Times New Roman" w:eastAsia="MS Mincho" w:hAnsi="Times New Roman" w:cs="Times New Roman"/>
                <w:b/>
                <w:color w:val="000000"/>
                <w:sz w:val="16"/>
              </w:rPr>
              <w:t>eICU</w:t>
            </w:r>
            <w:proofErr w:type="spellEnd"/>
            <w:r w:rsidRPr="00A50EB5">
              <w:rPr>
                <w:rFonts w:ascii="Times New Roman" w:eastAsia="MS Mincho" w:hAnsi="Times New Roman" w:cs="Times New Roman"/>
                <w:b/>
                <w:color w:val="000000"/>
                <w:sz w:val="16"/>
              </w:rPr>
              <w:t xml:space="preserve"> median age, h (95th percentile)</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716A4888"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b/>
                <w:color w:val="000000"/>
                <w:sz w:val="16"/>
              </w:rPr>
              <w:t>Values older than 24 h, MIMIC/</w:t>
            </w:r>
            <w:proofErr w:type="spellStart"/>
            <w:r w:rsidRPr="00A50EB5">
              <w:rPr>
                <w:rFonts w:ascii="Times New Roman" w:eastAsia="MS Mincho" w:hAnsi="Times New Roman" w:cs="Times New Roman"/>
                <w:b/>
                <w:color w:val="000000"/>
                <w:sz w:val="16"/>
              </w:rPr>
              <w:t>eICU</w:t>
            </w:r>
            <w:proofErr w:type="spellEnd"/>
          </w:p>
        </w:tc>
      </w:tr>
      <w:tr w:rsidR="00A50EB5" w:rsidRPr="00A50EB5" w14:paraId="58D31093" w14:textId="77777777" w:rsidTr="00A50EB5">
        <w:trPr>
          <w:cantSplit/>
        </w:trPr>
        <w:tc>
          <w:tcPr>
            <w:tcW w:w="833" w:type="pct"/>
            <w:tcBorders>
              <w:top w:val="single" w:sz="4" w:space="0" w:color="auto"/>
            </w:tcBorders>
            <w:vAlign w:val="center"/>
          </w:tcPr>
          <w:p w14:paraId="22BB8015"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Catecholamine NEE</w:t>
            </w:r>
          </w:p>
        </w:tc>
        <w:tc>
          <w:tcPr>
            <w:tcW w:w="833" w:type="pct"/>
            <w:tcBorders>
              <w:top w:val="single" w:sz="4" w:space="0" w:color="auto"/>
            </w:tcBorders>
            <w:vAlign w:val="center"/>
          </w:tcPr>
          <w:p w14:paraId="0E2D78CD"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0.0</w:t>
            </w:r>
          </w:p>
        </w:tc>
        <w:tc>
          <w:tcPr>
            <w:tcW w:w="833" w:type="pct"/>
            <w:tcBorders>
              <w:top w:val="single" w:sz="4" w:space="0" w:color="auto"/>
            </w:tcBorders>
            <w:vAlign w:val="center"/>
          </w:tcPr>
          <w:p w14:paraId="01801BC8"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0.0</w:t>
            </w:r>
          </w:p>
        </w:tc>
        <w:tc>
          <w:tcPr>
            <w:tcW w:w="833" w:type="pct"/>
            <w:tcBorders>
              <w:top w:val="single" w:sz="4" w:space="0" w:color="auto"/>
            </w:tcBorders>
            <w:vAlign w:val="center"/>
          </w:tcPr>
          <w:p w14:paraId="2AB669D3"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Not applicable</w:t>
            </w:r>
          </w:p>
        </w:tc>
        <w:tc>
          <w:tcPr>
            <w:tcW w:w="833" w:type="pct"/>
            <w:tcBorders>
              <w:top w:val="single" w:sz="4" w:space="0" w:color="auto"/>
            </w:tcBorders>
            <w:vAlign w:val="center"/>
          </w:tcPr>
          <w:p w14:paraId="330696E6"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Not applicable</w:t>
            </w:r>
          </w:p>
        </w:tc>
        <w:tc>
          <w:tcPr>
            <w:tcW w:w="833" w:type="pct"/>
            <w:tcBorders>
              <w:top w:val="single" w:sz="4" w:space="0" w:color="auto"/>
            </w:tcBorders>
            <w:vAlign w:val="center"/>
          </w:tcPr>
          <w:p w14:paraId="1ED7D354"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Not applicable</w:t>
            </w:r>
          </w:p>
        </w:tc>
      </w:tr>
      <w:tr w:rsidR="00A50EB5" w:rsidRPr="00A50EB5" w14:paraId="631EACC8" w14:textId="77777777" w:rsidTr="00A50EB5">
        <w:trPr>
          <w:cantSplit/>
        </w:trPr>
        <w:tc>
          <w:tcPr>
            <w:tcW w:w="833" w:type="pct"/>
            <w:vAlign w:val="center"/>
          </w:tcPr>
          <w:p w14:paraId="342FAB6F"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Mean heart rate</w:t>
            </w:r>
          </w:p>
        </w:tc>
        <w:tc>
          <w:tcPr>
            <w:tcW w:w="833" w:type="pct"/>
            <w:vAlign w:val="center"/>
          </w:tcPr>
          <w:p w14:paraId="23D0A342"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0.2</w:t>
            </w:r>
          </w:p>
        </w:tc>
        <w:tc>
          <w:tcPr>
            <w:tcW w:w="833" w:type="pct"/>
            <w:vAlign w:val="center"/>
          </w:tcPr>
          <w:p w14:paraId="1613DDF7"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0.3</w:t>
            </w:r>
          </w:p>
        </w:tc>
        <w:tc>
          <w:tcPr>
            <w:tcW w:w="833" w:type="pct"/>
            <w:vAlign w:val="center"/>
          </w:tcPr>
          <w:p w14:paraId="13370F0C"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Current-bin summary</w:t>
            </w:r>
          </w:p>
        </w:tc>
        <w:tc>
          <w:tcPr>
            <w:tcW w:w="833" w:type="pct"/>
            <w:vAlign w:val="center"/>
          </w:tcPr>
          <w:p w14:paraId="4248E952"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Current-bin summary</w:t>
            </w:r>
          </w:p>
        </w:tc>
        <w:tc>
          <w:tcPr>
            <w:tcW w:w="833" w:type="pct"/>
            <w:vAlign w:val="center"/>
          </w:tcPr>
          <w:p w14:paraId="022BBDD8"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Not applicable</w:t>
            </w:r>
          </w:p>
        </w:tc>
      </w:tr>
      <w:tr w:rsidR="00A50EB5" w:rsidRPr="00A50EB5" w14:paraId="1A35C312" w14:textId="77777777" w:rsidTr="00A50EB5">
        <w:trPr>
          <w:cantSplit/>
        </w:trPr>
        <w:tc>
          <w:tcPr>
            <w:tcW w:w="833" w:type="pct"/>
            <w:vAlign w:val="center"/>
          </w:tcPr>
          <w:p w14:paraId="2AD76008"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Lactate</w:t>
            </w:r>
          </w:p>
        </w:tc>
        <w:tc>
          <w:tcPr>
            <w:tcW w:w="833" w:type="pct"/>
            <w:vAlign w:val="center"/>
          </w:tcPr>
          <w:p w14:paraId="238BE88D"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20.9</w:t>
            </w:r>
          </w:p>
        </w:tc>
        <w:tc>
          <w:tcPr>
            <w:tcW w:w="833" w:type="pct"/>
            <w:vAlign w:val="center"/>
          </w:tcPr>
          <w:p w14:paraId="4965344D"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24.8</w:t>
            </w:r>
          </w:p>
        </w:tc>
        <w:tc>
          <w:tcPr>
            <w:tcW w:w="833" w:type="pct"/>
            <w:vAlign w:val="center"/>
          </w:tcPr>
          <w:p w14:paraId="4A9447F6"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2.42 (10.31)</w:t>
            </w:r>
          </w:p>
        </w:tc>
        <w:tc>
          <w:tcPr>
            <w:tcW w:w="833" w:type="pct"/>
            <w:vAlign w:val="center"/>
          </w:tcPr>
          <w:p w14:paraId="359987FA"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4.02 (16.49)</w:t>
            </w:r>
          </w:p>
        </w:tc>
        <w:tc>
          <w:tcPr>
            <w:tcW w:w="833" w:type="pct"/>
            <w:vAlign w:val="center"/>
          </w:tcPr>
          <w:p w14:paraId="5E0252F7"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12 / 17</w:t>
            </w:r>
          </w:p>
        </w:tc>
      </w:tr>
      <w:tr w:rsidR="00A50EB5" w:rsidRPr="00A50EB5" w14:paraId="47189B41" w14:textId="77777777" w:rsidTr="00A50EB5">
        <w:trPr>
          <w:cantSplit/>
        </w:trPr>
        <w:tc>
          <w:tcPr>
            <w:tcW w:w="833" w:type="pct"/>
            <w:vAlign w:val="center"/>
          </w:tcPr>
          <w:p w14:paraId="1B894E40"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pH</w:t>
            </w:r>
          </w:p>
        </w:tc>
        <w:tc>
          <w:tcPr>
            <w:tcW w:w="833" w:type="pct"/>
            <w:vAlign w:val="center"/>
          </w:tcPr>
          <w:p w14:paraId="7D8BB660"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24.9</w:t>
            </w:r>
          </w:p>
        </w:tc>
        <w:tc>
          <w:tcPr>
            <w:tcW w:w="833" w:type="pct"/>
            <w:vAlign w:val="center"/>
          </w:tcPr>
          <w:p w14:paraId="73E08BDD"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35.9</w:t>
            </w:r>
          </w:p>
        </w:tc>
        <w:tc>
          <w:tcPr>
            <w:tcW w:w="833" w:type="pct"/>
            <w:vAlign w:val="center"/>
          </w:tcPr>
          <w:p w14:paraId="08629B65"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2.13 (9.17)</w:t>
            </w:r>
          </w:p>
        </w:tc>
        <w:tc>
          <w:tcPr>
            <w:tcW w:w="833" w:type="pct"/>
            <w:vAlign w:val="center"/>
          </w:tcPr>
          <w:p w14:paraId="49F019C7"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3.44 (14.81)</w:t>
            </w:r>
          </w:p>
        </w:tc>
        <w:tc>
          <w:tcPr>
            <w:tcW w:w="833" w:type="pct"/>
            <w:vAlign w:val="center"/>
          </w:tcPr>
          <w:p w14:paraId="1B19C7F4"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8 / 5</w:t>
            </w:r>
          </w:p>
        </w:tc>
      </w:tr>
      <w:tr w:rsidR="00A50EB5" w:rsidRPr="00A50EB5" w14:paraId="2009A5E0" w14:textId="77777777" w:rsidTr="00A50EB5">
        <w:trPr>
          <w:cantSplit/>
        </w:trPr>
        <w:tc>
          <w:tcPr>
            <w:tcW w:w="833" w:type="pct"/>
            <w:vAlign w:val="center"/>
          </w:tcPr>
          <w:p w14:paraId="1608EE9F"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Total bilirubin</w:t>
            </w:r>
          </w:p>
        </w:tc>
        <w:tc>
          <w:tcPr>
            <w:tcW w:w="833" w:type="pct"/>
            <w:vAlign w:val="center"/>
          </w:tcPr>
          <w:p w14:paraId="6FB713B7"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42.0</w:t>
            </w:r>
          </w:p>
        </w:tc>
        <w:tc>
          <w:tcPr>
            <w:tcW w:w="833" w:type="pct"/>
            <w:vAlign w:val="center"/>
          </w:tcPr>
          <w:p w14:paraId="5D7C3808"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29.9</w:t>
            </w:r>
          </w:p>
        </w:tc>
        <w:tc>
          <w:tcPr>
            <w:tcW w:w="833" w:type="pct"/>
            <w:vAlign w:val="center"/>
          </w:tcPr>
          <w:p w14:paraId="017E81F9"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3.47 (18.88)</w:t>
            </w:r>
          </w:p>
        </w:tc>
        <w:tc>
          <w:tcPr>
            <w:tcW w:w="833" w:type="pct"/>
            <w:vAlign w:val="center"/>
          </w:tcPr>
          <w:p w14:paraId="6D4CD29E"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7.82 (21.44)</w:t>
            </w:r>
          </w:p>
        </w:tc>
        <w:tc>
          <w:tcPr>
            <w:tcW w:w="833" w:type="pct"/>
            <w:vAlign w:val="center"/>
          </w:tcPr>
          <w:p w14:paraId="3738FB33"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40 / 38</w:t>
            </w:r>
          </w:p>
        </w:tc>
      </w:tr>
    </w:tbl>
    <w:p w14:paraId="1FF48B01" w14:textId="6A7EC091" w:rsidR="006958B4" w:rsidRDefault="00A50EB5" w:rsidP="006958B4">
      <w:pPr>
        <w:spacing w:line="360" w:lineRule="auto"/>
        <w:rPr>
          <w:rFonts w:ascii="Times New Roman" w:hAnsi="Times New Roman" w:cs="Times New Roman"/>
        </w:rPr>
      </w:pPr>
      <w:r w:rsidRPr="00A50EB5">
        <w:rPr>
          <w:rFonts w:ascii="Times New Roman" w:hAnsi="Times New Roman" w:cs="Times New Roman"/>
        </w:rPr>
        <w:t xml:space="preserve">The compact panel below covers all 15 candidate predictors. Distributions are among observed values in the MIMIC-IV training and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external cohorts. The final column is the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mean after applying the frozen MIMIC-IV training median, mean, and standard deviation; zero would indicate alignment with the training mean after preprocessing.</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5"/>
        <w:gridCol w:w="1385"/>
        <w:gridCol w:w="1384"/>
        <w:gridCol w:w="1384"/>
        <w:gridCol w:w="1384"/>
        <w:gridCol w:w="1384"/>
      </w:tblGrid>
      <w:tr w:rsidR="00A50EB5" w:rsidRPr="00A50EB5" w14:paraId="1046E953" w14:textId="77777777" w:rsidTr="00A50EB5">
        <w:trPr>
          <w:cantSplit/>
          <w:tblHeader/>
        </w:trPr>
        <w:tc>
          <w:tcPr>
            <w:tcW w:w="834" w:type="pct"/>
            <w:tcBorders>
              <w:top w:val="single" w:sz="4" w:space="0" w:color="auto"/>
              <w:bottom w:val="single" w:sz="4" w:space="0" w:color="auto"/>
            </w:tcBorders>
            <w:tcMar>
              <w:top w:w="60" w:type="dxa"/>
              <w:left w:w="60" w:type="dxa"/>
              <w:bottom w:w="60" w:type="dxa"/>
              <w:right w:w="60" w:type="dxa"/>
            </w:tcMar>
            <w:vAlign w:val="center"/>
          </w:tcPr>
          <w:p w14:paraId="797C3DB5"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b/>
                <w:color w:val="000000"/>
                <w:sz w:val="16"/>
              </w:rPr>
              <w:t>Predictor</w:t>
            </w:r>
          </w:p>
        </w:tc>
        <w:tc>
          <w:tcPr>
            <w:tcW w:w="834" w:type="pct"/>
            <w:tcBorders>
              <w:top w:val="single" w:sz="4" w:space="0" w:color="auto"/>
              <w:bottom w:val="single" w:sz="4" w:space="0" w:color="auto"/>
            </w:tcBorders>
            <w:tcMar>
              <w:top w:w="60" w:type="dxa"/>
              <w:left w:w="60" w:type="dxa"/>
              <w:bottom w:w="60" w:type="dxa"/>
              <w:right w:w="60" w:type="dxa"/>
            </w:tcMar>
            <w:vAlign w:val="center"/>
          </w:tcPr>
          <w:p w14:paraId="2E583D58"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b/>
                <w:color w:val="000000"/>
                <w:sz w:val="16"/>
              </w:rPr>
              <w:t>Training missing</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0A3624BA"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b/>
                <w:color w:val="000000"/>
                <w:sz w:val="16"/>
              </w:rPr>
              <w:t>Training median (IQR)</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5A2B992F" w14:textId="77777777" w:rsidR="00A50EB5" w:rsidRPr="00A50EB5" w:rsidRDefault="00A50EB5" w:rsidP="00A50EB5">
            <w:pPr>
              <w:widowControl/>
              <w:jc w:val="center"/>
              <w:rPr>
                <w:rFonts w:ascii="Arial" w:eastAsia="MS Mincho" w:hAnsi="Arial" w:cs="Times New Roman"/>
              </w:rPr>
            </w:pPr>
            <w:proofErr w:type="spellStart"/>
            <w:r w:rsidRPr="00A50EB5">
              <w:rPr>
                <w:rFonts w:ascii="Arial" w:eastAsia="MS Mincho" w:hAnsi="Arial" w:cs="Times New Roman"/>
                <w:b/>
                <w:color w:val="000000"/>
                <w:sz w:val="16"/>
              </w:rPr>
              <w:t>eICU</w:t>
            </w:r>
            <w:proofErr w:type="spellEnd"/>
            <w:r w:rsidRPr="00A50EB5">
              <w:rPr>
                <w:rFonts w:ascii="Arial" w:eastAsia="MS Mincho" w:hAnsi="Arial" w:cs="Times New Roman"/>
                <w:b/>
                <w:color w:val="000000"/>
                <w:sz w:val="16"/>
              </w:rPr>
              <w:t xml:space="preserve"> missing</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55A080F5" w14:textId="77777777" w:rsidR="00A50EB5" w:rsidRPr="00A50EB5" w:rsidRDefault="00A50EB5" w:rsidP="00A50EB5">
            <w:pPr>
              <w:widowControl/>
              <w:jc w:val="center"/>
              <w:rPr>
                <w:rFonts w:ascii="Arial" w:eastAsia="MS Mincho" w:hAnsi="Arial" w:cs="Times New Roman"/>
              </w:rPr>
            </w:pPr>
            <w:proofErr w:type="spellStart"/>
            <w:r w:rsidRPr="00A50EB5">
              <w:rPr>
                <w:rFonts w:ascii="Arial" w:eastAsia="MS Mincho" w:hAnsi="Arial" w:cs="Times New Roman"/>
                <w:b/>
                <w:color w:val="000000"/>
                <w:sz w:val="16"/>
              </w:rPr>
              <w:t>eICU</w:t>
            </w:r>
            <w:proofErr w:type="spellEnd"/>
            <w:r w:rsidRPr="00A50EB5">
              <w:rPr>
                <w:rFonts w:ascii="Arial" w:eastAsia="MS Mincho" w:hAnsi="Arial" w:cs="Times New Roman"/>
                <w:b/>
                <w:color w:val="000000"/>
                <w:sz w:val="16"/>
              </w:rPr>
              <w:t xml:space="preserve"> median (IQR)</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09800B87" w14:textId="77777777" w:rsidR="00A50EB5" w:rsidRPr="00A50EB5" w:rsidRDefault="00A50EB5" w:rsidP="00A50EB5">
            <w:pPr>
              <w:widowControl/>
              <w:jc w:val="center"/>
              <w:rPr>
                <w:rFonts w:ascii="Arial" w:eastAsia="MS Mincho" w:hAnsi="Arial" w:cs="Times New Roman"/>
              </w:rPr>
            </w:pPr>
            <w:proofErr w:type="spellStart"/>
            <w:r w:rsidRPr="00A50EB5">
              <w:rPr>
                <w:rFonts w:ascii="Arial" w:eastAsia="MS Mincho" w:hAnsi="Arial" w:cs="Times New Roman"/>
                <w:b/>
                <w:color w:val="000000"/>
                <w:sz w:val="16"/>
              </w:rPr>
              <w:t>eICU</w:t>
            </w:r>
            <w:proofErr w:type="spellEnd"/>
            <w:r w:rsidRPr="00A50EB5">
              <w:rPr>
                <w:rFonts w:ascii="Arial" w:eastAsia="MS Mincho" w:hAnsi="Arial" w:cs="Times New Roman"/>
                <w:b/>
                <w:color w:val="000000"/>
                <w:sz w:val="16"/>
              </w:rPr>
              <w:t xml:space="preserve"> frozen-standardized mean</w:t>
            </w:r>
          </w:p>
        </w:tc>
      </w:tr>
      <w:tr w:rsidR="00A50EB5" w:rsidRPr="00A50EB5" w14:paraId="371FE0A0" w14:textId="77777777" w:rsidTr="00A50EB5">
        <w:trPr>
          <w:cantSplit/>
        </w:trPr>
        <w:tc>
          <w:tcPr>
            <w:tcW w:w="834" w:type="pct"/>
            <w:tcBorders>
              <w:top w:val="single" w:sz="4" w:space="0" w:color="auto"/>
            </w:tcBorders>
            <w:vAlign w:val="center"/>
          </w:tcPr>
          <w:p w14:paraId="0B71E03C"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Current NEE</w:t>
            </w:r>
          </w:p>
        </w:tc>
        <w:tc>
          <w:tcPr>
            <w:tcW w:w="834" w:type="pct"/>
            <w:tcBorders>
              <w:top w:val="single" w:sz="4" w:space="0" w:color="auto"/>
            </w:tcBorders>
            <w:vAlign w:val="center"/>
          </w:tcPr>
          <w:p w14:paraId="2AB4116D"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w:t>
            </w:r>
          </w:p>
        </w:tc>
        <w:tc>
          <w:tcPr>
            <w:tcW w:w="833" w:type="pct"/>
            <w:tcBorders>
              <w:top w:val="single" w:sz="4" w:space="0" w:color="auto"/>
            </w:tcBorders>
            <w:vAlign w:val="center"/>
          </w:tcPr>
          <w:p w14:paraId="590D3BD7"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0.0899 (0.0477-0.161)</w:t>
            </w:r>
          </w:p>
        </w:tc>
        <w:tc>
          <w:tcPr>
            <w:tcW w:w="833" w:type="pct"/>
            <w:tcBorders>
              <w:top w:val="single" w:sz="4" w:space="0" w:color="auto"/>
            </w:tcBorders>
            <w:vAlign w:val="center"/>
          </w:tcPr>
          <w:p w14:paraId="6BBD9E9D"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w:t>
            </w:r>
          </w:p>
        </w:tc>
        <w:tc>
          <w:tcPr>
            <w:tcW w:w="833" w:type="pct"/>
            <w:tcBorders>
              <w:top w:val="single" w:sz="4" w:space="0" w:color="auto"/>
            </w:tcBorders>
            <w:vAlign w:val="center"/>
          </w:tcPr>
          <w:p w14:paraId="647AE25F"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0.0956 (0.05-0.185)</w:t>
            </w:r>
          </w:p>
        </w:tc>
        <w:tc>
          <w:tcPr>
            <w:tcW w:w="833" w:type="pct"/>
            <w:tcBorders>
              <w:top w:val="single" w:sz="4" w:space="0" w:color="auto"/>
            </w:tcBorders>
            <w:vAlign w:val="center"/>
          </w:tcPr>
          <w:p w14:paraId="594B4195"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+0.279</w:t>
            </w:r>
          </w:p>
        </w:tc>
      </w:tr>
      <w:tr w:rsidR="00A50EB5" w:rsidRPr="00A50EB5" w14:paraId="1FE0A988" w14:textId="77777777" w:rsidTr="00A50EB5">
        <w:trPr>
          <w:cantSplit/>
        </w:trPr>
        <w:tc>
          <w:tcPr>
            <w:tcW w:w="834" w:type="pct"/>
            <w:vAlign w:val="center"/>
          </w:tcPr>
          <w:p w14:paraId="5CF91864"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Previous NEE</w:t>
            </w:r>
          </w:p>
        </w:tc>
        <w:tc>
          <w:tcPr>
            <w:tcW w:w="834" w:type="pct"/>
            <w:vAlign w:val="center"/>
          </w:tcPr>
          <w:p w14:paraId="5B298BFE"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w:t>
            </w:r>
          </w:p>
        </w:tc>
        <w:tc>
          <w:tcPr>
            <w:tcW w:w="833" w:type="pct"/>
            <w:vAlign w:val="center"/>
          </w:tcPr>
          <w:p w14:paraId="63EC7D0B"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0.0641 (0.0298-0.119)</w:t>
            </w:r>
          </w:p>
        </w:tc>
        <w:tc>
          <w:tcPr>
            <w:tcW w:w="833" w:type="pct"/>
            <w:vAlign w:val="center"/>
          </w:tcPr>
          <w:p w14:paraId="0285ECCF"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w:t>
            </w:r>
          </w:p>
        </w:tc>
        <w:tc>
          <w:tcPr>
            <w:tcW w:w="833" w:type="pct"/>
            <w:vAlign w:val="center"/>
          </w:tcPr>
          <w:p w14:paraId="66DA848F"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0.09 (0.0514-0.171)</w:t>
            </w:r>
          </w:p>
        </w:tc>
        <w:tc>
          <w:tcPr>
            <w:tcW w:w="833" w:type="pct"/>
            <w:vAlign w:val="center"/>
          </w:tcPr>
          <w:p w14:paraId="681C471A"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+0.618</w:t>
            </w:r>
          </w:p>
        </w:tc>
      </w:tr>
      <w:tr w:rsidR="00A50EB5" w:rsidRPr="00A50EB5" w14:paraId="5C10B954" w14:textId="77777777" w:rsidTr="00A50EB5">
        <w:trPr>
          <w:cantSplit/>
        </w:trPr>
        <w:tc>
          <w:tcPr>
            <w:tcW w:w="834" w:type="pct"/>
            <w:vAlign w:val="center"/>
          </w:tcPr>
          <w:p w14:paraId="08D48E44"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Mean heart rate</w:t>
            </w:r>
          </w:p>
        </w:tc>
        <w:tc>
          <w:tcPr>
            <w:tcW w:w="834" w:type="pct"/>
            <w:vAlign w:val="center"/>
          </w:tcPr>
          <w:p w14:paraId="5D628198"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0.2%</w:t>
            </w:r>
          </w:p>
        </w:tc>
        <w:tc>
          <w:tcPr>
            <w:tcW w:w="833" w:type="pct"/>
            <w:vAlign w:val="center"/>
          </w:tcPr>
          <w:p w14:paraId="27129B95"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88 (75.8-102)</w:t>
            </w:r>
          </w:p>
        </w:tc>
        <w:tc>
          <w:tcPr>
            <w:tcW w:w="833" w:type="pct"/>
            <w:vAlign w:val="center"/>
          </w:tcPr>
          <w:p w14:paraId="0FE7642C"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0.3%</w:t>
            </w:r>
          </w:p>
        </w:tc>
        <w:tc>
          <w:tcPr>
            <w:tcW w:w="833" w:type="pct"/>
            <w:vAlign w:val="center"/>
          </w:tcPr>
          <w:p w14:paraId="3AFA9293"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89.5 (76.8-104)</w:t>
            </w:r>
          </w:p>
        </w:tc>
        <w:tc>
          <w:tcPr>
            <w:tcW w:w="833" w:type="pct"/>
            <w:vAlign w:val="center"/>
          </w:tcPr>
          <w:p w14:paraId="39D5D9C9"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+0.092</w:t>
            </w:r>
          </w:p>
        </w:tc>
      </w:tr>
      <w:tr w:rsidR="00A50EB5" w:rsidRPr="00A50EB5" w14:paraId="6A10DF85" w14:textId="77777777" w:rsidTr="00A50EB5">
        <w:trPr>
          <w:cantSplit/>
        </w:trPr>
        <w:tc>
          <w:tcPr>
            <w:tcW w:w="834" w:type="pct"/>
            <w:vAlign w:val="center"/>
          </w:tcPr>
          <w:p w14:paraId="08A2A608"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Mean respiratory rate</w:t>
            </w:r>
          </w:p>
        </w:tc>
        <w:tc>
          <w:tcPr>
            <w:tcW w:w="834" w:type="pct"/>
            <w:vAlign w:val="center"/>
          </w:tcPr>
          <w:p w14:paraId="62C84491"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0.4%</w:t>
            </w:r>
          </w:p>
        </w:tc>
        <w:tc>
          <w:tcPr>
            <w:tcW w:w="833" w:type="pct"/>
            <w:vAlign w:val="center"/>
          </w:tcPr>
          <w:p w14:paraId="37FB4957"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20 (17-23.4)</w:t>
            </w:r>
          </w:p>
        </w:tc>
        <w:tc>
          <w:tcPr>
            <w:tcW w:w="833" w:type="pct"/>
            <w:vAlign w:val="center"/>
          </w:tcPr>
          <w:p w14:paraId="3E396034"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3.7%</w:t>
            </w:r>
          </w:p>
        </w:tc>
        <w:tc>
          <w:tcPr>
            <w:tcW w:w="833" w:type="pct"/>
            <w:vAlign w:val="center"/>
          </w:tcPr>
          <w:p w14:paraId="3A2C7D50"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20 (16.6-24.3)</w:t>
            </w:r>
          </w:p>
        </w:tc>
        <w:tc>
          <w:tcPr>
            <w:tcW w:w="833" w:type="pct"/>
            <w:vAlign w:val="center"/>
          </w:tcPr>
          <w:p w14:paraId="57D03868"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+0.070</w:t>
            </w:r>
          </w:p>
        </w:tc>
      </w:tr>
      <w:tr w:rsidR="00A50EB5" w:rsidRPr="00A50EB5" w14:paraId="0D3F6920" w14:textId="77777777" w:rsidTr="00A50EB5">
        <w:trPr>
          <w:cantSplit/>
        </w:trPr>
        <w:tc>
          <w:tcPr>
            <w:tcW w:w="834" w:type="pct"/>
            <w:vAlign w:val="center"/>
          </w:tcPr>
          <w:p w14:paraId="245BE72E"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Mean SpO2</w:t>
            </w:r>
          </w:p>
        </w:tc>
        <w:tc>
          <w:tcPr>
            <w:tcW w:w="834" w:type="pct"/>
            <w:vAlign w:val="center"/>
          </w:tcPr>
          <w:p w14:paraId="74C09ED5"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0.5%</w:t>
            </w:r>
          </w:p>
        </w:tc>
        <w:tc>
          <w:tcPr>
            <w:tcW w:w="833" w:type="pct"/>
            <w:vAlign w:val="center"/>
          </w:tcPr>
          <w:p w14:paraId="1C9A4A64"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97.6 (95.8-99.2)</w:t>
            </w:r>
          </w:p>
        </w:tc>
        <w:tc>
          <w:tcPr>
            <w:tcW w:w="833" w:type="pct"/>
            <w:vAlign w:val="center"/>
          </w:tcPr>
          <w:p w14:paraId="66249F4A"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1.9%</w:t>
            </w:r>
          </w:p>
        </w:tc>
        <w:tc>
          <w:tcPr>
            <w:tcW w:w="833" w:type="pct"/>
            <w:vAlign w:val="center"/>
          </w:tcPr>
          <w:p w14:paraId="25FFC63B"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97.7 (95.7-99.3)</w:t>
            </w:r>
          </w:p>
        </w:tc>
        <w:tc>
          <w:tcPr>
            <w:tcW w:w="833" w:type="pct"/>
            <w:vAlign w:val="center"/>
          </w:tcPr>
          <w:p w14:paraId="606491EF"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-0.047</w:t>
            </w:r>
          </w:p>
        </w:tc>
      </w:tr>
      <w:tr w:rsidR="00A50EB5" w:rsidRPr="00A50EB5" w14:paraId="5C74376F" w14:textId="77777777" w:rsidTr="00A50EB5">
        <w:trPr>
          <w:cantSplit/>
        </w:trPr>
        <w:tc>
          <w:tcPr>
            <w:tcW w:w="834" w:type="pct"/>
            <w:vAlign w:val="center"/>
          </w:tcPr>
          <w:p w14:paraId="54B0A84C"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Last lactate</w:t>
            </w:r>
          </w:p>
        </w:tc>
        <w:tc>
          <w:tcPr>
            <w:tcW w:w="834" w:type="pct"/>
            <w:vAlign w:val="center"/>
          </w:tcPr>
          <w:p w14:paraId="183543E1"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21.3%</w:t>
            </w:r>
          </w:p>
        </w:tc>
        <w:tc>
          <w:tcPr>
            <w:tcW w:w="833" w:type="pct"/>
            <w:vAlign w:val="center"/>
          </w:tcPr>
          <w:p w14:paraId="4E79C12A"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2 (1.4-3.1)</w:t>
            </w:r>
          </w:p>
        </w:tc>
        <w:tc>
          <w:tcPr>
            <w:tcW w:w="833" w:type="pct"/>
            <w:vAlign w:val="center"/>
          </w:tcPr>
          <w:p w14:paraId="2FF44B77"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24.8%</w:t>
            </w:r>
          </w:p>
        </w:tc>
        <w:tc>
          <w:tcPr>
            <w:tcW w:w="833" w:type="pct"/>
            <w:vAlign w:val="center"/>
          </w:tcPr>
          <w:p w14:paraId="49FFDA96"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2 (1.3-3.33)</w:t>
            </w:r>
          </w:p>
        </w:tc>
        <w:tc>
          <w:tcPr>
            <w:tcW w:w="833" w:type="pct"/>
            <w:vAlign w:val="center"/>
          </w:tcPr>
          <w:p w14:paraId="77719BD5"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+0.063</w:t>
            </w:r>
          </w:p>
        </w:tc>
      </w:tr>
      <w:tr w:rsidR="00A50EB5" w:rsidRPr="00A50EB5" w14:paraId="1F8F5804" w14:textId="77777777" w:rsidTr="00A50EB5">
        <w:trPr>
          <w:cantSplit/>
        </w:trPr>
        <w:tc>
          <w:tcPr>
            <w:tcW w:w="834" w:type="pct"/>
            <w:vAlign w:val="center"/>
          </w:tcPr>
          <w:p w14:paraId="717F7D4E"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Last creatinine</w:t>
            </w:r>
          </w:p>
        </w:tc>
        <w:tc>
          <w:tcPr>
            <w:tcW w:w="834" w:type="pct"/>
            <w:vAlign w:val="center"/>
          </w:tcPr>
          <w:p w14:paraId="42F70D53"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13.8%</w:t>
            </w:r>
          </w:p>
        </w:tc>
        <w:tc>
          <w:tcPr>
            <w:tcW w:w="833" w:type="pct"/>
            <w:vAlign w:val="center"/>
          </w:tcPr>
          <w:p w14:paraId="1AC709E3"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1.4 (0.9-2.4)</w:t>
            </w:r>
          </w:p>
        </w:tc>
        <w:tc>
          <w:tcPr>
            <w:tcW w:w="833" w:type="pct"/>
            <w:vAlign w:val="center"/>
          </w:tcPr>
          <w:p w14:paraId="60D3100C"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6.9%</w:t>
            </w:r>
          </w:p>
        </w:tc>
        <w:tc>
          <w:tcPr>
            <w:tcW w:w="833" w:type="pct"/>
            <w:vAlign w:val="center"/>
          </w:tcPr>
          <w:p w14:paraId="1C1B7A3F"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1.65 (1-2.71)</w:t>
            </w:r>
          </w:p>
        </w:tc>
        <w:tc>
          <w:tcPr>
            <w:tcW w:w="833" w:type="pct"/>
            <w:vAlign w:val="center"/>
          </w:tcPr>
          <w:p w14:paraId="652D8D37"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+0.154</w:t>
            </w:r>
          </w:p>
        </w:tc>
      </w:tr>
      <w:tr w:rsidR="00A50EB5" w:rsidRPr="00A50EB5" w14:paraId="5B837540" w14:textId="77777777" w:rsidTr="00A50EB5">
        <w:trPr>
          <w:cantSplit/>
        </w:trPr>
        <w:tc>
          <w:tcPr>
            <w:tcW w:w="834" w:type="pct"/>
            <w:vAlign w:val="center"/>
          </w:tcPr>
          <w:p w14:paraId="59304D8B"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Last bicarbonate</w:t>
            </w:r>
          </w:p>
        </w:tc>
        <w:tc>
          <w:tcPr>
            <w:tcW w:w="834" w:type="pct"/>
            <w:vAlign w:val="center"/>
          </w:tcPr>
          <w:p w14:paraId="2D1BC143"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8.2%</w:t>
            </w:r>
          </w:p>
        </w:tc>
        <w:tc>
          <w:tcPr>
            <w:tcW w:w="833" w:type="pct"/>
            <w:vAlign w:val="center"/>
          </w:tcPr>
          <w:p w14:paraId="1CD1F32B"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22 (19-26)</w:t>
            </w:r>
          </w:p>
        </w:tc>
        <w:tc>
          <w:tcPr>
            <w:tcW w:w="833" w:type="pct"/>
            <w:vAlign w:val="center"/>
          </w:tcPr>
          <w:p w14:paraId="3D6A8B91"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4.9%</w:t>
            </w:r>
          </w:p>
        </w:tc>
        <w:tc>
          <w:tcPr>
            <w:tcW w:w="833" w:type="pct"/>
            <w:vAlign w:val="center"/>
          </w:tcPr>
          <w:p w14:paraId="3B791670"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21.2 (18-25)</w:t>
            </w:r>
          </w:p>
        </w:tc>
        <w:tc>
          <w:tcPr>
            <w:tcW w:w="833" w:type="pct"/>
            <w:vAlign w:val="center"/>
          </w:tcPr>
          <w:p w14:paraId="2F5E9B95"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-0.154</w:t>
            </w:r>
          </w:p>
        </w:tc>
      </w:tr>
      <w:tr w:rsidR="00A50EB5" w:rsidRPr="00A50EB5" w14:paraId="7347B2F2" w14:textId="77777777" w:rsidTr="00A50EB5">
        <w:trPr>
          <w:cantSplit/>
        </w:trPr>
        <w:tc>
          <w:tcPr>
            <w:tcW w:w="834" w:type="pct"/>
            <w:vAlign w:val="center"/>
          </w:tcPr>
          <w:p w14:paraId="5D35F516"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Last pH</w:t>
            </w:r>
          </w:p>
        </w:tc>
        <w:tc>
          <w:tcPr>
            <w:tcW w:w="834" w:type="pct"/>
            <w:vAlign w:val="center"/>
          </w:tcPr>
          <w:p w14:paraId="7A0828DA"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25.1%</w:t>
            </w:r>
          </w:p>
        </w:tc>
        <w:tc>
          <w:tcPr>
            <w:tcW w:w="833" w:type="pct"/>
            <w:vAlign w:val="center"/>
          </w:tcPr>
          <w:p w14:paraId="26142790"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7.34 (7.28-7.4)</w:t>
            </w:r>
          </w:p>
        </w:tc>
        <w:tc>
          <w:tcPr>
            <w:tcW w:w="833" w:type="pct"/>
            <w:vAlign w:val="center"/>
          </w:tcPr>
          <w:p w14:paraId="6E3E763C"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35.9%</w:t>
            </w:r>
          </w:p>
        </w:tc>
        <w:tc>
          <w:tcPr>
            <w:tcW w:w="833" w:type="pct"/>
            <w:vAlign w:val="center"/>
          </w:tcPr>
          <w:p w14:paraId="6D4ABB1A"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7.34 (7.27-7.4)</w:t>
            </w:r>
          </w:p>
        </w:tc>
        <w:tc>
          <w:tcPr>
            <w:tcW w:w="833" w:type="pct"/>
            <w:vAlign w:val="center"/>
          </w:tcPr>
          <w:p w14:paraId="66F8D672"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-0.017</w:t>
            </w:r>
          </w:p>
        </w:tc>
      </w:tr>
      <w:tr w:rsidR="00A50EB5" w:rsidRPr="00A50EB5" w14:paraId="3F6FC8F8" w14:textId="77777777" w:rsidTr="00A50EB5">
        <w:trPr>
          <w:cantSplit/>
        </w:trPr>
        <w:tc>
          <w:tcPr>
            <w:tcW w:w="834" w:type="pct"/>
            <w:vAlign w:val="center"/>
          </w:tcPr>
          <w:p w14:paraId="20A8DE75"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Last chloride</w:t>
            </w:r>
          </w:p>
        </w:tc>
        <w:tc>
          <w:tcPr>
            <w:tcW w:w="834" w:type="pct"/>
            <w:vAlign w:val="center"/>
          </w:tcPr>
          <w:p w14:paraId="096B019A"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13.2%</w:t>
            </w:r>
          </w:p>
        </w:tc>
        <w:tc>
          <w:tcPr>
            <w:tcW w:w="833" w:type="pct"/>
            <w:vAlign w:val="center"/>
          </w:tcPr>
          <w:p w14:paraId="69293547"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104 (99-108)</w:t>
            </w:r>
          </w:p>
        </w:tc>
        <w:tc>
          <w:tcPr>
            <w:tcW w:w="833" w:type="pct"/>
            <w:vAlign w:val="center"/>
          </w:tcPr>
          <w:p w14:paraId="6CEDD7CE"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6.9%</w:t>
            </w:r>
          </w:p>
        </w:tc>
        <w:tc>
          <w:tcPr>
            <w:tcW w:w="833" w:type="pct"/>
            <w:vAlign w:val="center"/>
          </w:tcPr>
          <w:p w14:paraId="7B7CF311"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104 (99-109)</w:t>
            </w:r>
          </w:p>
        </w:tc>
        <w:tc>
          <w:tcPr>
            <w:tcW w:w="833" w:type="pct"/>
            <w:vAlign w:val="center"/>
          </w:tcPr>
          <w:p w14:paraId="0385CF56"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+0.079</w:t>
            </w:r>
          </w:p>
        </w:tc>
      </w:tr>
      <w:tr w:rsidR="00A50EB5" w:rsidRPr="00A50EB5" w14:paraId="72BEC044" w14:textId="77777777" w:rsidTr="00A50EB5">
        <w:trPr>
          <w:cantSplit/>
        </w:trPr>
        <w:tc>
          <w:tcPr>
            <w:tcW w:w="834" w:type="pct"/>
            <w:vAlign w:val="center"/>
          </w:tcPr>
          <w:p w14:paraId="3E7DAACF"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Last anion gap</w:t>
            </w:r>
          </w:p>
        </w:tc>
        <w:tc>
          <w:tcPr>
            <w:tcW w:w="834" w:type="pct"/>
            <w:vAlign w:val="center"/>
          </w:tcPr>
          <w:p w14:paraId="760EA36F"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13.8%</w:t>
            </w:r>
          </w:p>
        </w:tc>
        <w:tc>
          <w:tcPr>
            <w:tcW w:w="833" w:type="pct"/>
            <w:vAlign w:val="center"/>
          </w:tcPr>
          <w:p w14:paraId="2AA0CA2B"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15 (13-18)</w:t>
            </w:r>
          </w:p>
        </w:tc>
        <w:tc>
          <w:tcPr>
            <w:tcW w:w="833" w:type="pct"/>
            <w:vAlign w:val="center"/>
          </w:tcPr>
          <w:p w14:paraId="75789C39"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19.5%</w:t>
            </w:r>
          </w:p>
        </w:tc>
        <w:tc>
          <w:tcPr>
            <w:tcW w:w="833" w:type="pct"/>
            <w:vAlign w:val="center"/>
          </w:tcPr>
          <w:p w14:paraId="2F0E3749"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11 (8-15)</w:t>
            </w:r>
          </w:p>
        </w:tc>
        <w:tc>
          <w:tcPr>
            <w:tcW w:w="833" w:type="pct"/>
            <w:vAlign w:val="center"/>
          </w:tcPr>
          <w:p w14:paraId="4F6BB9AB"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-0.704</w:t>
            </w:r>
          </w:p>
        </w:tc>
      </w:tr>
      <w:tr w:rsidR="00A50EB5" w:rsidRPr="00A50EB5" w14:paraId="001DBDBC" w14:textId="77777777" w:rsidTr="00A50EB5">
        <w:trPr>
          <w:cantSplit/>
        </w:trPr>
        <w:tc>
          <w:tcPr>
            <w:tcW w:w="834" w:type="pct"/>
            <w:vAlign w:val="center"/>
          </w:tcPr>
          <w:p w14:paraId="1AE2E72B"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Last potassium</w:t>
            </w:r>
          </w:p>
        </w:tc>
        <w:tc>
          <w:tcPr>
            <w:tcW w:w="834" w:type="pct"/>
            <w:vAlign w:val="center"/>
          </w:tcPr>
          <w:p w14:paraId="0DCB16D8"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12.2%</w:t>
            </w:r>
          </w:p>
        </w:tc>
        <w:tc>
          <w:tcPr>
            <w:tcW w:w="833" w:type="pct"/>
            <w:vAlign w:val="center"/>
          </w:tcPr>
          <w:p w14:paraId="4338151D"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4.1 (3.7-4.6)</w:t>
            </w:r>
          </w:p>
        </w:tc>
        <w:tc>
          <w:tcPr>
            <w:tcW w:w="833" w:type="pct"/>
            <w:vAlign w:val="center"/>
          </w:tcPr>
          <w:p w14:paraId="598EDFA9"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6.6%</w:t>
            </w:r>
          </w:p>
        </w:tc>
        <w:tc>
          <w:tcPr>
            <w:tcW w:w="833" w:type="pct"/>
            <w:vAlign w:val="center"/>
          </w:tcPr>
          <w:p w14:paraId="59274656"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4.1 (3.7-4.7)</w:t>
            </w:r>
          </w:p>
        </w:tc>
        <w:tc>
          <w:tcPr>
            <w:tcW w:w="833" w:type="pct"/>
            <w:vAlign w:val="center"/>
          </w:tcPr>
          <w:p w14:paraId="52C23951"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+0.057</w:t>
            </w:r>
          </w:p>
        </w:tc>
      </w:tr>
      <w:tr w:rsidR="00A50EB5" w:rsidRPr="00A50EB5" w14:paraId="3B4EED91" w14:textId="77777777" w:rsidTr="00A50EB5">
        <w:trPr>
          <w:cantSplit/>
        </w:trPr>
        <w:tc>
          <w:tcPr>
            <w:tcW w:w="834" w:type="pct"/>
            <w:vAlign w:val="center"/>
          </w:tcPr>
          <w:p w14:paraId="10047897"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Last white blood cell count</w:t>
            </w:r>
          </w:p>
        </w:tc>
        <w:tc>
          <w:tcPr>
            <w:tcW w:w="834" w:type="pct"/>
            <w:vAlign w:val="center"/>
          </w:tcPr>
          <w:p w14:paraId="1693018A"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15.5%</w:t>
            </w:r>
          </w:p>
        </w:tc>
        <w:tc>
          <w:tcPr>
            <w:tcW w:w="833" w:type="pct"/>
            <w:vAlign w:val="center"/>
          </w:tcPr>
          <w:p w14:paraId="20AED452"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14 (8.9-20.4)</w:t>
            </w:r>
          </w:p>
        </w:tc>
        <w:tc>
          <w:tcPr>
            <w:tcW w:w="833" w:type="pct"/>
            <w:vAlign w:val="center"/>
          </w:tcPr>
          <w:p w14:paraId="6E141ADE"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7.4%</w:t>
            </w:r>
          </w:p>
        </w:tc>
        <w:tc>
          <w:tcPr>
            <w:tcW w:w="833" w:type="pct"/>
            <w:vAlign w:val="center"/>
          </w:tcPr>
          <w:p w14:paraId="1457BB33"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13.8 (8.9-20.2)</w:t>
            </w:r>
          </w:p>
        </w:tc>
        <w:tc>
          <w:tcPr>
            <w:tcW w:w="833" w:type="pct"/>
            <w:vAlign w:val="center"/>
          </w:tcPr>
          <w:p w14:paraId="04B55372"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+0.069</w:t>
            </w:r>
          </w:p>
        </w:tc>
      </w:tr>
      <w:tr w:rsidR="00A50EB5" w:rsidRPr="00A50EB5" w14:paraId="728B467D" w14:textId="77777777" w:rsidTr="00A50EB5">
        <w:trPr>
          <w:cantSplit/>
        </w:trPr>
        <w:tc>
          <w:tcPr>
            <w:tcW w:w="834" w:type="pct"/>
            <w:vAlign w:val="center"/>
          </w:tcPr>
          <w:p w14:paraId="5DFCB382"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lastRenderedPageBreak/>
              <w:t>Last platelet count</w:t>
            </w:r>
          </w:p>
        </w:tc>
        <w:tc>
          <w:tcPr>
            <w:tcW w:w="834" w:type="pct"/>
            <w:vAlign w:val="center"/>
          </w:tcPr>
          <w:p w14:paraId="427F6847"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15.6%</w:t>
            </w:r>
          </w:p>
        </w:tc>
        <w:tc>
          <w:tcPr>
            <w:tcW w:w="833" w:type="pct"/>
            <w:vAlign w:val="center"/>
          </w:tcPr>
          <w:p w14:paraId="2CD054C5"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190 (121-281)</w:t>
            </w:r>
          </w:p>
        </w:tc>
        <w:tc>
          <w:tcPr>
            <w:tcW w:w="833" w:type="pct"/>
            <w:vAlign w:val="center"/>
          </w:tcPr>
          <w:p w14:paraId="4F50CF66"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7.6%</w:t>
            </w:r>
          </w:p>
        </w:tc>
        <w:tc>
          <w:tcPr>
            <w:tcW w:w="833" w:type="pct"/>
            <w:vAlign w:val="center"/>
          </w:tcPr>
          <w:p w14:paraId="6A3160FB"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194 (128-274)</w:t>
            </w:r>
          </w:p>
        </w:tc>
        <w:tc>
          <w:tcPr>
            <w:tcW w:w="833" w:type="pct"/>
            <w:vAlign w:val="center"/>
          </w:tcPr>
          <w:p w14:paraId="036270BA"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-0.003</w:t>
            </w:r>
          </w:p>
        </w:tc>
      </w:tr>
      <w:tr w:rsidR="00A50EB5" w:rsidRPr="00A50EB5" w14:paraId="27DE73DB" w14:textId="77777777" w:rsidTr="00A50EB5">
        <w:trPr>
          <w:cantSplit/>
        </w:trPr>
        <w:tc>
          <w:tcPr>
            <w:tcW w:w="834" w:type="pct"/>
            <w:vAlign w:val="center"/>
          </w:tcPr>
          <w:p w14:paraId="641C2F15"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Last total bilirubin</w:t>
            </w:r>
          </w:p>
        </w:tc>
        <w:tc>
          <w:tcPr>
            <w:tcW w:w="834" w:type="pct"/>
            <w:vAlign w:val="center"/>
          </w:tcPr>
          <w:p w14:paraId="28471445"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42.1%</w:t>
            </w:r>
          </w:p>
        </w:tc>
        <w:tc>
          <w:tcPr>
            <w:tcW w:w="833" w:type="pct"/>
            <w:vAlign w:val="center"/>
          </w:tcPr>
          <w:p w14:paraId="49E15429"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0.8 (0.4-2.2)</w:t>
            </w:r>
          </w:p>
        </w:tc>
        <w:tc>
          <w:tcPr>
            <w:tcW w:w="833" w:type="pct"/>
            <w:vAlign w:val="center"/>
          </w:tcPr>
          <w:p w14:paraId="64669277"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29.9%</w:t>
            </w:r>
          </w:p>
        </w:tc>
        <w:tc>
          <w:tcPr>
            <w:tcW w:w="833" w:type="pct"/>
            <w:vAlign w:val="center"/>
          </w:tcPr>
          <w:p w14:paraId="4E0DDCCF"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0.7 (0.4-1.2)</w:t>
            </w:r>
          </w:p>
        </w:tc>
        <w:tc>
          <w:tcPr>
            <w:tcW w:w="833" w:type="pct"/>
            <w:vAlign w:val="center"/>
          </w:tcPr>
          <w:p w14:paraId="04DCDB87" w14:textId="77777777" w:rsidR="00A50EB5" w:rsidRPr="00A50EB5" w:rsidRDefault="00A50EB5" w:rsidP="00A50EB5">
            <w:pPr>
              <w:widowControl/>
              <w:jc w:val="center"/>
              <w:rPr>
                <w:rFonts w:ascii="Arial" w:eastAsia="MS Mincho" w:hAnsi="Arial" w:cs="Times New Roman"/>
              </w:rPr>
            </w:pPr>
            <w:r w:rsidRPr="00A50EB5">
              <w:rPr>
                <w:rFonts w:ascii="Arial" w:eastAsia="MS Mincho" w:hAnsi="Arial" w:cs="Times New Roman"/>
                <w:color w:val="000000"/>
                <w:sz w:val="16"/>
              </w:rPr>
              <w:t>-0.158</w:t>
            </w:r>
          </w:p>
        </w:tc>
      </w:tr>
    </w:tbl>
    <w:p w14:paraId="2BDA87FC" w14:textId="77777777" w:rsidR="00A50EB5" w:rsidRPr="00A50EB5" w:rsidRDefault="00A50EB5" w:rsidP="00A50EB5">
      <w:pPr>
        <w:spacing w:line="360" w:lineRule="auto"/>
        <w:rPr>
          <w:rFonts w:ascii="Times New Roman" w:hAnsi="Times New Roman" w:cs="Times New Roman"/>
          <w:b/>
          <w:bCs/>
        </w:rPr>
      </w:pPr>
      <w:r w:rsidRPr="00A50EB5">
        <w:rPr>
          <w:rFonts w:ascii="Times New Roman" w:hAnsi="Times New Roman" w:cs="Times New Roman"/>
          <w:b/>
          <w:bCs/>
        </w:rPr>
        <w:t>Table S2. Raw medication audit and raw-outcome sensitivity</w:t>
      </w:r>
    </w:p>
    <w:p w14:paraId="0B8DEAE0" w14:textId="799F9666" w:rsid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MIMIC audit used </w:t>
      </w:r>
      <w:proofErr w:type="spellStart"/>
      <w:r w:rsidRPr="00A50EB5">
        <w:rPr>
          <w:rFonts w:ascii="Times New Roman" w:hAnsi="Times New Roman" w:cs="Times New Roman"/>
        </w:rPr>
        <w:t>inputevents</w:t>
      </w:r>
      <w:proofErr w:type="spellEnd"/>
      <w:r w:rsidRPr="00A50EB5">
        <w:rPr>
          <w:rFonts w:ascii="Times New Roman" w:hAnsi="Times New Roman" w:cs="Times New Roman"/>
        </w:rPr>
        <w:t xml:space="preserve"> item 222315.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audit used </w:t>
      </w:r>
      <w:proofErr w:type="spellStart"/>
      <w:r w:rsidRPr="00A50EB5">
        <w:rPr>
          <w:rFonts w:ascii="Times New Roman" w:hAnsi="Times New Roman" w:cs="Times New Roman"/>
        </w:rPr>
        <w:t>infusionDrug</w:t>
      </w:r>
      <w:proofErr w:type="spellEnd"/>
      <w:r w:rsidRPr="00A50EB5">
        <w:rPr>
          <w:rFonts w:ascii="Times New Roman" w:hAnsi="Times New Roman" w:cs="Times New Roman"/>
        </w:rPr>
        <w:t xml:space="preserve"> names containing </w:t>
      </w:r>
      <w:proofErr w:type="spellStart"/>
      <w:r w:rsidRPr="00A50EB5">
        <w:rPr>
          <w:rFonts w:ascii="Times New Roman" w:hAnsi="Times New Roman" w:cs="Times New Roman"/>
        </w:rPr>
        <w:t>vasopress</w:t>
      </w:r>
      <w:proofErr w:type="spellEnd"/>
      <w:r w:rsidRPr="00A50EB5">
        <w:rPr>
          <w:rFonts w:ascii="Times New Roman" w:hAnsi="Times New Roman" w:cs="Times New Roman"/>
        </w:rPr>
        <w:t>. A raw future record started in the 24-hour window after time zero.</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
        <w:gridCol w:w="1039"/>
        <w:gridCol w:w="1038"/>
        <w:gridCol w:w="1038"/>
        <w:gridCol w:w="1038"/>
        <w:gridCol w:w="1038"/>
        <w:gridCol w:w="1038"/>
        <w:gridCol w:w="1038"/>
      </w:tblGrid>
      <w:tr w:rsidR="00A50EB5" w:rsidRPr="00A50EB5" w14:paraId="33F9B0D6" w14:textId="77777777" w:rsidTr="00A50EB5">
        <w:trPr>
          <w:cantSplit/>
          <w:tblHeader/>
        </w:trPr>
        <w:tc>
          <w:tcPr>
            <w:tcW w:w="625" w:type="pct"/>
            <w:tcBorders>
              <w:top w:val="single" w:sz="4" w:space="0" w:color="auto"/>
              <w:bottom w:val="single" w:sz="4" w:space="0" w:color="auto"/>
            </w:tcBorders>
            <w:tcMar>
              <w:top w:w="60" w:type="dxa"/>
              <w:left w:w="60" w:type="dxa"/>
              <w:bottom w:w="60" w:type="dxa"/>
              <w:right w:w="60" w:type="dxa"/>
            </w:tcMar>
            <w:vAlign w:val="center"/>
          </w:tcPr>
          <w:p w14:paraId="69EB9918"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b/>
                <w:color w:val="000000"/>
                <w:sz w:val="16"/>
              </w:rPr>
              <w:t>Database</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0E5D1965"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b/>
                <w:color w:val="000000"/>
                <w:sz w:val="16"/>
              </w:rPr>
              <w:t>Eligible stays</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24A3EBD8"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b/>
                <w:color w:val="000000"/>
                <w:sz w:val="16"/>
              </w:rPr>
              <w:t>Queue events</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3F9B8121"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b/>
                <w:color w:val="000000"/>
                <w:sz w:val="16"/>
              </w:rPr>
              <w:t>Raw pre-time-zero records</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4BB5A9A7"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b/>
                <w:color w:val="000000"/>
                <w:sz w:val="16"/>
              </w:rPr>
              <w:t>Raw records in assessment bin</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133A3D45"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b/>
                <w:color w:val="000000"/>
                <w:sz w:val="16"/>
              </w:rPr>
              <w:t>Raw future records</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3C4D2C20"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b/>
                <w:color w:val="000000"/>
                <w:sz w:val="16"/>
              </w:rPr>
              <w:t>Queue events with raw future record</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77A299F8"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b/>
                <w:color w:val="000000"/>
                <w:sz w:val="16"/>
              </w:rPr>
              <w:t>Raw future records absent from queue outcome</w:t>
            </w:r>
          </w:p>
        </w:tc>
      </w:tr>
      <w:tr w:rsidR="00A50EB5" w:rsidRPr="00A50EB5" w14:paraId="6D34B507" w14:textId="77777777" w:rsidTr="00A50EB5">
        <w:trPr>
          <w:cantSplit/>
        </w:trPr>
        <w:tc>
          <w:tcPr>
            <w:tcW w:w="625" w:type="pct"/>
            <w:tcBorders>
              <w:top w:val="single" w:sz="4" w:space="0" w:color="auto"/>
            </w:tcBorders>
            <w:vAlign w:val="center"/>
          </w:tcPr>
          <w:p w14:paraId="0D01D13F"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MIMIC-IV</w:t>
            </w:r>
          </w:p>
        </w:tc>
        <w:tc>
          <w:tcPr>
            <w:tcW w:w="625" w:type="pct"/>
            <w:tcBorders>
              <w:top w:val="single" w:sz="4" w:space="0" w:color="auto"/>
            </w:tcBorders>
            <w:vAlign w:val="center"/>
          </w:tcPr>
          <w:p w14:paraId="19C506A6"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5274</w:t>
            </w:r>
          </w:p>
        </w:tc>
        <w:tc>
          <w:tcPr>
            <w:tcW w:w="625" w:type="pct"/>
            <w:tcBorders>
              <w:top w:val="single" w:sz="4" w:space="0" w:color="auto"/>
            </w:tcBorders>
            <w:vAlign w:val="center"/>
          </w:tcPr>
          <w:p w14:paraId="369CE0F4"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728</w:t>
            </w:r>
          </w:p>
        </w:tc>
        <w:tc>
          <w:tcPr>
            <w:tcW w:w="625" w:type="pct"/>
            <w:tcBorders>
              <w:top w:val="single" w:sz="4" w:space="0" w:color="auto"/>
            </w:tcBorders>
            <w:vAlign w:val="center"/>
          </w:tcPr>
          <w:p w14:paraId="3B6EB187"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48</w:t>
            </w:r>
          </w:p>
        </w:tc>
        <w:tc>
          <w:tcPr>
            <w:tcW w:w="625" w:type="pct"/>
            <w:tcBorders>
              <w:top w:val="single" w:sz="4" w:space="0" w:color="auto"/>
            </w:tcBorders>
            <w:vAlign w:val="center"/>
          </w:tcPr>
          <w:p w14:paraId="209D6D6C"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0</w:t>
            </w:r>
          </w:p>
        </w:tc>
        <w:tc>
          <w:tcPr>
            <w:tcW w:w="625" w:type="pct"/>
            <w:tcBorders>
              <w:top w:val="single" w:sz="4" w:space="0" w:color="auto"/>
            </w:tcBorders>
            <w:vAlign w:val="center"/>
          </w:tcPr>
          <w:p w14:paraId="527B98DB"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728</w:t>
            </w:r>
          </w:p>
        </w:tc>
        <w:tc>
          <w:tcPr>
            <w:tcW w:w="625" w:type="pct"/>
            <w:tcBorders>
              <w:top w:val="single" w:sz="4" w:space="0" w:color="auto"/>
            </w:tcBorders>
            <w:vAlign w:val="center"/>
          </w:tcPr>
          <w:p w14:paraId="6AA3F47B"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728</w:t>
            </w:r>
          </w:p>
        </w:tc>
        <w:tc>
          <w:tcPr>
            <w:tcW w:w="625" w:type="pct"/>
            <w:tcBorders>
              <w:top w:val="single" w:sz="4" w:space="0" w:color="auto"/>
            </w:tcBorders>
            <w:vAlign w:val="center"/>
          </w:tcPr>
          <w:p w14:paraId="2EE6F43E"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0</w:t>
            </w:r>
          </w:p>
        </w:tc>
      </w:tr>
      <w:tr w:rsidR="00A50EB5" w:rsidRPr="00A50EB5" w14:paraId="4B164F6E" w14:textId="77777777" w:rsidTr="00A50EB5">
        <w:trPr>
          <w:cantSplit/>
        </w:trPr>
        <w:tc>
          <w:tcPr>
            <w:tcW w:w="625" w:type="pct"/>
            <w:vAlign w:val="center"/>
          </w:tcPr>
          <w:p w14:paraId="1A11CAD3" w14:textId="77777777" w:rsidR="00A50EB5" w:rsidRPr="00A50EB5" w:rsidRDefault="00A50EB5" w:rsidP="00A50EB5">
            <w:pPr>
              <w:widowControl/>
              <w:jc w:val="center"/>
              <w:rPr>
                <w:rFonts w:ascii="Times New Roman" w:eastAsia="MS Mincho" w:hAnsi="Times New Roman" w:cs="Times New Roman"/>
              </w:rPr>
            </w:pPr>
            <w:proofErr w:type="spellStart"/>
            <w:r w:rsidRPr="00A50EB5">
              <w:rPr>
                <w:rFonts w:ascii="Times New Roman" w:eastAsia="MS Mincho" w:hAnsi="Times New Roman" w:cs="Times New Roman"/>
                <w:color w:val="000000"/>
                <w:sz w:val="16"/>
              </w:rPr>
              <w:t>eICU</w:t>
            </w:r>
            <w:proofErr w:type="spellEnd"/>
            <w:r w:rsidRPr="00A50EB5">
              <w:rPr>
                <w:rFonts w:ascii="Times New Roman" w:eastAsia="MS Mincho" w:hAnsi="Times New Roman" w:cs="Times New Roman"/>
                <w:color w:val="000000"/>
                <w:sz w:val="16"/>
              </w:rPr>
              <w:t>-CRD</w:t>
            </w:r>
          </w:p>
        </w:tc>
        <w:tc>
          <w:tcPr>
            <w:tcW w:w="625" w:type="pct"/>
            <w:vAlign w:val="center"/>
          </w:tcPr>
          <w:p w14:paraId="379ECF1A"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1801</w:t>
            </w:r>
          </w:p>
        </w:tc>
        <w:tc>
          <w:tcPr>
            <w:tcW w:w="625" w:type="pct"/>
            <w:vAlign w:val="center"/>
          </w:tcPr>
          <w:p w14:paraId="627BF91A"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166</w:t>
            </w:r>
          </w:p>
        </w:tc>
        <w:tc>
          <w:tcPr>
            <w:tcW w:w="625" w:type="pct"/>
            <w:vAlign w:val="center"/>
          </w:tcPr>
          <w:p w14:paraId="4910406C"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53</w:t>
            </w:r>
          </w:p>
        </w:tc>
        <w:tc>
          <w:tcPr>
            <w:tcW w:w="625" w:type="pct"/>
            <w:vAlign w:val="center"/>
          </w:tcPr>
          <w:p w14:paraId="0F84513E"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29</w:t>
            </w:r>
          </w:p>
        </w:tc>
        <w:tc>
          <w:tcPr>
            <w:tcW w:w="625" w:type="pct"/>
            <w:vAlign w:val="center"/>
          </w:tcPr>
          <w:p w14:paraId="622D817A"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196</w:t>
            </w:r>
          </w:p>
        </w:tc>
        <w:tc>
          <w:tcPr>
            <w:tcW w:w="625" w:type="pct"/>
            <w:vAlign w:val="center"/>
          </w:tcPr>
          <w:p w14:paraId="06CD09E1"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166</w:t>
            </w:r>
          </w:p>
        </w:tc>
        <w:tc>
          <w:tcPr>
            <w:tcW w:w="625" w:type="pct"/>
            <w:vAlign w:val="center"/>
          </w:tcPr>
          <w:p w14:paraId="0300A714" w14:textId="77777777" w:rsidR="00A50EB5" w:rsidRPr="00A50EB5" w:rsidRDefault="00A50EB5" w:rsidP="00A50EB5">
            <w:pPr>
              <w:widowControl/>
              <w:jc w:val="center"/>
              <w:rPr>
                <w:rFonts w:ascii="Times New Roman" w:eastAsia="MS Mincho" w:hAnsi="Times New Roman" w:cs="Times New Roman"/>
              </w:rPr>
            </w:pPr>
            <w:r w:rsidRPr="00A50EB5">
              <w:rPr>
                <w:rFonts w:ascii="Times New Roman" w:eastAsia="MS Mincho" w:hAnsi="Times New Roman" w:cs="Times New Roman"/>
                <w:color w:val="000000"/>
                <w:sz w:val="16"/>
              </w:rPr>
              <w:t>30</w:t>
            </w:r>
          </w:p>
        </w:tc>
      </w:tr>
    </w:tbl>
    <w:p w14:paraId="739F7104" w14:textId="77777777" w:rsidR="00A50EB5" w:rsidRP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The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queue outcome required a positive numeric </w:t>
      </w:r>
      <w:proofErr w:type="spellStart"/>
      <w:r w:rsidRPr="00A50EB5">
        <w:rPr>
          <w:rFonts w:ascii="Times New Roman" w:hAnsi="Times New Roman" w:cs="Times New Roman"/>
        </w:rPr>
        <w:t>drugrate</w:t>
      </w:r>
      <w:proofErr w:type="spellEnd"/>
      <w:r w:rsidRPr="00A50EB5">
        <w:rPr>
          <w:rFonts w:ascii="Times New Roman" w:hAnsi="Times New Roman" w:cs="Times New Roman"/>
        </w:rPr>
        <w:t xml:space="preserve"> with units/min in the drug-name unit text. That rule was exactly concordant with all 166 queue events and all 1,635 non-events. Among the 30 broader raw-text-only stays, 21 had non-direct units only and 9 had units/min text with missing, zero, or negative </w:t>
      </w:r>
      <w:proofErr w:type="spellStart"/>
      <w:r w:rsidRPr="00A50EB5">
        <w:rPr>
          <w:rFonts w:ascii="Times New Roman" w:hAnsi="Times New Roman" w:cs="Times New Roman"/>
        </w:rPr>
        <w:t>drugrate</w:t>
      </w:r>
      <w:proofErr w:type="spellEnd"/>
      <w:r w:rsidRPr="00A50EB5">
        <w:rPr>
          <w:rFonts w:ascii="Times New Roman" w:hAnsi="Times New Roman" w:cs="Times New Roman"/>
        </w:rPr>
        <w:t>; none was a positive direct-unit record omitted by the queue flag. This verifies implementation of the prespecified rule but does not establish either representation as a clinical gold standard.</w:t>
      </w:r>
    </w:p>
    <w:p w14:paraId="46BFA4EF" w14:textId="77777777" w:rsidR="00A50EB5" w:rsidRP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All 5,274 MIMIC-IV and 1,801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eligible assessment rows had positive NEE by cohort design; every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assessment row also had a directly interpretable catecholamine dose. This establishes rule-level assessment coverage, not cross-database measurement equivalence: MIMIC-IV used supported </w:t>
      </w:r>
      <w:proofErr w:type="spellStart"/>
      <w:r w:rsidRPr="00A50EB5">
        <w:rPr>
          <w:rFonts w:ascii="Times New Roman" w:hAnsi="Times New Roman" w:cs="Times New Roman"/>
        </w:rPr>
        <w:t>inputevents</w:t>
      </w:r>
      <w:proofErr w:type="spellEnd"/>
      <w:r w:rsidRPr="00A50EB5">
        <w:rPr>
          <w:rFonts w:ascii="Times New Roman" w:hAnsi="Times New Roman" w:cs="Times New Roman"/>
        </w:rPr>
        <w:t xml:space="preserve"> units with interval-overlap weighting, whereas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averaged direct-unit point records within each bin.</w:t>
      </w:r>
    </w:p>
    <w:p w14:paraId="625A93D8" w14:textId="41272FAE" w:rsidR="00A50EB5" w:rsidRDefault="00A50EB5" w:rsidP="00A50EB5">
      <w:pPr>
        <w:spacing w:line="360" w:lineRule="auto"/>
        <w:rPr>
          <w:rFonts w:ascii="Times New Roman" w:hAnsi="Times New Roman" w:cs="Times New Roman"/>
        </w:rPr>
      </w:pPr>
      <w:r w:rsidRPr="00A50EB5">
        <w:rPr>
          <w:rFonts w:ascii="Times New Roman" w:hAnsi="Times New Roman" w:cs="Times New Roman"/>
        </w:rPr>
        <w:t>Raw-outcome sensitivity</w:t>
      </w:r>
    </w:p>
    <w:tbl>
      <w:tblPr>
        <w:tblStyle w:val="ae"/>
        <w:tblW w:w="936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560"/>
        <w:gridCol w:w="1560"/>
        <w:gridCol w:w="1560"/>
        <w:gridCol w:w="1560"/>
        <w:gridCol w:w="1560"/>
      </w:tblGrid>
      <w:tr w:rsidR="00A50EB5" w:rsidRPr="00A50EB5" w14:paraId="2E53B948" w14:textId="77777777" w:rsidTr="00A50EB5">
        <w:trPr>
          <w:cantSplit/>
          <w:tblHeader/>
        </w:trPr>
        <w:tc>
          <w:tcPr>
            <w:tcW w:w="1560" w:type="dxa"/>
            <w:tcBorders>
              <w:top w:val="single" w:sz="4" w:space="0" w:color="auto"/>
              <w:bottom w:val="single" w:sz="4" w:space="0" w:color="auto"/>
            </w:tcBorders>
            <w:tcMar>
              <w:top w:w="60" w:type="dxa"/>
              <w:left w:w="60" w:type="dxa"/>
              <w:bottom w:w="60" w:type="dxa"/>
              <w:right w:w="60" w:type="dxa"/>
            </w:tcMar>
            <w:vAlign w:val="center"/>
          </w:tcPr>
          <w:p w14:paraId="668D0F42" w14:textId="77777777" w:rsidR="00A50EB5" w:rsidRPr="00A50EB5" w:rsidRDefault="00A50EB5" w:rsidP="00FA6FF2">
            <w:pPr>
              <w:jc w:val="center"/>
              <w:rPr>
                <w:rFonts w:ascii="Times New Roman" w:hAnsi="Times New Roman" w:cs="Times New Roman"/>
              </w:rPr>
            </w:pPr>
            <w:r w:rsidRPr="00A50EB5">
              <w:rPr>
                <w:rFonts w:ascii="Times New Roman" w:hAnsi="Times New Roman" w:cs="Times New Roman"/>
                <w:b/>
                <w:color w:val="000000"/>
                <w:sz w:val="16"/>
              </w:rPr>
              <w:t>Outcome definition</w:t>
            </w:r>
          </w:p>
        </w:tc>
        <w:tc>
          <w:tcPr>
            <w:tcW w:w="1560" w:type="dxa"/>
            <w:tcBorders>
              <w:top w:val="single" w:sz="4" w:space="0" w:color="auto"/>
              <w:bottom w:val="single" w:sz="4" w:space="0" w:color="auto"/>
            </w:tcBorders>
            <w:tcMar>
              <w:top w:w="60" w:type="dxa"/>
              <w:left w:w="60" w:type="dxa"/>
              <w:bottom w:w="60" w:type="dxa"/>
              <w:right w:w="60" w:type="dxa"/>
            </w:tcMar>
            <w:vAlign w:val="center"/>
          </w:tcPr>
          <w:p w14:paraId="4C8F3E9A" w14:textId="77777777" w:rsidR="00A50EB5" w:rsidRPr="00A50EB5" w:rsidRDefault="00A50EB5" w:rsidP="00FA6FF2">
            <w:pPr>
              <w:jc w:val="center"/>
              <w:rPr>
                <w:rFonts w:ascii="Times New Roman" w:hAnsi="Times New Roman" w:cs="Times New Roman"/>
              </w:rPr>
            </w:pPr>
            <w:r w:rsidRPr="00A50EB5">
              <w:rPr>
                <w:rFonts w:ascii="Times New Roman" w:hAnsi="Times New Roman" w:cs="Times New Roman"/>
                <w:b/>
                <w:color w:val="000000"/>
                <w:sz w:val="16"/>
              </w:rPr>
              <w:t>N / events</w:t>
            </w:r>
          </w:p>
        </w:tc>
        <w:tc>
          <w:tcPr>
            <w:tcW w:w="1560" w:type="dxa"/>
            <w:tcBorders>
              <w:top w:val="single" w:sz="4" w:space="0" w:color="auto"/>
              <w:bottom w:val="single" w:sz="4" w:space="0" w:color="auto"/>
            </w:tcBorders>
            <w:tcMar>
              <w:top w:w="60" w:type="dxa"/>
              <w:left w:w="60" w:type="dxa"/>
              <w:bottom w:w="60" w:type="dxa"/>
              <w:right w:w="60" w:type="dxa"/>
            </w:tcMar>
            <w:vAlign w:val="center"/>
          </w:tcPr>
          <w:p w14:paraId="2E617BCE" w14:textId="77777777" w:rsidR="00A50EB5" w:rsidRPr="00A50EB5" w:rsidRDefault="00A50EB5" w:rsidP="00FA6FF2">
            <w:pPr>
              <w:jc w:val="center"/>
              <w:rPr>
                <w:rFonts w:ascii="Times New Roman" w:hAnsi="Times New Roman" w:cs="Times New Roman"/>
              </w:rPr>
            </w:pPr>
            <w:r w:rsidRPr="00A50EB5">
              <w:rPr>
                <w:rFonts w:ascii="Times New Roman" w:hAnsi="Times New Roman" w:cs="Times New Roman"/>
                <w:b/>
                <w:color w:val="000000"/>
                <w:sz w:val="16"/>
              </w:rPr>
              <w:t>AUROC (95% CI)</w:t>
            </w:r>
          </w:p>
        </w:tc>
        <w:tc>
          <w:tcPr>
            <w:tcW w:w="1560" w:type="dxa"/>
            <w:tcBorders>
              <w:top w:val="single" w:sz="4" w:space="0" w:color="auto"/>
              <w:bottom w:val="single" w:sz="4" w:space="0" w:color="auto"/>
            </w:tcBorders>
            <w:tcMar>
              <w:top w:w="60" w:type="dxa"/>
              <w:left w:w="60" w:type="dxa"/>
              <w:bottom w:w="60" w:type="dxa"/>
              <w:right w:w="60" w:type="dxa"/>
            </w:tcMar>
            <w:vAlign w:val="center"/>
          </w:tcPr>
          <w:p w14:paraId="6CD749DA" w14:textId="77777777" w:rsidR="00A50EB5" w:rsidRPr="00A50EB5" w:rsidRDefault="00A50EB5" w:rsidP="00FA6FF2">
            <w:pPr>
              <w:jc w:val="center"/>
              <w:rPr>
                <w:rFonts w:ascii="Times New Roman" w:hAnsi="Times New Roman" w:cs="Times New Roman"/>
              </w:rPr>
            </w:pPr>
            <w:r w:rsidRPr="00A50EB5">
              <w:rPr>
                <w:rFonts w:ascii="Times New Roman" w:hAnsi="Times New Roman" w:cs="Times New Roman"/>
                <w:b/>
                <w:color w:val="000000"/>
                <w:sz w:val="16"/>
              </w:rPr>
              <w:t>AUPRC (95% CI)</w:t>
            </w:r>
          </w:p>
        </w:tc>
        <w:tc>
          <w:tcPr>
            <w:tcW w:w="1560" w:type="dxa"/>
            <w:tcBorders>
              <w:top w:val="single" w:sz="4" w:space="0" w:color="auto"/>
              <w:bottom w:val="single" w:sz="4" w:space="0" w:color="auto"/>
            </w:tcBorders>
            <w:tcMar>
              <w:top w:w="60" w:type="dxa"/>
              <w:left w:w="60" w:type="dxa"/>
              <w:bottom w:w="60" w:type="dxa"/>
              <w:right w:w="60" w:type="dxa"/>
            </w:tcMar>
            <w:vAlign w:val="center"/>
          </w:tcPr>
          <w:p w14:paraId="1A391CFE" w14:textId="77777777" w:rsidR="00A50EB5" w:rsidRPr="00A50EB5" w:rsidRDefault="00A50EB5" w:rsidP="00FA6FF2">
            <w:pPr>
              <w:jc w:val="center"/>
              <w:rPr>
                <w:rFonts w:ascii="Times New Roman" w:hAnsi="Times New Roman" w:cs="Times New Roman"/>
              </w:rPr>
            </w:pPr>
            <w:r w:rsidRPr="00A50EB5">
              <w:rPr>
                <w:rFonts w:ascii="Times New Roman" w:hAnsi="Times New Roman" w:cs="Times New Roman"/>
                <w:b/>
                <w:color w:val="000000"/>
                <w:sz w:val="16"/>
              </w:rPr>
              <w:t>Brier (95% CI)</w:t>
            </w:r>
          </w:p>
        </w:tc>
        <w:tc>
          <w:tcPr>
            <w:tcW w:w="1560" w:type="dxa"/>
            <w:tcBorders>
              <w:top w:val="single" w:sz="4" w:space="0" w:color="auto"/>
              <w:bottom w:val="single" w:sz="4" w:space="0" w:color="auto"/>
            </w:tcBorders>
            <w:tcMar>
              <w:top w:w="60" w:type="dxa"/>
              <w:left w:w="60" w:type="dxa"/>
              <w:bottom w:w="60" w:type="dxa"/>
              <w:right w:w="60" w:type="dxa"/>
            </w:tcMar>
            <w:vAlign w:val="center"/>
          </w:tcPr>
          <w:p w14:paraId="1C1A0C39" w14:textId="77777777" w:rsidR="00A50EB5" w:rsidRPr="00A50EB5" w:rsidRDefault="00A50EB5" w:rsidP="00FA6FF2">
            <w:pPr>
              <w:jc w:val="center"/>
              <w:rPr>
                <w:rFonts w:ascii="Times New Roman" w:hAnsi="Times New Roman" w:cs="Times New Roman"/>
              </w:rPr>
            </w:pPr>
            <w:r w:rsidRPr="00A50EB5">
              <w:rPr>
                <w:rFonts w:ascii="Times New Roman" w:hAnsi="Times New Roman" w:cs="Times New Roman"/>
                <w:b/>
                <w:color w:val="000000"/>
                <w:sz w:val="16"/>
              </w:rPr>
              <w:t>Calibration slope (95% CI)</w:t>
            </w:r>
          </w:p>
        </w:tc>
      </w:tr>
      <w:tr w:rsidR="00A50EB5" w:rsidRPr="00A50EB5" w14:paraId="4049A759" w14:textId="77777777" w:rsidTr="00A50EB5">
        <w:trPr>
          <w:cantSplit/>
        </w:trPr>
        <w:tc>
          <w:tcPr>
            <w:tcW w:w="1560" w:type="dxa"/>
            <w:tcBorders>
              <w:top w:val="single" w:sz="4" w:space="0" w:color="auto"/>
            </w:tcBorders>
          </w:tcPr>
          <w:p w14:paraId="5CF7B913" w14:textId="77777777" w:rsidR="00A50EB5" w:rsidRPr="00A50EB5" w:rsidRDefault="00A50EB5" w:rsidP="00FA6FF2">
            <w:pPr>
              <w:rPr>
                <w:rFonts w:ascii="Times New Roman" w:hAnsi="Times New Roman" w:cs="Times New Roman"/>
              </w:rPr>
            </w:pPr>
            <w:r w:rsidRPr="00A50EB5">
              <w:rPr>
                <w:rFonts w:ascii="Times New Roman" w:hAnsi="Times New Roman" w:cs="Times New Roman"/>
                <w:color w:val="000000"/>
                <w:sz w:val="16"/>
              </w:rPr>
              <w:t>Queue-confirmed treatment signal</w:t>
            </w:r>
          </w:p>
        </w:tc>
        <w:tc>
          <w:tcPr>
            <w:tcW w:w="1560" w:type="dxa"/>
            <w:tcBorders>
              <w:top w:val="single" w:sz="4" w:space="0" w:color="auto"/>
            </w:tcBorders>
          </w:tcPr>
          <w:p w14:paraId="2683F767" w14:textId="77777777" w:rsidR="00A50EB5" w:rsidRPr="00A50EB5" w:rsidRDefault="00A50EB5" w:rsidP="00FA6FF2">
            <w:pPr>
              <w:rPr>
                <w:rFonts w:ascii="Times New Roman" w:hAnsi="Times New Roman" w:cs="Times New Roman"/>
              </w:rPr>
            </w:pPr>
            <w:r w:rsidRPr="00A50EB5">
              <w:rPr>
                <w:rFonts w:ascii="Times New Roman" w:hAnsi="Times New Roman" w:cs="Times New Roman"/>
                <w:color w:val="000000"/>
                <w:sz w:val="16"/>
              </w:rPr>
              <w:t>1801 / 166</w:t>
            </w:r>
          </w:p>
        </w:tc>
        <w:tc>
          <w:tcPr>
            <w:tcW w:w="1560" w:type="dxa"/>
            <w:tcBorders>
              <w:top w:val="single" w:sz="4" w:space="0" w:color="auto"/>
            </w:tcBorders>
          </w:tcPr>
          <w:p w14:paraId="2FB6FAAB" w14:textId="77777777" w:rsidR="00A50EB5" w:rsidRPr="00A50EB5" w:rsidRDefault="00A50EB5" w:rsidP="00FA6FF2">
            <w:pPr>
              <w:rPr>
                <w:rFonts w:ascii="Times New Roman" w:hAnsi="Times New Roman" w:cs="Times New Roman"/>
              </w:rPr>
            </w:pPr>
            <w:r w:rsidRPr="00A50EB5">
              <w:rPr>
                <w:rFonts w:ascii="Times New Roman" w:hAnsi="Times New Roman" w:cs="Times New Roman"/>
                <w:color w:val="000000"/>
                <w:sz w:val="16"/>
              </w:rPr>
              <w:t>0.746 (0.713-0.782)</w:t>
            </w:r>
          </w:p>
        </w:tc>
        <w:tc>
          <w:tcPr>
            <w:tcW w:w="1560" w:type="dxa"/>
            <w:tcBorders>
              <w:top w:val="single" w:sz="4" w:space="0" w:color="auto"/>
            </w:tcBorders>
          </w:tcPr>
          <w:p w14:paraId="19BB3A34" w14:textId="77777777" w:rsidR="00A50EB5" w:rsidRPr="00A50EB5" w:rsidRDefault="00A50EB5" w:rsidP="00FA6FF2">
            <w:pPr>
              <w:rPr>
                <w:rFonts w:ascii="Times New Roman" w:hAnsi="Times New Roman" w:cs="Times New Roman"/>
              </w:rPr>
            </w:pPr>
            <w:r w:rsidRPr="00A50EB5">
              <w:rPr>
                <w:rFonts w:ascii="Times New Roman" w:hAnsi="Times New Roman" w:cs="Times New Roman"/>
                <w:color w:val="000000"/>
                <w:sz w:val="16"/>
              </w:rPr>
              <w:t>0.200 (0.165-0.246)</w:t>
            </w:r>
          </w:p>
        </w:tc>
        <w:tc>
          <w:tcPr>
            <w:tcW w:w="1560" w:type="dxa"/>
            <w:tcBorders>
              <w:top w:val="single" w:sz="4" w:space="0" w:color="auto"/>
            </w:tcBorders>
          </w:tcPr>
          <w:p w14:paraId="3EB4ACB1" w14:textId="77777777" w:rsidR="00A50EB5" w:rsidRPr="00A50EB5" w:rsidRDefault="00A50EB5" w:rsidP="00FA6FF2">
            <w:pPr>
              <w:rPr>
                <w:rFonts w:ascii="Times New Roman" w:hAnsi="Times New Roman" w:cs="Times New Roman"/>
              </w:rPr>
            </w:pPr>
            <w:r w:rsidRPr="00A50EB5">
              <w:rPr>
                <w:rFonts w:ascii="Times New Roman" w:hAnsi="Times New Roman" w:cs="Times New Roman"/>
                <w:color w:val="000000"/>
                <w:sz w:val="16"/>
              </w:rPr>
              <w:t>0.090 (0.081-0.099)</w:t>
            </w:r>
          </w:p>
        </w:tc>
        <w:tc>
          <w:tcPr>
            <w:tcW w:w="1560" w:type="dxa"/>
            <w:tcBorders>
              <w:top w:val="single" w:sz="4" w:space="0" w:color="auto"/>
            </w:tcBorders>
          </w:tcPr>
          <w:p w14:paraId="3451C6F0" w14:textId="77777777" w:rsidR="00A50EB5" w:rsidRPr="00A50EB5" w:rsidRDefault="00A50EB5" w:rsidP="00FA6FF2">
            <w:pPr>
              <w:rPr>
                <w:rFonts w:ascii="Times New Roman" w:hAnsi="Times New Roman" w:cs="Times New Roman"/>
              </w:rPr>
            </w:pPr>
            <w:r w:rsidRPr="00A50EB5">
              <w:rPr>
                <w:rFonts w:ascii="Times New Roman" w:hAnsi="Times New Roman" w:cs="Times New Roman"/>
                <w:color w:val="000000"/>
                <w:sz w:val="16"/>
              </w:rPr>
              <w:t>0.446 (0.265-0.710)</w:t>
            </w:r>
          </w:p>
        </w:tc>
      </w:tr>
      <w:tr w:rsidR="00A50EB5" w:rsidRPr="00A50EB5" w14:paraId="5D168E47" w14:textId="77777777" w:rsidTr="00A50EB5">
        <w:trPr>
          <w:cantSplit/>
        </w:trPr>
        <w:tc>
          <w:tcPr>
            <w:tcW w:w="1560" w:type="dxa"/>
          </w:tcPr>
          <w:p w14:paraId="64A5EA14" w14:textId="77777777" w:rsidR="00A50EB5" w:rsidRPr="00A50EB5" w:rsidRDefault="00A50EB5" w:rsidP="00FA6FF2">
            <w:pPr>
              <w:rPr>
                <w:rFonts w:ascii="Times New Roman" w:hAnsi="Times New Roman" w:cs="Times New Roman"/>
              </w:rPr>
            </w:pPr>
            <w:r w:rsidRPr="00A50EB5">
              <w:rPr>
                <w:rFonts w:ascii="Times New Roman" w:hAnsi="Times New Roman" w:cs="Times New Roman"/>
                <w:color w:val="000000"/>
                <w:sz w:val="16"/>
              </w:rPr>
              <w:t>Any raw vasopressin text record</w:t>
            </w:r>
          </w:p>
        </w:tc>
        <w:tc>
          <w:tcPr>
            <w:tcW w:w="1560" w:type="dxa"/>
          </w:tcPr>
          <w:p w14:paraId="4C11FEEC" w14:textId="77777777" w:rsidR="00A50EB5" w:rsidRPr="00A50EB5" w:rsidRDefault="00A50EB5" w:rsidP="00FA6FF2">
            <w:pPr>
              <w:rPr>
                <w:rFonts w:ascii="Times New Roman" w:hAnsi="Times New Roman" w:cs="Times New Roman"/>
              </w:rPr>
            </w:pPr>
            <w:r w:rsidRPr="00A50EB5">
              <w:rPr>
                <w:rFonts w:ascii="Times New Roman" w:hAnsi="Times New Roman" w:cs="Times New Roman"/>
                <w:color w:val="000000"/>
                <w:sz w:val="16"/>
              </w:rPr>
              <w:t>1801 / 196</w:t>
            </w:r>
          </w:p>
        </w:tc>
        <w:tc>
          <w:tcPr>
            <w:tcW w:w="1560" w:type="dxa"/>
          </w:tcPr>
          <w:p w14:paraId="696D6EA9" w14:textId="77777777" w:rsidR="00A50EB5" w:rsidRPr="00A50EB5" w:rsidRDefault="00A50EB5" w:rsidP="00FA6FF2">
            <w:pPr>
              <w:rPr>
                <w:rFonts w:ascii="Times New Roman" w:hAnsi="Times New Roman" w:cs="Times New Roman"/>
              </w:rPr>
            </w:pPr>
            <w:r w:rsidRPr="00A50EB5">
              <w:rPr>
                <w:rFonts w:ascii="Times New Roman" w:hAnsi="Times New Roman" w:cs="Times New Roman"/>
                <w:color w:val="000000"/>
                <w:sz w:val="16"/>
              </w:rPr>
              <w:t>0.756 (0.720-0.789)</w:t>
            </w:r>
          </w:p>
        </w:tc>
        <w:tc>
          <w:tcPr>
            <w:tcW w:w="1560" w:type="dxa"/>
          </w:tcPr>
          <w:p w14:paraId="263B3BD0" w14:textId="77777777" w:rsidR="00A50EB5" w:rsidRPr="00A50EB5" w:rsidRDefault="00A50EB5" w:rsidP="00FA6FF2">
            <w:pPr>
              <w:rPr>
                <w:rFonts w:ascii="Times New Roman" w:hAnsi="Times New Roman" w:cs="Times New Roman"/>
              </w:rPr>
            </w:pPr>
            <w:r w:rsidRPr="00A50EB5">
              <w:rPr>
                <w:rFonts w:ascii="Times New Roman" w:hAnsi="Times New Roman" w:cs="Times New Roman"/>
                <w:color w:val="000000"/>
                <w:sz w:val="16"/>
              </w:rPr>
              <w:t>0.260 (0.214-0.317)</w:t>
            </w:r>
          </w:p>
        </w:tc>
        <w:tc>
          <w:tcPr>
            <w:tcW w:w="1560" w:type="dxa"/>
          </w:tcPr>
          <w:p w14:paraId="49725C0D" w14:textId="77777777" w:rsidR="00A50EB5" w:rsidRPr="00A50EB5" w:rsidRDefault="00A50EB5" w:rsidP="00FA6FF2">
            <w:pPr>
              <w:rPr>
                <w:rFonts w:ascii="Times New Roman" w:hAnsi="Times New Roman" w:cs="Times New Roman"/>
              </w:rPr>
            </w:pPr>
            <w:r w:rsidRPr="00A50EB5">
              <w:rPr>
                <w:rFonts w:ascii="Times New Roman" w:hAnsi="Times New Roman" w:cs="Times New Roman"/>
                <w:color w:val="000000"/>
                <w:sz w:val="16"/>
              </w:rPr>
              <w:t>0.096 (0.086-0.106)</w:t>
            </w:r>
          </w:p>
        </w:tc>
        <w:tc>
          <w:tcPr>
            <w:tcW w:w="1560" w:type="dxa"/>
          </w:tcPr>
          <w:p w14:paraId="43422F1F" w14:textId="77777777" w:rsidR="00A50EB5" w:rsidRPr="00A50EB5" w:rsidRDefault="00A50EB5" w:rsidP="00FA6FF2">
            <w:pPr>
              <w:rPr>
                <w:rFonts w:ascii="Times New Roman" w:hAnsi="Times New Roman" w:cs="Times New Roman"/>
              </w:rPr>
            </w:pPr>
            <w:r w:rsidRPr="00A50EB5">
              <w:rPr>
                <w:rFonts w:ascii="Times New Roman" w:hAnsi="Times New Roman" w:cs="Times New Roman"/>
                <w:color w:val="000000"/>
                <w:sz w:val="16"/>
              </w:rPr>
              <w:t>0.656 (0.408-0.936)</w:t>
            </w:r>
          </w:p>
        </w:tc>
      </w:tr>
    </w:tbl>
    <w:p w14:paraId="5B1F15C5" w14:textId="5400B847" w:rsidR="00A50EB5" w:rsidRPr="00A50EB5" w:rsidRDefault="00A50EB5" w:rsidP="00A50EB5">
      <w:pPr>
        <w:spacing w:line="360" w:lineRule="auto"/>
        <w:rPr>
          <w:rFonts w:ascii="Times New Roman" w:hAnsi="Times New Roman" w:cs="Times New Roman"/>
          <w:b/>
          <w:bCs/>
        </w:rPr>
      </w:pPr>
      <w:r w:rsidRPr="00A50EB5">
        <w:rPr>
          <w:rFonts w:ascii="Times New Roman" w:hAnsi="Times New Roman" w:cs="Times New Roman"/>
          <w:b/>
          <w:bCs/>
        </w:rPr>
        <w:lastRenderedPageBreak/>
        <w:t>Table S3. Cohort flow, demographics, and hospital context</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7"/>
        <w:gridCol w:w="1188"/>
        <w:gridCol w:w="1188"/>
        <w:gridCol w:w="1188"/>
        <w:gridCol w:w="1186"/>
        <w:gridCol w:w="1186"/>
        <w:gridCol w:w="1183"/>
      </w:tblGrid>
      <w:tr w:rsidR="00A50EB5" w:rsidRPr="00A50EB5" w14:paraId="2DC9B7B5" w14:textId="77777777" w:rsidTr="00A50EB5">
        <w:trPr>
          <w:cantSplit/>
          <w:tblHeader/>
        </w:trPr>
        <w:tc>
          <w:tcPr>
            <w:tcW w:w="715" w:type="pct"/>
            <w:tcBorders>
              <w:top w:val="single" w:sz="4" w:space="0" w:color="auto"/>
              <w:bottom w:val="single" w:sz="4" w:space="0" w:color="auto"/>
            </w:tcBorders>
            <w:tcMar>
              <w:top w:w="60" w:type="dxa"/>
              <w:left w:w="60" w:type="dxa"/>
              <w:bottom w:w="60" w:type="dxa"/>
              <w:right w:w="60" w:type="dxa"/>
            </w:tcMar>
            <w:vAlign w:val="center"/>
          </w:tcPr>
          <w:p w14:paraId="0C5D681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Database</w:t>
            </w:r>
          </w:p>
        </w:tc>
        <w:tc>
          <w:tcPr>
            <w:tcW w:w="715" w:type="pct"/>
            <w:tcBorders>
              <w:top w:val="single" w:sz="4" w:space="0" w:color="auto"/>
              <w:bottom w:val="single" w:sz="4" w:space="0" w:color="auto"/>
            </w:tcBorders>
            <w:tcMar>
              <w:top w:w="60" w:type="dxa"/>
              <w:left w:w="60" w:type="dxa"/>
              <w:bottom w:w="60" w:type="dxa"/>
              <w:right w:w="60" w:type="dxa"/>
            </w:tcMar>
            <w:vAlign w:val="center"/>
          </w:tcPr>
          <w:p w14:paraId="766FCE1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Source queue stays</w:t>
            </w:r>
          </w:p>
        </w:tc>
        <w:tc>
          <w:tcPr>
            <w:tcW w:w="715" w:type="pct"/>
            <w:tcBorders>
              <w:top w:val="single" w:sz="4" w:space="0" w:color="auto"/>
              <w:bottom w:val="single" w:sz="4" w:space="0" w:color="auto"/>
            </w:tcBorders>
            <w:tcMar>
              <w:top w:w="60" w:type="dxa"/>
              <w:left w:w="60" w:type="dxa"/>
              <w:bottom w:w="60" w:type="dxa"/>
              <w:right w:w="60" w:type="dxa"/>
            </w:tcMar>
            <w:vAlign w:val="center"/>
          </w:tcPr>
          <w:p w14:paraId="3A4232F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Eligible assessments</w:t>
            </w:r>
          </w:p>
        </w:tc>
        <w:tc>
          <w:tcPr>
            <w:tcW w:w="715" w:type="pct"/>
            <w:tcBorders>
              <w:top w:val="single" w:sz="4" w:space="0" w:color="auto"/>
              <w:bottom w:val="single" w:sz="4" w:space="0" w:color="auto"/>
            </w:tcBorders>
            <w:tcMar>
              <w:top w:w="60" w:type="dxa"/>
              <w:left w:w="60" w:type="dxa"/>
              <w:bottom w:w="60" w:type="dxa"/>
              <w:right w:w="60" w:type="dxa"/>
            </w:tcMar>
            <w:vAlign w:val="center"/>
          </w:tcPr>
          <w:p w14:paraId="18AA8CF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Queue vasopressin at assessment</w:t>
            </w:r>
          </w:p>
        </w:tc>
        <w:tc>
          <w:tcPr>
            <w:tcW w:w="714" w:type="pct"/>
            <w:tcBorders>
              <w:top w:val="single" w:sz="4" w:space="0" w:color="auto"/>
              <w:bottom w:val="single" w:sz="4" w:space="0" w:color="auto"/>
            </w:tcBorders>
            <w:tcMar>
              <w:top w:w="60" w:type="dxa"/>
              <w:left w:w="60" w:type="dxa"/>
              <w:bottom w:w="60" w:type="dxa"/>
              <w:right w:w="60" w:type="dxa"/>
            </w:tcMar>
            <w:vAlign w:val="center"/>
          </w:tcPr>
          <w:p w14:paraId="61EDD78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Catecholamine not active at assessment</w:t>
            </w:r>
          </w:p>
        </w:tc>
        <w:tc>
          <w:tcPr>
            <w:tcW w:w="714" w:type="pct"/>
            <w:tcBorders>
              <w:top w:val="single" w:sz="4" w:space="0" w:color="auto"/>
              <w:bottom w:val="single" w:sz="4" w:space="0" w:color="auto"/>
            </w:tcBorders>
            <w:tcMar>
              <w:top w:w="60" w:type="dxa"/>
              <w:left w:w="60" w:type="dxa"/>
              <w:bottom w:w="60" w:type="dxa"/>
              <w:right w:w="60" w:type="dxa"/>
            </w:tcMar>
            <w:vAlign w:val="center"/>
          </w:tcPr>
          <w:p w14:paraId="7C718DE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Insufficient six-bin observation</w:t>
            </w:r>
          </w:p>
        </w:tc>
        <w:tc>
          <w:tcPr>
            <w:tcW w:w="714" w:type="pct"/>
            <w:tcBorders>
              <w:top w:val="single" w:sz="4" w:space="0" w:color="auto"/>
              <w:bottom w:val="single" w:sz="4" w:space="0" w:color="auto"/>
            </w:tcBorders>
            <w:tcMar>
              <w:top w:w="60" w:type="dxa"/>
              <w:left w:w="60" w:type="dxa"/>
              <w:bottom w:w="60" w:type="dxa"/>
              <w:right w:w="60" w:type="dxa"/>
            </w:tcMar>
            <w:vAlign w:val="center"/>
          </w:tcPr>
          <w:p w14:paraId="2B5D1A6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No positive NEE bin</w:t>
            </w:r>
          </w:p>
        </w:tc>
      </w:tr>
      <w:tr w:rsidR="00A50EB5" w:rsidRPr="00A50EB5" w14:paraId="3AC31575" w14:textId="77777777" w:rsidTr="00A50EB5">
        <w:trPr>
          <w:cantSplit/>
        </w:trPr>
        <w:tc>
          <w:tcPr>
            <w:tcW w:w="715" w:type="pct"/>
            <w:tcBorders>
              <w:top w:val="single" w:sz="4" w:space="0" w:color="auto"/>
            </w:tcBorders>
            <w:vAlign w:val="center"/>
          </w:tcPr>
          <w:p w14:paraId="2E9964A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MIMIC-IV</w:t>
            </w:r>
          </w:p>
        </w:tc>
        <w:tc>
          <w:tcPr>
            <w:tcW w:w="715" w:type="pct"/>
            <w:tcBorders>
              <w:top w:val="single" w:sz="4" w:space="0" w:color="auto"/>
            </w:tcBorders>
            <w:vAlign w:val="center"/>
          </w:tcPr>
          <w:p w14:paraId="4DB6787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7123</w:t>
            </w:r>
          </w:p>
        </w:tc>
        <w:tc>
          <w:tcPr>
            <w:tcW w:w="715" w:type="pct"/>
            <w:tcBorders>
              <w:top w:val="single" w:sz="4" w:space="0" w:color="auto"/>
            </w:tcBorders>
            <w:vAlign w:val="center"/>
          </w:tcPr>
          <w:p w14:paraId="6C37358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5274</w:t>
            </w:r>
          </w:p>
        </w:tc>
        <w:tc>
          <w:tcPr>
            <w:tcW w:w="715" w:type="pct"/>
            <w:tcBorders>
              <w:top w:val="single" w:sz="4" w:space="0" w:color="auto"/>
            </w:tcBorders>
            <w:vAlign w:val="center"/>
          </w:tcPr>
          <w:p w14:paraId="1D0C876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1152</w:t>
            </w:r>
          </w:p>
        </w:tc>
        <w:tc>
          <w:tcPr>
            <w:tcW w:w="714" w:type="pct"/>
            <w:tcBorders>
              <w:top w:val="single" w:sz="4" w:space="0" w:color="auto"/>
            </w:tcBorders>
            <w:vAlign w:val="center"/>
          </w:tcPr>
          <w:p w14:paraId="04B2754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533</w:t>
            </w:r>
          </w:p>
        </w:tc>
        <w:tc>
          <w:tcPr>
            <w:tcW w:w="714" w:type="pct"/>
            <w:tcBorders>
              <w:top w:val="single" w:sz="4" w:space="0" w:color="auto"/>
            </w:tcBorders>
            <w:vAlign w:val="center"/>
          </w:tcPr>
          <w:p w14:paraId="4D49BA8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152</w:t>
            </w:r>
          </w:p>
        </w:tc>
        <w:tc>
          <w:tcPr>
            <w:tcW w:w="714" w:type="pct"/>
            <w:tcBorders>
              <w:top w:val="single" w:sz="4" w:space="0" w:color="auto"/>
            </w:tcBorders>
            <w:vAlign w:val="center"/>
          </w:tcPr>
          <w:p w14:paraId="2085741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12</w:t>
            </w:r>
          </w:p>
        </w:tc>
      </w:tr>
      <w:tr w:rsidR="00A50EB5" w:rsidRPr="00A50EB5" w14:paraId="198D76B4" w14:textId="77777777" w:rsidTr="00A50EB5">
        <w:trPr>
          <w:cantSplit/>
        </w:trPr>
        <w:tc>
          <w:tcPr>
            <w:tcW w:w="715" w:type="pct"/>
            <w:vAlign w:val="center"/>
          </w:tcPr>
          <w:p w14:paraId="691AFC73"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color w:val="000000"/>
                <w:sz w:val="16"/>
              </w:rPr>
              <w:t>eICU</w:t>
            </w:r>
            <w:proofErr w:type="spellEnd"/>
            <w:r w:rsidRPr="00A50EB5">
              <w:rPr>
                <w:rFonts w:ascii="Times New Roman" w:hAnsi="Times New Roman" w:cs="Times New Roman"/>
                <w:color w:val="000000"/>
                <w:sz w:val="16"/>
              </w:rPr>
              <w:t>-CRD</w:t>
            </w:r>
          </w:p>
        </w:tc>
        <w:tc>
          <w:tcPr>
            <w:tcW w:w="715" w:type="pct"/>
            <w:vAlign w:val="center"/>
          </w:tcPr>
          <w:p w14:paraId="4B53A48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6450</w:t>
            </w:r>
          </w:p>
        </w:tc>
        <w:tc>
          <w:tcPr>
            <w:tcW w:w="715" w:type="pct"/>
            <w:vAlign w:val="center"/>
          </w:tcPr>
          <w:p w14:paraId="62DC170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1801</w:t>
            </w:r>
          </w:p>
        </w:tc>
        <w:tc>
          <w:tcPr>
            <w:tcW w:w="715" w:type="pct"/>
            <w:vAlign w:val="center"/>
          </w:tcPr>
          <w:p w14:paraId="306C39A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379</w:t>
            </w:r>
          </w:p>
        </w:tc>
        <w:tc>
          <w:tcPr>
            <w:tcW w:w="714" w:type="pct"/>
            <w:vAlign w:val="center"/>
          </w:tcPr>
          <w:p w14:paraId="42ED0B9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733</w:t>
            </w:r>
          </w:p>
        </w:tc>
        <w:tc>
          <w:tcPr>
            <w:tcW w:w="714" w:type="pct"/>
            <w:vAlign w:val="center"/>
          </w:tcPr>
          <w:p w14:paraId="1AE2A21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82</w:t>
            </w:r>
          </w:p>
        </w:tc>
        <w:tc>
          <w:tcPr>
            <w:tcW w:w="714" w:type="pct"/>
            <w:vAlign w:val="center"/>
          </w:tcPr>
          <w:p w14:paraId="0370CDA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3455</w:t>
            </w:r>
          </w:p>
        </w:tc>
      </w:tr>
    </w:tbl>
    <w:p w14:paraId="29C142CE" w14:textId="77777777" w:rsidR="00A50EB5" w:rsidRP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MIMIC-IV ICU type was 38.0% medical ICU, 25.4% medical-surgical ICU, 11.0% surgical ICU, 10.3% trauma SICU, and 7.1% coronary care unit. In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60.2% of stays were in medical-surgical ICUs, 11.2% in MICUs, 9.2% in cardiac ICUs, and 8.2% in SICUs.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age was 68 years (IQR 58-78) among 1,711 </w:t>
      </w:r>
      <w:proofErr w:type="spellStart"/>
      <w:r w:rsidRPr="00A50EB5">
        <w:rPr>
          <w:rFonts w:ascii="Times New Roman" w:hAnsi="Times New Roman" w:cs="Times New Roman"/>
        </w:rPr>
        <w:t>parsable</w:t>
      </w:r>
      <w:proofErr w:type="spellEnd"/>
      <w:r w:rsidRPr="00A50EB5">
        <w:rPr>
          <w:rFonts w:ascii="Times New Roman" w:hAnsi="Times New Roman" w:cs="Times New Roman"/>
        </w:rPr>
        <w:t xml:space="preserve"> records and 52.9% were male.</w:t>
      </w:r>
    </w:p>
    <w:p w14:paraId="762CB48C" w14:textId="77777777" w:rsidR="00A50EB5" w:rsidRP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MIMIC age at hospital admission was recovered as </w:t>
      </w:r>
      <w:proofErr w:type="spellStart"/>
      <w:r w:rsidRPr="00A50EB5">
        <w:rPr>
          <w:rFonts w:ascii="Times New Roman" w:hAnsi="Times New Roman" w:cs="Times New Roman"/>
        </w:rPr>
        <w:t>anchor_age</w:t>
      </w:r>
      <w:proofErr w:type="spellEnd"/>
      <w:r w:rsidRPr="00A50EB5">
        <w:rPr>
          <w:rFonts w:ascii="Times New Roman" w:hAnsi="Times New Roman" w:cs="Times New Roman"/>
        </w:rPr>
        <w:t xml:space="preserve"> + calendar year of </w:t>
      </w:r>
      <w:proofErr w:type="spellStart"/>
      <w:r w:rsidRPr="00A50EB5">
        <w:rPr>
          <w:rFonts w:ascii="Times New Roman" w:hAnsi="Times New Roman" w:cs="Times New Roman"/>
        </w:rPr>
        <w:t>admittime</w:t>
      </w:r>
      <w:proofErr w:type="spellEnd"/>
      <w:r w:rsidRPr="00A50EB5">
        <w:rPr>
          <w:rFonts w:ascii="Times New Roman" w:hAnsi="Times New Roman" w:cs="Times New Roman"/>
        </w:rPr>
        <w:t xml:space="preserve"> - </w:t>
      </w:r>
      <w:proofErr w:type="spellStart"/>
      <w:r w:rsidRPr="00A50EB5">
        <w:rPr>
          <w:rFonts w:ascii="Times New Roman" w:hAnsi="Times New Roman" w:cs="Times New Roman"/>
        </w:rPr>
        <w:t>anchor_year</w:t>
      </w:r>
      <w:proofErr w:type="spellEnd"/>
      <w:r w:rsidRPr="00A50EB5">
        <w:rPr>
          <w:rFonts w:ascii="Times New Roman" w:hAnsi="Times New Roman" w:cs="Times New Roman"/>
        </w:rPr>
        <w:t xml:space="preserve"> by read-only linkage of each final-model stay to MIMIC-IV v3.1 admissions and patients records. Every final-model stay matched both source tables; no queue, prediction vector, or model estimate was modified. Sex and raw MIMIC hospital-admission type were obtained from the same linkage.</w:t>
      </w:r>
    </w:p>
    <w:p w14:paraId="368F57E6" w14:textId="2C17454A" w:rsid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Among the 24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hospitals with at least 20 eligible stays, observed queue-signal rates ranged from 0.0% to 20.7%, and frozen-model hospital mean predicted risks ranged from 10.9% to 25.1%. Hospital-held-out updated predictions were cross-fitted on other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hospitals. These summaries were not adjusted for case mix and do not establish practice or documentation effects. Hospital labels are publication labels and do not expose source-database identifiers.</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6"/>
        <w:gridCol w:w="1375"/>
        <w:gridCol w:w="1375"/>
        <w:gridCol w:w="1431"/>
        <w:gridCol w:w="1375"/>
        <w:gridCol w:w="1374"/>
      </w:tblGrid>
      <w:tr w:rsidR="00A50EB5" w:rsidRPr="00A50EB5" w14:paraId="51BAD59E" w14:textId="77777777" w:rsidTr="00A50EB5">
        <w:trPr>
          <w:cantSplit/>
          <w:tblHeader/>
        </w:trPr>
        <w:tc>
          <w:tcPr>
            <w:tcW w:w="828" w:type="pct"/>
            <w:tcBorders>
              <w:top w:val="single" w:sz="4" w:space="0" w:color="auto"/>
              <w:bottom w:val="single" w:sz="4" w:space="0" w:color="auto"/>
            </w:tcBorders>
            <w:tcMar>
              <w:top w:w="60" w:type="dxa"/>
              <w:left w:w="60" w:type="dxa"/>
              <w:bottom w:w="60" w:type="dxa"/>
              <w:right w:w="60" w:type="dxa"/>
            </w:tcMar>
            <w:vAlign w:val="center"/>
          </w:tcPr>
          <w:p w14:paraId="0DB14F4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MIMIC-IV cohort</w:t>
            </w:r>
          </w:p>
        </w:tc>
        <w:tc>
          <w:tcPr>
            <w:tcW w:w="828" w:type="pct"/>
            <w:tcBorders>
              <w:top w:val="single" w:sz="4" w:space="0" w:color="auto"/>
              <w:bottom w:val="single" w:sz="4" w:space="0" w:color="auto"/>
            </w:tcBorders>
            <w:tcMar>
              <w:top w:w="60" w:type="dxa"/>
              <w:left w:w="60" w:type="dxa"/>
              <w:bottom w:w="60" w:type="dxa"/>
              <w:right w:w="60" w:type="dxa"/>
            </w:tcMar>
            <w:vAlign w:val="center"/>
          </w:tcPr>
          <w:p w14:paraId="663B8A9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Age, years, median (IQR)</w:t>
            </w:r>
          </w:p>
        </w:tc>
        <w:tc>
          <w:tcPr>
            <w:tcW w:w="828" w:type="pct"/>
            <w:tcBorders>
              <w:top w:val="single" w:sz="4" w:space="0" w:color="auto"/>
              <w:bottom w:val="single" w:sz="4" w:space="0" w:color="auto"/>
            </w:tcBorders>
            <w:tcMar>
              <w:top w:w="60" w:type="dxa"/>
              <w:left w:w="60" w:type="dxa"/>
              <w:bottom w:w="60" w:type="dxa"/>
              <w:right w:w="60" w:type="dxa"/>
            </w:tcMar>
            <w:vAlign w:val="center"/>
          </w:tcPr>
          <w:p w14:paraId="1541CD3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Male sex, n (%)</w:t>
            </w:r>
          </w:p>
        </w:tc>
        <w:tc>
          <w:tcPr>
            <w:tcW w:w="861" w:type="pct"/>
            <w:tcBorders>
              <w:top w:val="single" w:sz="4" w:space="0" w:color="auto"/>
              <w:bottom w:val="single" w:sz="4" w:space="0" w:color="auto"/>
            </w:tcBorders>
            <w:tcMar>
              <w:top w:w="60" w:type="dxa"/>
              <w:left w:w="60" w:type="dxa"/>
              <w:bottom w:w="60" w:type="dxa"/>
              <w:right w:w="60" w:type="dxa"/>
            </w:tcMar>
            <w:vAlign w:val="center"/>
          </w:tcPr>
          <w:p w14:paraId="186A1CC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Emergency/urgent, n (%)</w:t>
            </w:r>
          </w:p>
        </w:tc>
        <w:tc>
          <w:tcPr>
            <w:tcW w:w="828" w:type="pct"/>
            <w:tcBorders>
              <w:top w:val="single" w:sz="4" w:space="0" w:color="auto"/>
              <w:bottom w:val="single" w:sz="4" w:space="0" w:color="auto"/>
            </w:tcBorders>
            <w:tcMar>
              <w:top w:w="60" w:type="dxa"/>
              <w:left w:w="60" w:type="dxa"/>
              <w:bottom w:w="60" w:type="dxa"/>
              <w:right w:w="60" w:type="dxa"/>
            </w:tcMar>
            <w:vAlign w:val="center"/>
          </w:tcPr>
          <w:p w14:paraId="39DE024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Observation, n (%)</w:t>
            </w:r>
          </w:p>
        </w:tc>
        <w:tc>
          <w:tcPr>
            <w:tcW w:w="828" w:type="pct"/>
            <w:tcBorders>
              <w:top w:val="single" w:sz="4" w:space="0" w:color="auto"/>
              <w:bottom w:val="single" w:sz="4" w:space="0" w:color="auto"/>
            </w:tcBorders>
            <w:tcMar>
              <w:top w:w="60" w:type="dxa"/>
              <w:left w:w="60" w:type="dxa"/>
              <w:bottom w:w="60" w:type="dxa"/>
              <w:right w:w="60" w:type="dxa"/>
            </w:tcMar>
            <w:vAlign w:val="center"/>
          </w:tcPr>
          <w:p w14:paraId="150A931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Elective/same-day, n (%)</w:t>
            </w:r>
          </w:p>
        </w:tc>
      </w:tr>
      <w:tr w:rsidR="00A50EB5" w:rsidRPr="00A50EB5" w14:paraId="5F14E258" w14:textId="77777777" w:rsidTr="00A50EB5">
        <w:trPr>
          <w:cantSplit/>
        </w:trPr>
        <w:tc>
          <w:tcPr>
            <w:tcW w:w="828" w:type="pct"/>
            <w:tcBorders>
              <w:top w:val="single" w:sz="4" w:space="0" w:color="auto"/>
            </w:tcBorders>
            <w:vAlign w:val="center"/>
          </w:tcPr>
          <w:p w14:paraId="07A1E19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Training (n = 3692)</w:t>
            </w:r>
          </w:p>
        </w:tc>
        <w:tc>
          <w:tcPr>
            <w:tcW w:w="828" w:type="pct"/>
            <w:tcBorders>
              <w:top w:val="single" w:sz="4" w:space="0" w:color="auto"/>
            </w:tcBorders>
            <w:vAlign w:val="center"/>
          </w:tcPr>
          <w:p w14:paraId="6857695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68 (58-79)</w:t>
            </w:r>
          </w:p>
        </w:tc>
        <w:tc>
          <w:tcPr>
            <w:tcW w:w="828" w:type="pct"/>
            <w:tcBorders>
              <w:top w:val="single" w:sz="4" w:space="0" w:color="auto"/>
            </w:tcBorders>
            <w:vAlign w:val="center"/>
          </w:tcPr>
          <w:p w14:paraId="7C711D7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2083 (56.4)</w:t>
            </w:r>
          </w:p>
        </w:tc>
        <w:tc>
          <w:tcPr>
            <w:tcW w:w="861" w:type="pct"/>
            <w:tcBorders>
              <w:top w:val="single" w:sz="4" w:space="0" w:color="auto"/>
            </w:tcBorders>
            <w:vAlign w:val="center"/>
          </w:tcPr>
          <w:p w14:paraId="1A858AB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3048 (82.6)</w:t>
            </w:r>
          </w:p>
        </w:tc>
        <w:tc>
          <w:tcPr>
            <w:tcW w:w="828" w:type="pct"/>
            <w:tcBorders>
              <w:top w:val="single" w:sz="4" w:space="0" w:color="auto"/>
            </w:tcBorders>
            <w:vAlign w:val="center"/>
          </w:tcPr>
          <w:p w14:paraId="102893B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537 (14.5)</w:t>
            </w:r>
          </w:p>
        </w:tc>
        <w:tc>
          <w:tcPr>
            <w:tcW w:w="828" w:type="pct"/>
            <w:tcBorders>
              <w:top w:val="single" w:sz="4" w:space="0" w:color="auto"/>
            </w:tcBorders>
            <w:vAlign w:val="center"/>
          </w:tcPr>
          <w:p w14:paraId="7FB85EA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107 (2.9)</w:t>
            </w:r>
          </w:p>
        </w:tc>
      </w:tr>
      <w:tr w:rsidR="00A50EB5" w:rsidRPr="00A50EB5" w14:paraId="2853709C" w14:textId="77777777" w:rsidTr="00A50EB5">
        <w:trPr>
          <w:cantSplit/>
        </w:trPr>
        <w:tc>
          <w:tcPr>
            <w:tcW w:w="828" w:type="pct"/>
            <w:vAlign w:val="center"/>
          </w:tcPr>
          <w:p w14:paraId="3F3C3F8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Internal test (n = 1582)</w:t>
            </w:r>
          </w:p>
        </w:tc>
        <w:tc>
          <w:tcPr>
            <w:tcW w:w="828" w:type="pct"/>
            <w:vAlign w:val="center"/>
          </w:tcPr>
          <w:p w14:paraId="055E1E0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69 (59-79)</w:t>
            </w:r>
          </w:p>
        </w:tc>
        <w:tc>
          <w:tcPr>
            <w:tcW w:w="828" w:type="pct"/>
            <w:vAlign w:val="center"/>
          </w:tcPr>
          <w:p w14:paraId="06B288F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846 (53.5)</w:t>
            </w:r>
          </w:p>
        </w:tc>
        <w:tc>
          <w:tcPr>
            <w:tcW w:w="861" w:type="pct"/>
            <w:vAlign w:val="center"/>
          </w:tcPr>
          <w:p w14:paraId="0A3C91A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1297 (82.0)</w:t>
            </w:r>
          </w:p>
        </w:tc>
        <w:tc>
          <w:tcPr>
            <w:tcW w:w="828" w:type="pct"/>
            <w:vAlign w:val="center"/>
          </w:tcPr>
          <w:p w14:paraId="50AD1A3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243 (15.4)</w:t>
            </w:r>
          </w:p>
        </w:tc>
        <w:tc>
          <w:tcPr>
            <w:tcW w:w="828" w:type="pct"/>
            <w:vAlign w:val="center"/>
          </w:tcPr>
          <w:p w14:paraId="1BD3D30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42 (2.7)</w:t>
            </w:r>
          </w:p>
        </w:tc>
      </w:tr>
      <w:tr w:rsidR="00A50EB5" w:rsidRPr="00A50EB5" w14:paraId="3CE8A20C" w14:textId="77777777" w:rsidTr="00A50EB5">
        <w:trPr>
          <w:cantSplit/>
        </w:trPr>
        <w:tc>
          <w:tcPr>
            <w:tcW w:w="828" w:type="pct"/>
            <w:vAlign w:val="center"/>
          </w:tcPr>
          <w:p w14:paraId="2413EBF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Overall (n = 5274)</w:t>
            </w:r>
          </w:p>
        </w:tc>
        <w:tc>
          <w:tcPr>
            <w:tcW w:w="828" w:type="pct"/>
            <w:vAlign w:val="center"/>
          </w:tcPr>
          <w:p w14:paraId="2B4F12C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69 (58-79)</w:t>
            </w:r>
          </w:p>
        </w:tc>
        <w:tc>
          <w:tcPr>
            <w:tcW w:w="828" w:type="pct"/>
            <w:vAlign w:val="center"/>
          </w:tcPr>
          <w:p w14:paraId="139140A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2929 (55.5)</w:t>
            </w:r>
          </w:p>
        </w:tc>
        <w:tc>
          <w:tcPr>
            <w:tcW w:w="861" w:type="pct"/>
            <w:vAlign w:val="center"/>
          </w:tcPr>
          <w:p w14:paraId="466A1C0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4345 (82.4)</w:t>
            </w:r>
          </w:p>
        </w:tc>
        <w:tc>
          <w:tcPr>
            <w:tcW w:w="828" w:type="pct"/>
            <w:vAlign w:val="center"/>
          </w:tcPr>
          <w:p w14:paraId="6FC174A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780 (14.8)</w:t>
            </w:r>
          </w:p>
        </w:tc>
        <w:tc>
          <w:tcPr>
            <w:tcW w:w="828" w:type="pct"/>
            <w:vAlign w:val="center"/>
          </w:tcPr>
          <w:p w14:paraId="6BA53B8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149 (2.8)</w:t>
            </w:r>
          </w:p>
        </w:tc>
      </w:tr>
    </w:tbl>
    <w:p w14:paraId="43B195EB" w14:textId="51EFAD0B" w:rsid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Emergency/urgent combines DIRECT EMER., EW EMER., and URGENT; observation combines DIRECT OBSERVATION and OBSERVATION ADMIT; elective/same-day combines ELECTIVE and SURGICAL SAME DAY ADMISSION. These are raw MIMIC hospital-admission categories, not a harmonized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admission-context variable.</w:t>
      </w:r>
    </w:p>
    <w:p w14:paraId="683E3668" w14:textId="77777777" w:rsidR="00A50EB5" w:rsidRPr="00A50EB5" w:rsidRDefault="00A50EB5" w:rsidP="00A50EB5">
      <w:pPr>
        <w:spacing w:line="360" w:lineRule="auto"/>
        <w:rPr>
          <w:rFonts w:ascii="Times New Roman" w:hAnsi="Times New Roman" w:cs="Times New Roman"/>
          <w:b/>
          <w:bCs/>
        </w:rPr>
      </w:pPr>
      <w:r w:rsidRPr="00A50EB5">
        <w:rPr>
          <w:rFonts w:ascii="Times New Roman" w:hAnsi="Times New Roman" w:cs="Times New Roman"/>
          <w:b/>
          <w:bCs/>
        </w:rPr>
        <w:t>Table S4. Benchmark and comparator models</w:t>
      </w:r>
    </w:p>
    <w:p w14:paraId="718ED746" w14:textId="35BA1A6F" w:rsidR="00A50EB5" w:rsidRDefault="00A50EB5" w:rsidP="00A50EB5">
      <w:pPr>
        <w:spacing w:line="360" w:lineRule="auto"/>
        <w:rPr>
          <w:rFonts w:ascii="Times New Roman" w:hAnsi="Times New Roman" w:cs="Times New Roman"/>
        </w:rPr>
      </w:pPr>
      <w:r w:rsidRPr="00A50EB5">
        <w:rPr>
          <w:rFonts w:ascii="Times New Roman" w:hAnsi="Times New Roman" w:cs="Times New Roman"/>
        </w:rPr>
        <w:lastRenderedPageBreak/>
        <w:t>Prespecified low-complexity benchmark</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5"/>
        <w:gridCol w:w="1385"/>
        <w:gridCol w:w="1384"/>
        <w:gridCol w:w="1384"/>
        <w:gridCol w:w="1384"/>
        <w:gridCol w:w="1384"/>
      </w:tblGrid>
      <w:tr w:rsidR="00A50EB5" w:rsidRPr="00A50EB5" w14:paraId="2CF59600" w14:textId="77777777" w:rsidTr="00A50EB5">
        <w:trPr>
          <w:cantSplit/>
          <w:tblHeader/>
        </w:trPr>
        <w:tc>
          <w:tcPr>
            <w:tcW w:w="834" w:type="pct"/>
            <w:tcBorders>
              <w:top w:val="single" w:sz="4" w:space="0" w:color="auto"/>
              <w:bottom w:val="single" w:sz="4" w:space="0" w:color="auto"/>
            </w:tcBorders>
            <w:tcMar>
              <w:top w:w="60" w:type="dxa"/>
              <w:left w:w="60" w:type="dxa"/>
              <w:bottom w:w="60" w:type="dxa"/>
              <w:right w:w="60" w:type="dxa"/>
            </w:tcMar>
            <w:vAlign w:val="center"/>
          </w:tcPr>
          <w:p w14:paraId="25326EE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Cohort</w:t>
            </w:r>
          </w:p>
        </w:tc>
        <w:tc>
          <w:tcPr>
            <w:tcW w:w="834" w:type="pct"/>
            <w:tcBorders>
              <w:top w:val="single" w:sz="4" w:space="0" w:color="auto"/>
              <w:bottom w:val="single" w:sz="4" w:space="0" w:color="auto"/>
            </w:tcBorders>
            <w:tcMar>
              <w:top w:w="60" w:type="dxa"/>
              <w:left w:w="60" w:type="dxa"/>
              <w:bottom w:w="60" w:type="dxa"/>
              <w:right w:w="60" w:type="dxa"/>
            </w:tcMar>
            <w:vAlign w:val="center"/>
          </w:tcPr>
          <w:p w14:paraId="1AD5062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Model</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7959100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AUROC (95% CI)</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68C7E56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AUPRC</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57B8A7F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Brier</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621078C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Calibration slope (95% CI)</w:t>
            </w:r>
          </w:p>
        </w:tc>
      </w:tr>
      <w:tr w:rsidR="00A50EB5" w:rsidRPr="00A50EB5" w14:paraId="1022DACC" w14:textId="77777777" w:rsidTr="00A50EB5">
        <w:trPr>
          <w:cantSplit/>
        </w:trPr>
        <w:tc>
          <w:tcPr>
            <w:tcW w:w="834" w:type="pct"/>
            <w:tcBorders>
              <w:top w:val="single" w:sz="4" w:space="0" w:color="auto"/>
            </w:tcBorders>
            <w:vAlign w:val="center"/>
          </w:tcPr>
          <w:p w14:paraId="64884A9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MIMIC-IV internal test</w:t>
            </w:r>
          </w:p>
        </w:tc>
        <w:tc>
          <w:tcPr>
            <w:tcW w:w="834" w:type="pct"/>
            <w:tcBorders>
              <w:top w:val="single" w:sz="4" w:space="0" w:color="auto"/>
            </w:tcBorders>
            <w:vAlign w:val="center"/>
          </w:tcPr>
          <w:p w14:paraId="5BA1DBA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Decision tree benchmark</w:t>
            </w:r>
          </w:p>
        </w:tc>
        <w:tc>
          <w:tcPr>
            <w:tcW w:w="833" w:type="pct"/>
            <w:tcBorders>
              <w:top w:val="single" w:sz="4" w:space="0" w:color="auto"/>
            </w:tcBorders>
            <w:vAlign w:val="center"/>
          </w:tcPr>
          <w:p w14:paraId="6B75090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0.678 (0.643-0.713)</w:t>
            </w:r>
          </w:p>
        </w:tc>
        <w:tc>
          <w:tcPr>
            <w:tcW w:w="833" w:type="pct"/>
            <w:tcBorders>
              <w:top w:val="single" w:sz="4" w:space="0" w:color="auto"/>
            </w:tcBorders>
            <w:vAlign w:val="center"/>
          </w:tcPr>
          <w:p w14:paraId="03E876E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0.289</w:t>
            </w:r>
          </w:p>
        </w:tc>
        <w:tc>
          <w:tcPr>
            <w:tcW w:w="833" w:type="pct"/>
            <w:tcBorders>
              <w:top w:val="single" w:sz="4" w:space="0" w:color="auto"/>
            </w:tcBorders>
            <w:vAlign w:val="center"/>
          </w:tcPr>
          <w:p w14:paraId="08269DF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0.111</w:t>
            </w:r>
          </w:p>
        </w:tc>
        <w:tc>
          <w:tcPr>
            <w:tcW w:w="833" w:type="pct"/>
            <w:tcBorders>
              <w:top w:val="single" w:sz="4" w:space="0" w:color="auto"/>
            </w:tcBorders>
            <w:vAlign w:val="center"/>
          </w:tcPr>
          <w:p w14:paraId="4C87C87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0.893 (0.723-1.079)</w:t>
            </w:r>
          </w:p>
        </w:tc>
      </w:tr>
      <w:tr w:rsidR="00A50EB5" w:rsidRPr="00A50EB5" w14:paraId="26455EC6" w14:textId="77777777" w:rsidTr="00A50EB5">
        <w:trPr>
          <w:cantSplit/>
        </w:trPr>
        <w:tc>
          <w:tcPr>
            <w:tcW w:w="834" w:type="pct"/>
            <w:vAlign w:val="center"/>
          </w:tcPr>
          <w:p w14:paraId="24307BDC"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color w:val="000000"/>
                <w:sz w:val="16"/>
              </w:rPr>
              <w:t>eICU</w:t>
            </w:r>
            <w:proofErr w:type="spellEnd"/>
            <w:r w:rsidRPr="00A50EB5">
              <w:rPr>
                <w:rFonts w:ascii="Times New Roman" w:hAnsi="Times New Roman" w:cs="Times New Roman"/>
                <w:color w:val="000000"/>
                <w:sz w:val="16"/>
              </w:rPr>
              <w:t>-CRD external</w:t>
            </w:r>
          </w:p>
        </w:tc>
        <w:tc>
          <w:tcPr>
            <w:tcW w:w="834" w:type="pct"/>
            <w:vAlign w:val="center"/>
          </w:tcPr>
          <w:p w14:paraId="730C5FC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Decision tree benchmark</w:t>
            </w:r>
          </w:p>
        </w:tc>
        <w:tc>
          <w:tcPr>
            <w:tcW w:w="833" w:type="pct"/>
            <w:vAlign w:val="center"/>
          </w:tcPr>
          <w:p w14:paraId="3CC3C36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0.636 (0.594-0.675)</w:t>
            </w:r>
          </w:p>
        </w:tc>
        <w:tc>
          <w:tcPr>
            <w:tcW w:w="833" w:type="pct"/>
            <w:vAlign w:val="center"/>
          </w:tcPr>
          <w:p w14:paraId="3D2C9D1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0.161</w:t>
            </w:r>
          </w:p>
        </w:tc>
        <w:tc>
          <w:tcPr>
            <w:tcW w:w="833" w:type="pct"/>
            <w:vAlign w:val="center"/>
          </w:tcPr>
          <w:p w14:paraId="73933E3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0.091</w:t>
            </w:r>
          </w:p>
        </w:tc>
        <w:tc>
          <w:tcPr>
            <w:tcW w:w="833" w:type="pct"/>
            <w:vAlign w:val="center"/>
          </w:tcPr>
          <w:p w14:paraId="72C5B88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0.612 (0.450-0.763)</w:t>
            </w:r>
          </w:p>
        </w:tc>
      </w:tr>
    </w:tbl>
    <w:p w14:paraId="5BFD7305" w14:textId="111EAC8B" w:rsidR="00A50EB5" w:rsidRDefault="00A50EB5" w:rsidP="00A50EB5">
      <w:pPr>
        <w:spacing w:line="360" w:lineRule="auto"/>
        <w:rPr>
          <w:rFonts w:ascii="Times New Roman" w:hAnsi="Times New Roman" w:cs="Times New Roman"/>
        </w:rPr>
      </w:pPr>
      <w:r w:rsidRPr="00A50EB5">
        <w:rPr>
          <w:rFonts w:ascii="Times New Roman" w:hAnsi="Times New Roman" w:cs="Times New Roman"/>
        </w:rPr>
        <w:t>NEE comparator and incremental discrimination</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9"/>
        <w:gridCol w:w="2768"/>
      </w:tblGrid>
      <w:tr w:rsidR="00A50EB5" w:rsidRPr="00A50EB5" w14:paraId="54541BDD" w14:textId="77777777" w:rsidTr="00A50EB5">
        <w:trPr>
          <w:cantSplit/>
          <w:tblHeader/>
        </w:trPr>
        <w:tc>
          <w:tcPr>
            <w:tcW w:w="1667" w:type="pct"/>
            <w:tcBorders>
              <w:top w:val="single" w:sz="4" w:space="0" w:color="auto"/>
              <w:bottom w:val="single" w:sz="4" w:space="0" w:color="auto"/>
            </w:tcBorders>
            <w:tcMar>
              <w:top w:w="60" w:type="dxa"/>
              <w:left w:w="60" w:type="dxa"/>
              <w:bottom w:w="60" w:type="dxa"/>
              <w:right w:w="60" w:type="dxa"/>
            </w:tcMar>
            <w:vAlign w:val="center"/>
          </w:tcPr>
          <w:p w14:paraId="2B69CB2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Cohort</w:t>
            </w:r>
          </w:p>
        </w:tc>
        <w:tc>
          <w:tcPr>
            <w:tcW w:w="1667" w:type="pct"/>
            <w:tcBorders>
              <w:top w:val="single" w:sz="4" w:space="0" w:color="auto"/>
              <w:bottom w:val="single" w:sz="4" w:space="0" w:color="auto"/>
            </w:tcBorders>
            <w:tcMar>
              <w:top w:w="60" w:type="dxa"/>
              <w:left w:w="60" w:type="dxa"/>
              <w:bottom w:w="60" w:type="dxa"/>
              <w:right w:w="60" w:type="dxa"/>
            </w:tcMar>
            <w:vAlign w:val="center"/>
          </w:tcPr>
          <w:p w14:paraId="14A2774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Model or comparison</w:t>
            </w:r>
          </w:p>
        </w:tc>
        <w:tc>
          <w:tcPr>
            <w:tcW w:w="1666" w:type="pct"/>
            <w:tcBorders>
              <w:top w:val="single" w:sz="4" w:space="0" w:color="auto"/>
              <w:bottom w:val="single" w:sz="4" w:space="0" w:color="auto"/>
            </w:tcBorders>
            <w:tcMar>
              <w:top w:w="60" w:type="dxa"/>
              <w:left w:w="60" w:type="dxa"/>
              <w:bottom w:w="60" w:type="dxa"/>
              <w:right w:w="60" w:type="dxa"/>
            </w:tcMar>
            <w:vAlign w:val="center"/>
          </w:tcPr>
          <w:p w14:paraId="37C67A7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AUROC (95% CI)</w:t>
            </w:r>
          </w:p>
        </w:tc>
      </w:tr>
      <w:tr w:rsidR="00A50EB5" w:rsidRPr="00A50EB5" w14:paraId="547AEEA2" w14:textId="77777777" w:rsidTr="00A50EB5">
        <w:trPr>
          <w:cantSplit/>
        </w:trPr>
        <w:tc>
          <w:tcPr>
            <w:tcW w:w="1667" w:type="pct"/>
            <w:tcBorders>
              <w:top w:val="single" w:sz="4" w:space="0" w:color="auto"/>
            </w:tcBorders>
            <w:vAlign w:val="center"/>
          </w:tcPr>
          <w:p w14:paraId="39BDCCD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MIMIC-IV internal test</w:t>
            </w:r>
          </w:p>
        </w:tc>
        <w:tc>
          <w:tcPr>
            <w:tcW w:w="1667" w:type="pct"/>
            <w:tcBorders>
              <w:top w:val="single" w:sz="4" w:space="0" w:color="auto"/>
            </w:tcBorders>
            <w:vAlign w:val="center"/>
          </w:tcPr>
          <w:p w14:paraId="41675E7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Current NEE only</w:t>
            </w:r>
          </w:p>
        </w:tc>
        <w:tc>
          <w:tcPr>
            <w:tcW w:w="1666" w:type="pct"/>
            <w:tcBorders>
              <w:top w:val="single" w:sz="4" w:space="0" w:color="auto"/>
            </w:tcBorders>
            <w:vAlign w:val="center"/>
          </w:tcPr>
          <w:p w14:paraId="359FF4B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0.730 (0.696-0.764)</w:t>
            </w:r>
          </w:p>
        </w:tc>
      </w:tr>
      <w:tr w:rsidR="00A50EB5" w:rsidRPr="00A50EB5" w14:paraId="1F9BB930" w14:textId="77777777" w:rsidTr="00A50EB5">
        <w:trPr>
          <w:cantSplit/>
        </w:trPr>
        <w:tc>
          <w:tcPr>
            <w:tcW w:w="1667" w:type="pct"/>
            <w:vAlign w:val="center"/>
          </w:tcPr>
          <w:p w14:paraId="0B21AFDF"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color w:val="000000"/>
                <w:sz w:val="16"/>
              </w:rPr>
              <w:t>eICU</w:t>
            </w:r>
            <w:proofErr w:type="spellEnd"/>
            <w:r w:rsidRPr="00A50EB5">
              <w:rPr>
                <w:rFonts w:ascii="Times New Roman" w:hAnsi="Times New Roman" w:cs="Times New Roman"/>
                <w:color w:val="000000"/>
                <w:sz w:val="16"/>
              </w:rPr>
              <w:t>-CRD external</w:t>
            </w:r>
          </w:p>
        </w:tc>
        <w:tc>
          <w:tcPr>
            <w:tcW w:w="1667" w:type="pct"/>
            <w:vAlign w:val="center"/>
          </w:tcPr>
          <w:p w14:paraId="2664AA8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Current NEE only</w:t>
            </w:r>
          </w:p>
        </w:tc>
        <w:tc>
          <w:tcPr>
            <w:tcW w:w="1666" w:type="pct"/>
            <w:vAlign w:val="center"/>
          </w:tcPr>
          <w:p w14:paraId="7EEE861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0.698 (0.655-0.734)</w:t>
            </w:r>
          </w:p>
        </w:tc>
      </w:tr>
      <w:tr w:rsidR="00A50EB5" w:rsidRPr="00A50EB5" w14:paraId="57451F16" w14:textId="77777777" w:rsidTr="00A50EB5">
        <w:trPr>
          <w:cantSplit/>
        </w:trPr>
        <w:tc>
          <w:tcPr>
            <w:tcW w:w="1667" w:type="pct"/>
            <w:vAlign w:val="center"/>
          </w:tcPr>
          <w:p w14:paraId="341C382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MIMIC-IV internal test</w:t>
            </w:r>
          </w:p>
        </w:tc>
        <w:tc>
          <w:tcPr>
            <w:tcW w:w="1667" w:type="pct"/>
            <w:vAlign w:val="center"/>
          </w:tcPr>
          <w:p w14:paraId="39A4436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Frozen full model minus current NEE</w:t>
            </w:r>
          </w:p>
        </w:tc>
        <w:tc>
          <w:tcPr>
            <w:tcW w:w="1666" w:type="pct"/>
            <w:vAlign w:val="center"/>
          </w:tcPr>
          <w:p w14:paraId="6DBBC36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0.038 (0.016-0.061)</w:t>
            </w:r>
          </w:p>
        </w:tc>
      </w:tr>
      <w:tr w:rsidR="00A50EB5" w:rsidRPr="00A50EB5" w14:paraId="2FFA6889" w14:textId="77777777" w:rsidTr="00A50EB5">
        <w:trPr>
          <w:cantSplit/>
        </w:trPr>
        <w:tc>
          <w:tcPr>
            <w:tcW w:w="1667" w:type="pct"/>
            <w:vAlign w:val="center"/>
          </w:tcPr>
          <w:p w14:paraId="11C67DD0"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color w:val="000000"/>
                <w:sz w:val="16"/>
              </w:rPr>
              <w:t>eICU</w:t>
            </w:r>
            <w:proofErr w:type="spellEnd"/>
            <w:r w:rsidRPr="00A50EB5">
              <w:rPr>
                <w:rFonts w:ascii="Times New Roman" w:hAnsi="Times New Roman" w:cs="Times New Roman"/>
                <w:color w:val="000000"/>
                <w:sz w:val="16"/>
              </w:rPr>
              <w:t>-CRD external</w:t>
            </w:r>
          </w:p>
        </w:tc>
        <w:tc>
          <w:tcPr>
            <w:tcW w:w="1667" w:type="pct"/>
            <w:vAlign w:val="center"/>
          </w:tcPr>
          <w:p w14:paraId="06D560D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Frozen full model minus current NEE</w:t>
            </w:r>
          </w:p>
        </w:tc>
        <w:tc>
          <w:tcPr>
            <w:tcW w:w="1666" w:type="pct"/>
            <w:vAlign w:val="center"/>
          </w:tcPr>
          <w:p w14:paraId="42F0EE7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0.048 (0.025-0.069)</w:t>
            </w:r>
          </w:p>
        </w:tc>
      </w:tr>
    </w:tbl>
    <w:p w14:paraId="60ED292B" w14:textId="542A67C3" w:rsidR="00A50EB5" w:rsidRDefault="00A50EB5" w:rsidP="00A50EB5">
      <w:pPr>
        <w:spacing w:line="360" w:lineRule="auto"/>
        <w:rPr>
          <w:rFonts w:ascii="Times New Roman" w:hAnsi="Times New Roman" w:cs="Times New Roman"/>
        </w:rPr>
      </w:pPr>
      <w:r w:rsidRPr="00A50EB5">
        <w:rPr>
          <w:rFonts w:ascii="Times New Roman" w:hAnsi="Times New Roman" w:cs="Times New Roman"/>
        </w:rPr>
        <w:t>Post hoc external discrimination by assessment-time current NEE</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6"/>
        <w:gridCol w:w="2076"/>
        <w:gridCol w:w="2077"/>
        <w:gridCol w:w="2077"/>
      </w:tblGrid>
      <w:tr w:rsidR="00A50EB5" w:rsidRPr="00A50EB5" w14:paraId="6F849A12" w14:textId="77777777" w:rsidTr="00A50EB5">
        <w:trPr>
          <w:cantSplit/>
          <w:tblHeader/>
        </w:trPr>
        <w:tc>
          <w:tcPr>
            <w:tcW w:w="1250" w:type="pct"/>
            <w:tcBorders>
              <w:top w:val="single" w:sz="4" w:space="0" w:color="auto"/>
              <w:bottom w:val="single" w:sz="4" w:space="0" w:color="auto"/>
            </w:tcBorders>
            <w:tcMar>
              <w:top w:w="60" w:type="dxa"/>
              <w:left w:w="60" w:type="dxa"/>
              <w:bottom w:w="60" w:type="dxa"/>
              <w:right w:w="60" w:type="dxa"/>
            </w:tcMar>
            <w:vAlign w:val="center"/>
          </w:tcPr>
          <w:p w14:paraId="2B99B28C"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b/>
                <w:color w:val="000000"/>
                <w:sz w:val="16"/>
              </w:rPr>
              <w:t>eICU</w:t>
            </w:r>
            <w:proofErr w:type="spellEnd"/>
            <w:r w:rsidRPr="00A50EB5">
              <w:rPr>
                <w:rFonts w:ascii="Times New Roman" w:hAnsi="Times New Roman" w:cs="Times New Roman"/>
                <w:b/>
                <w:color w:val="000000"/>
                <w:sz w:val="16"/>
              </w:rPr>
              <w:t xml:space="preserve"> current-NEE subgroup</w:t>
            </w:r>
          </w:p>
        </w:tc>
        <w:tc>
          <w:tcPr>
            <w:tcW w:w="1250" w:type="pct"/>
            <w:tcBorders>
              <w:top w:val="single" w:sz="4" w:space="0" w:color="auto"/>
              <w:bottom w:val="single" w:sz="4" w:space="0" w:color="auto"/>
            </w:tcBorders>
            <w:tcMar>
              <w:top w:w="60" w:type="dxa"/>
              <w:left w:w="60" w:type="dxa"/>
              <w:bottom w:w="60" w:type="dxa"/>
              <w:right w:w="60" w:type="dxa"/>
            </w:tcMar>
            <w:vAlign w:val="center"/>
          </w:tcPr>
          <w:p w14:paraId="42636BD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Stays / patients / events</w:t>
            </w:r>
          </w:p>
        </w:tc>
        <w:tc>
          <w:tcPr>
            <w:tcW w:w="1250" w:type="pct"/>
            <w:tcBorders>
              <w:top w:val="single" w:sz="4" w:space="0" w:color="auto"/>
              <w:bottom w:val="single" w:sz="4" w:space="0" w:color="auto"/>
            </w:tcBorders>
            <w:tcMar>
              <w:top w:w="60" w:type="dxa"/>
              <w:left w:w="60" w:type="dxa"/>
              <w:bottom w:w="60" w:type="dxa"/>
              <w:right w:w="60" w:type="dxa"/>
            </w:tcMar>
            <w:vAlign w:val="center"/>
          </w:tcPr>
          <w:p w14:paraId="7B2C0B4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Event rate</w:t>
            </w:r>
          </w:p>
        </w:tc>
        <w:tc>
          <w:tcPr>
            <w:tcW w:w="1250" w:type="pct"/>
            <w:tcBorders>
              <w:top w:val="single" w:sz="4" w:space="0" w:color="auto"/>
              <w:bottom w:val="single" w:sz="4" w:space="0" w:color="auto"/>
            </w:tcBorders>
            <w:tcMar>
              <w:top w:w="60" w:type="dxa"/>
              <w:left w:w="60" w:type="dxa"/>
              <w:bottom w:w="60" w:type="dxa"/>
              <w:right w:w="60" w:type="dxa"/>
            </w:tcMar>
            <w:vAlign w:val="center"/>
          </w:tcPr>
          <w:p w14:paraId="63B9F1F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AUROC (95% CI)</w:t>
            </w:r>
          </w:p>
        </w:tc>
      </w:tr>
      <w:tr w:rsidR="00A50EB5" w:rsidRPr="00A50EB5" w14:paraId="27B388DB" w14:textId="77777777" w:rsidTr="00A50EB5">
        <w:trPr>
          <w:cantSplit/>
        </w:trPr>
        <w:tc>
          <w:tcPr>
            <w:tcW w:w="1250" w:type="pct"/>
            <w:tcBorders>
              <w:top w:val="single" w:sz="4" w:space="0" w:color="auto"/>
            </w:tcBorders>
            <w:vAlign w:val="center"/>
          </w:tcPr>
          <w:p w14:paraId="4D17A2B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At or below cohort median (0.096 mcg/kg/min)</w:t>
            </w:r>
          </w:p>
        </w:tc>
        <w:tc>
          <w:tcPr>
            <w:tcW w:w="1250" w:type="pct"/>
            <w:tcBorders>
              <w:top w:val="single" w:sz="4" w:space="0" w:color="auto"/>
            </w:tcBorders>
            <w:vAlign w:val="center"/>
          </w:tcPr>
          <w:p w14:paraId="1ECA423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901 / 865 / 36</w:t>
            </w:r>
          </w:p>
        </w:tc>
        <w:tc>
          <w:tcPr>
            <w:tcW w:w="1250" w:type="pct"/>
            <w:tcBorders>
              <w:top w:val="single" w:sz="4" w:space="0" w:color="auto"/>
            </w:tcBorders>
            <w:vAlign w:val="center"/>
          </w:tcPr>
          <w:p w14:paraId="505A010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4.0%</w:t>
            </w:r>
          </w:p>
        </w:tc>
        <w:tc>
          <w:tcPr>
            <w:tcW w:w="1250" w:type="pct"/>
            <w:tcBorders>
              <w:top w:val="single" w:sz="4" w:space="0" w:color="auto"/>
            </w:tcBorders>
            <w:vAlign w:val="center"/>
          </w:tcPr>
          <w:p w14:paraId="27E56DD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0.725 (0.638-0.811)</w:t>
            </w:r>
          </w:p>
        </w:tc>
      </w:tr>
      <w:tr w:rsidR="00A50EB5" w:rsidRPr="00A50EB5" w14:paraId="04F8E47D" w14:textId="77777777" w:rsidTr="00A50EB5">
        <w:trPr>
          <w:cantSplit/>
        </w:trPr>
        <w:tc>
          <w:tcPr>
            <w:tcW w:w="1250" w:type="pct"/>
            <w:vAlign w:val="center"/>
          </w:tcPr>
          <w:p w14:paraId="2D95F26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Above cohort median</w:t>
            </w:r>
          </w:p>
        </w:tc>
        <w:tc>
          <w:tcPr>
            <w:tcW w:w="1250" w:type="pct"/>
            <w:vAlign w:val="center"/>
          </w:tcPr>
          <w:p w14:paraId="6C823AA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900 / 869 / 130</w:t>
            </w:r>
          </w:p>
        </w:tc>
        <w:tc>
          <w:tcPr>
            <w:tcW w:w="1250" w:type="pct"/>
            <w:vAlign w:val="center"/>
          </w:tcPr>
          <w:p w14:paraId="5B10161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14.4%</w:t>
            </w:r>
          </w:p>
        </w:tc>
        <w:tc>
          <w:tcPr>
            <w:tcW w:w="1250" w:type="pct"/>
            <w:vAlign w:val="center"/>
          </w:tcPr>
          <w:p w14:paraId="132B737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0.660 (0.610-0.706)</w:t>
            </w:r>
          </w:p>
        </w:tc>
      </w:tr>
    </w:tbl>
    <w:p w14:paraId="4E782602" w14:textId="7E05BC20" w:rsidR="00A50EB5" w:rsidRDefault="00A50EB5" w:rsidP="00A50EB5">
      <w:pPr>
        <w:spacing w:line="360" w:lineRule="auto"/>
        <w:rPr>
          <w:rFonts w:ascii="Times New Roman" w:hAnsi="Times New Roman" w:cs="Times New Roman"/>
        </w:rPr>
      </w:pPr>
      <w:r w:rsidRPr="00A50EB5">
        <w:rPr>
          <w:rFonts w:ascii="Times New Roman" w:hAnsi="Times New Roman" w:cs="Times New Roman"/>
        </w:rPr>
        <w:t>Intervals are percentile intervals from 500 patient-cluster bootstrap resamples within each subgroup. This post hoc restricted-range analysis does not test between-group differences, establish calibration within either subgroup, or establish clinical utility.</w:t>
      </w:r>
    </w:p>
    <w:p w14:paraId="021BFDD1" w14:textId="4A613636" w:rsidR="00A50EB5" w:rsidRPr="00A50EB5" w:rsidRDefault="00A50EB5" w:rsidP="00A50EB5">
      <w:pPr>
        <w:spacing w:line="360" w:lineRule="auto"/>
        <w:rPr>
          <w:rFonts w:ascii="Times New Roman" w:hAnsi="Times New Roman" w:cs="Times New Roman"/>
          <w:b/>
          <w:bCs/>
        </w:rPr>
      </w:pPr>
      <w:r w:rsidRPr="00A50EB5">
        <w:rPr>
          <w:rFonts w:ascii="Times New Roman" w:hAnsi="Times New Roman" w:cs="Times New Roman"/>
          <w:b/>
          <w:bCs/>
        </w:rPr>
        <w:t>Table S5. Post hoc raw-record prior-exposure sensitivity</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1661"/>
        <w:gridCol w:w="1661"/>
        <w:gridCol w:w="1661"/>
        <w:gridCol w:w="1661"/>
      </w:tblGrid>
      <w:tr w:rsidR="00A50EB5" w:rsidRPr="00A50EB5" w14:paraId="41B919E5" w14:textId="77777777" w:rsidTr="00A50EB5">
        <w:trPr>
          <w:cantSplit/>
          <w:tblHeader/>
        </w:trPr>
        <w:tc>
          <w:tcPr>
            <w:tcW w:w="1000" w:type="pct"/>
            <w:tcBorders>
              <w:top w:val="single" w:sz="4" w:space="0" w:color="auto"/>
              <w:bottom w:val="single" w:sz="4" w:space="0" w:color="auto"/>
            </w:tcBorders>
            <w:tcMar>
              <w:top w:w="60" w:type="dxa"/>
              <w:left w:w="60" w:type="dxa"/>
              <w:bottom w:w="60" w:type="dxa"/>
              <w:right w:w="60" w:type="dxa"/>
            </w:tcMar>
            <w:vAlign w:val="center"/>
          </w:tcPr>
          <w:p w14:paraId="533D3F1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Analysis</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6FA9EC4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Cohort</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64DA765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N / events</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2BFA24D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AUROC (95% CI)</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3664526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Calibration slope (95% CI)</w:t>
            </w:r>
          </w:p>
        </w:tc>
      </w:tr>
      <w:tr w:rsidR="00A50EB5" w:rsidRPr="00A50EB5" w14:paraId="5578D7DC" w14:textId="77777777" w:rsidTr="00A50EB5">
        <w:trPr>
          <w:cantSplit/>
        </w:trPr>
        <w:tc>
          <w:tcPr>
            <w:tcW w:w="1000" w:type="pct"/>
            <w:tcBorders>
              <w:top w:val="single" w:sz="4" w:space="0" w:color="auto"/>
            </w:tcBorders>
            <w:vAlign w:val="center"/>
          </w:tcPr>
          <w:p w14:paraId="75234B0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Frozen primary-model restriction</w:t>
            </w:r>
          </w:p>
        </w:tc>
        <w:tc>
          <w:tcPr>
            <w:tcW w:w="1000" w:type="pct"/>
            <w:tcBorders>
              <w:top w:val="single" w:sz="4" w:space="0" w:color="auto"/>
            </w:tcBorders>
            <w:vAlign w:val="center"/>
          </w:tcPr>
          <w:p w14:paraId="6602D19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MIMIC-IV internal test</w:t>
            </w:r>
          </w:p>
        </w:tc>
        <w:tc>
          <w:tcPr>
            <w:tcW w:w="1000" w:type="pct"/>
            <w:tcBorders>
              <w:top w:val="single" w:sz="4" w:space="0" w:color="auto"/>
            </w:tcBorders>
            <w:vAlign w:val="center"/>
          </w:tcPr>
          <w:p w14:paraId="152E892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1560 / 212</w:t>
            </w:r>
          </w:p>
        </w:tc>
        <w:tc>
          <w:tcPr>
            <w:tcW w:w="1000" w:type="pct"/>
            <w:tcBorders>
              <w:top w:val="single" w:sz="4" w:space="0" w:color="auto"/>
            </w:tcBorders>
            <w:vAlign w:val="center"/>
          </w:tcPr>
          <w:p w14:paraId="3550A96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0.768 (0.732-0.805)</w:t>
            </w:r>
          </w:p>
        </w:tc>
        <w:tc>
          <w:tcPr>
            <w:tcW w:w="1000" w:type="pct"/>
            <w:tcBorders>
              <w:top w:val="single" w:sz="4" w:space="0" w:color="auto"/>
            </w:tcBorders>
            <w:vAlign w:val="center"/>
          </w:tcPr>
          <w:p w14:paraId="7280E25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1.536 (1.216-1.901)</w:t>
            </w:r>
          </w:p>
        </w:tc>
      </w:tr>
      <w:tr w:rsidR="00A50EB5" w:rsidRPr="00A50EB5" w14:paraId="03F96AA0" w14:textId="77777777" w:rsidTr="00A50EB5">
        <w:trPr>
          <w:cantSplit/>
        </w:trPr>
        <w:tc>
          <w:tcPr>
            <w:tcW w:w="1000" w:type="pct"/>
            <w:vAlign w:val="center"/>
          </w:tcPr>
          <w:p w14:paraId="17FDF71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Frozen primary-model restriction</w:t>
            </w:r>
          </w:p>
        </w:tc>
        <w:tc>
          <w:tcPr>
            <w:tcW w:w="1000" w:type="pct"/>
            <w:vAlign w:val="center"/>
          </w:tcPr>
          <w:p w14:paraId="04FD74AB"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color w:val="000000"/>
                <w:sz w:val="16"/>
              </w:rPr>
              <w:t>eICU</w:t>
            </w:r>
            <w:proofErr w:type="spellEnd"/>
            <w:r w:rsidRPr="00A50EB5">
              <w:rPr>
                <w:rFonts w:ascii="Times New Roman" w:hAnsi="Times New Roman" w:cs="Times New Roman"/>
                <w:color w:val="000000"/>
                <w:sz w:val="16"/>
              </w:rPr>
              <w:t>-CRD external</w:t>
            </w:r>
          </w:p>
        </w:tc>
        <w:tc>
          <w:tcPr>
            <w:tcW w:w="1000" w:type="pct"/>
            <w:vAlign w:val="center"/>
          </w:tcPr>
          <w:p w14:paraId="0A717DE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1748 / 154</w:t>
            </w:r>
          </w:p>
        </w:tc>
        <w:tc>
          <w:tcPr>
            <w:tcW w:w="1000" w:type="pct"/>
            <w:vAlign w:val="center"/>
          </w:tcPr>
          <w:p w14:paraId="3EF76F6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0.748 (0.706-0.780)</w:t>
            </w:r>
          </w:p>
        </w:tc>
        <w:tc>
          <w:tcPr>
            <w:tcW w:w="1000" w:type="pct"/>
            <w:vAlign w:val="center"/>
          </w:tcPr>
          <w:p w14:paraId="357927D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0.545 (0.314-0.814)</w:t>
            </w:r>
          </w:p>
        </w:tc>
      </w:tr>
      <w:tr w:rsidR="00A50EB5" w:rsidRPr="00A50EB5" w14:paraId="51FAAA51" w14:textId="77777777" w:rsidTr="00A50EB5">
        <w:trPr>
          <w:cantSplit/>
        </w:trPr>
        <w:tc>
          <w:tcPr>
            <w:tcW w:w="1000" w:type="pct"/>
            <w:vAlign w:val="center"/>
          </w:tcPr>
          <w:p w14:paraId="127C2C9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Raw-prior-excluded refit</w:t>
            </w:r>
          </w:p>
        </w:tc>
        <w:tc>
          <w:tcPr>
            <w:tcW w:w="1000" w:type="pct"/>
            <w:vAlign w:val="center"/>
          </w:tcPr>
          <w:p w14:paraId="40C7FDC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MIMIC-IV internal test</w:t>
            </w:r>
          </w:p>
        </w:tc>
        <w:tc>
          <w:tcPr>
            <w:tcW w:w="1000" w:type="pct"/>
            <w:vAlign w:val="center"/>
          </w:tcPr>
          <w:p w14:paraId="5360132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1560 / 212</w:t>
            </w:r>
          </w:p>
        </w:tc>
        <w:tc>
          <w:tcPr>
            <w:tcW w:w="1000" w:type="pct"/>
            <w:vAlign w:val="center"/>
          </w:tcPr>
          <w:p w14:paraId="27CBF18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0.768 (0.731-0.803)</w:t>
            </w:r>
          </w:p>
        </w:tc>
        <w:tc>
          <w:tcPr>
            <w:tcW w:w="1000" w:type="pct"/>
            <w:vAlign w:val="center"/>
          </w:tcPr>
          <w:p w14:paraId="55FC7AA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1.535 (1.152-1.888)</w:t>
            </w:r>
          </w:p>
        </w:tc>
      </w:tr>
      <w:tr w:rsidR="00A50EB5" w:rsidRPr="00A50EB5" w14:paraId="00B837D0" w14:textId="77777777" w:rsidTr="00A50EB5">
        <w:trPr>
          <w:cantSplit/>
        </w:trPr>
        <w:tc>
          <w:tcPr>
            <w:tcW w:w="1000" w:type="pct"/>
            <w:vAlign w:val="center"/>
          </w:tcPr>
          <w:p w14:paraId="1864C81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Raw-prior-excluded refit</w:t>
            </w:r>
          </w:p>
        </w:tc>
        <w:tc>
          <w:tcPr>
            <w:tcW w:w="1000" w:type="pct"/>
            <w:vAlign w:val="center"/>
          </w:tcPr>
          <w:p w14:paraId="6D5D961D"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color w:val="000000"/>
                <w:sz w:val="16"/>
              </w:rPr>
              <w:t>eICU</w:t>
            </w:r>
            <w:proofErr w:type="spellEnd"/>
            <w:r w:rsidRPr="00A50EB5">
              <w:rPr>
                <w:rFonts w:ascii="Times New Roman" w:hAnsi="Times New Roman" w:cs="Times New Roman"/>
                <w:color w:val="000000"/>
                <w:sz w:val="16"/>
              </w:rPr>
              <w:t>-CRD external</w:t>
            </w:r>
          </w:p>
        </w:tc>
        <w:tc>
          <w:tcPr>
            <w:tcW w:w="1000" w:type="pct"/>
            <w:vAlign w:val="center"/>
          </w:tcPr>
          <w:p w14:paraId="3A54BC5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1748 / 154</w:t>
            </w:r>
          </w:p>
        </w:tc>
        <w:tc>
          <w:tcPr>
            <w:tcW w:w="1000" w:type="pct"/>
            <w:vAlign w:val="center"/>
          </w:tcPr>
          <w:p w14:paraId="5FCB0FE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0.747 (0.705-0.782)</w:t>
            </w:r>
          </w:p>
        </w:tc>
        <w:tc>
          <w:tcPr>
            <w:tcW w:w="1000" w:type="pct"/>
            <w:vAlign w:val="center"/>
          </w:tcPr>
          <w:p w14:paraId="0C2EF6A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0.537 (0.328-0.851)</w:t>
            </w:r>
          </w:p>
        </w:tc>
      </w:tr>
    </w:tbl>
    <w:p w14:paraId="43195175" w14:textId="0AF4061E" w:rsid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The exclusion removed 48 MIMIC stays (12 events) and 53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stays (12 events). It was post hoc and does not establish complete medication-state capture outside the inspected source fields.</w:t>
      </w:r>
    </w:p>
    <w:p w14:paraId="45F647A7" w14:textId="2DCE0831" w:rsidR="00A50EB5" w:rsidRPr="00A50EB5" w:rsidRDefault="00A50EB5" w:rsidP="00A50EB5">
      <w:pPr>
        <w:spacing w:line="360" w:lineRule="auto"/>
        <w:rPr>
          <w:rFonts w:ascii="Times New Roman" w:hAnsi="Times New Roman" w:cs="Times New Roman"/>
          <w:b/>
          <w:bCs/>
        </w:rPr>
      </w:pPr>
      <w:r w:rsidRPr="00A50EB5">
        <w:rPr>
          <w:rFonts w:ascii="Times New Roman" w:hAnsi="Times New Roman" w:cs="Times New Roman"/>
          <w:b/>
          <w:bCs/>
        </w:rPr>
        <w:t>Table S6. Missing-data sensitivity</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1661"/>
        <w:gridCol w:w="1661"/>
        <w:gridCol w:w="1661"/>
        <w:gridCol w:w="1661"/>
      </w:tblGrid>
      <w:tr w:rsidR="00A50EB5" w:rsidRPr="00A50EB5" w14:paraId="4191C330" w14:textId="77777777" w:rsidTr="00A50EB5">
        <w:trPr>
          <w:cantSplit/>
          <w:tblHeader/>
        </w:trPr>
        <w:tc>
          <w:tcPr>
            <w:tcW w:w="1000" w:type="pct"/>
            <w:tcBorders>
              <w:top w:val="single" w:sz="4" w:space="0" w:color="auto"/>
              <w:bottom w:val="single" w:sz="4" w:space="0" w:color="auto"/>
            </w:tcBorders>
            <w:tcMar>
              <w:top w:w="60" w:type="dxa"/>
              <w:left w:w="60" w:type="dxa"/>
              <w:bottom w:w="60" w:type="dxa"/>
              <w:right w:w="60" w:type="dxa"/>
            </w:tcMar>
            <w:vAlign w:val="center"/>
          </w:tcPr>
          <w:p w14:paraId="341FBDF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lastRenderedPageBreak/>
              <w:t>Analysis</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40C6C0D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Cohort</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23E0960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N / events</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79E76A0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AUROC (95% CI)</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3DDC255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Calibration slope (95% CI)</w:t>
            </w:r>
          </w:p>
        </w:tc>
      </w:tr>
      <w:tr w:rsidR="00A50EB5" w:rsidRPr="00A50EB5" w14:paraId="7C1AC3F6" w14:textId="77777777" w:rsidTr="00A50EB5">
        <w:trPr>
          <w:cantSplit/>
        </w:trPr>
        <w:tc>
          <w:tcPr>
            <w:tcW w:w="1000" w:type="pct"/>
            <w:tcBorders>
              <w:top w:val="single" w:sz="4" w:space="0" w:color="auto"/>
            </w:tcBorders>
            <w:vAlign w:val="center"/>
          </w:tcPr>
          <w:p w14:paraId="0FF9EBF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LASSO with missingness indicators</w:t>
            </w:r>
          </w:p>
        </w:tc>
        <w:tc>
          <w:tcPr>
            <w:tcW w:w="1000" w:type="pct"/>
            <w:tcBorders>
              <w:top w:val="single" w:sz="4" w:space="0" w:color="auto"/>
            </w:tcBorders>
            <w:vAlign w:val="center"/>
          </w:tcPr>
          <w:p w14:paraId="01DD5EC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MIMIC-IV internal test</w:t>
            </w:r>
          </w:p>
        </w:tc>
        <w:tc>
          <w:tcPr>
            <w:tcW w:w="1000" w:type="pct"/>
            <w:tcBorders>
              <w:top w:val="single" w:sz="4" w:space="0" w:color="auto"/>
            </w:tcBorders>
            <w:vAlign w:val="center"/>
          </w:tcPr>
          <w:p w14:paraId="2489FD8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1582 / 219</w:t>
            </w:r>
          </w:p>
        </w:tc>
        <w:tc>
          <w:tcPr>
            <w:tcW w:w="1000" w:type="pct"/>
            <w:tcBorders>
              <w:top w:val="single" w:sz="4" w:space="0" w:color="auto"/>
            </w:tcBorders>
            <w:vAlign w:val="center"/>
          </w:tcPr>
          <w:p w14:paraId="5CCF892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0.766 (0.731-0.799)</w:t>
            </w:r>
          </w:p>
        </w:tc>
        <w:tc>
          <w:tcPr>
            <w:tcW w:w="1000" w:type="pct"/>
            <w:tcBorders>
              <w:top w:val="single" w:sz="4" w:space="0" w:color="auto"/>
            </w:tcBorders>
            <w:vAlign w:val="center"/>
          </w:tcPr>
          <w:p w14:paraId="20CD394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1.549 (1.261-1.926)</w:t>
            </w:r>
          </w:p>
        </w:tc>
      </w:tr>
      <w:tr w:rsidR="00A50EB5" w:rsidRPr="00A50EB5" w14:paraId="31B0CD4E" w14:textId="77777777" w:rsidTr="00A50EB5">
        <w:trPr>
          <w:cantSplit/>
        </w:trPr>
        <w:tc>
          <w:tcPr>
            <w:tcW w:w="1000" w:type="pct"/>
            <w:vAlign w:val="center"/>
          </w:tcPr>
          <w:p w14:paraId="29DCA18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LASSO with missingness indicators</w:t>
            </w:r>
          </w:p>
        </w:tc>
        <w:tc>
          <w:tcPr>
            <w:tcW w:w="1000" w:type="pct"/>
            <w:vAlign w:val="center"/>
          </w:tcPr>
          <w:p w14:paraId="102DF7A3"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color w:val="000000"/>
                <w:sz w:val="16"/>
              </w:rPr>
              <w:t>eICU</w:t>
            </w:r>
            <w:proofErr w:type="spellEnd"/>
            <w:r w:rsidRPr="00A50EB5">
              <w:rPr>
                <w:rFonts w:ascii="Times New Roman" w:hAnsi="Times New Roman" w:cs="Times New Roman"/>
                <w:color w:val="000000"/>
                <w:sz w:val="16"/>
              </w:rPr>
              <w:t>-CRD external</w:t>
            </w:r>
          </w:p>
        </w:tc>
        <w:tc>
          <w:tcPr>
            <w:tcW w:w="1000" w:type="pct"/>
            <w:vAlign w:val="center"/>
          </w:tcPr>
          <w:p w14:paraId="4E81ED2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1801 / 166</w:t>
            </w:r>
          </w:p>
        </w:tc>
        <w:tc>
          <w:tcPr>
            <w:tcW w:w="1000" w:type="pct"/>
            <w:vAlign w:val="center"/>
          </w:tcPr>
          <w:p w14:paraId="6973A8D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0.743 (0.707-0.774)</w:t>
            </w:r>
          </w:p>
        </w:tc>
        <w:tc>
          <w:tcPr>
            <w:tcW w:w="1000" w:type="pct"/>
            <w:vAlign w:val="center"/>
          </w:tcPr>
          <w:p w14:paraId="1521186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0.449 (0.284-0.740)</w:t>
            </w:r>
          </w:p>
        </w:tc>
      </w:tr>
      <w:tr w:rsidR="00A50EB5" w:rsidRPr="00A50EB5" w14:paraId="5F5FCCDF" w14:textId="77777777" w:rsidTr="00A50EB5">
        <w:trPr>
          <w:cantSplit/>
        </w:trPr>
        <w:tc>
          <w:tcPr>
            <w:tcW w:w="1000" w:type="pct"/>
            <w:vAlign w:val="center"/>
          </w:tcPr>
          <w:p w14:paraId="66C0E62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Frozen primary model, complete cases</w:t>
            </w:r>
          </w:p>
        </w:tc>
        <w:tc>
          <w:tcPr>
            <w:tcW w:w="1000" w:type="pct"/>
            <w:vAlign w:val="center"/>
          </w:tcPr>
          <w:p w14:paraId="114B391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MIMIC-IV internal test</w:t>
            </w:r>
          </w:p>
        </w:tc>
        <w:tc>
          <w:tcPr>
            <w:tcW w:w="1000" w:type="pct"/>
            <w:vAlign w:val="center"/>
          </w:tcPr>
          <w:p w14:paraId="0DD9308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732 / 117</w:t>
            </w:r>
          </w:p>
        </w:tc>
        <w:tc>
          <w:tcPr>
            <w:tcW w:w="1000" w:type="pct"/>
            <w:vAlign w:val="center"/>
          </w:tcPr>
          <w:p w14:paraId="6027350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0.773 (0.728-0.818)</w:t>
            </w:r>
          </w:p>
        </w:tc>
        <w:tc>
          <w:tcPr>
            <w:tcW w:w="1000" w:type="pct"/>
            <w:vAlign w:val="center"/>
          </w:tcPr>
          <w:p w14:paraId="5B296DA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1.450 (1.036-2.028)</w:t>
            </w:r>
          </w:p>
        </w:tc>
      </w:tr>
      <w:tr w:rsidR="00A50EB5" w:rsidRPr="00A50EB5" w14:paraId="600D7246" w14:textId="77777777" w:rsidTr="00A50EB5">
        <w:trPr>
          <w:cantSplit/>
        </w:trPr>
        <w:tc>
          <w:tcPr>
            <w:tcW w:w="1000" w:type="pct"/>
            <w:vAlign w:val="center"/>
          </w:tcPr>
          <w:p w14:paraId="79436BD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Frozen primary model, complete cases</w:t>
            </w:r>
          </w:p>
        </w:tc>
        <w:tc>
          <w:tcPr>
            <w:tcW w:w="1000" w:type="pct"/>
            <w:vAlign w:val="center"/>
          </w:tcPr>
          <w:p w14:paraId="2A8DE9DC"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color w:val="000000"/>
                <w:sz w:val="16"/>
              </w:rPr>
              <w:t>eICU</w:t>
            </w:r>
            <w:proofErr w:type="spellEnd"/>
            <w:r w:rsidRPr="00A50EB5">
              <w:rPr>
                <w:rFonts w:ascii="Times New Roman" w:hAnsi="Times New Roman" w:cs="Times New Roman"/>
                <w:color w:val="000000"/>
                <w:sz w:val="16"/>
              </w:rPr>
              <w:t>-CRD external</w:t>
            </w:r>
          </w:p>
        </w:tc>
        <w:tc>
          <w:tcPr>
            <w:tcW w:w="1000" w:type="pct"/>
            <w:vAlign w:val="center"/>
          </w:tcPr>
          <w:p w14:paraId="2151580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559 / 74</w:t>
            </w:r>
          </w:p>
        </w:tc>
        <w:tc>
          <w:tcPr>
            <w:tcW w:w="1000" w:type="pct"/>
            <w:vAlign w:val="center"/>
          </w:tcPr>
          <w:p w14:paraId="48AB5D8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0.749 (0.698-0.795)</w:t>
            </w:r>
          </w:p>
        </w:tc>
        <w:tc>
          <w:tcPr>
            <w:tcW w:w="1000" w:type="pct"/>
            <w:vAlign w:val="center"/>
          </w:tcPr>
          <w:p w14:paraId="71302BC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0.356 (0.171-0.844)</w:t>
            </w:r>
          </w:p>
        </w:tc>
      </w:tr>
    </w:tbl>
    <w:p w14:paraId="4E6256C7" w14:textId="67E7AC81" w:rsidR="00A50EB5" w:rsidRPr="00A50EB5" w:rsidRDefault="00A50EB5" w:rsidP="00A50EB5">
      <w:pPr>
        <w:spacing w:line="360" w:lineRule="auto"/>
        <w:rPr>
          <w:rFonts w:ascii="Times New Roman" w:hAnsi="Times New Roman" w:cs="Times New Roman"/>
          <w:b/>
          <w:bCs/>
        </w:rPr>
      </w:pPr>
      <w:r w:rsidRPr="00A50EB5">
        <w:rPr>
          <w:rFonts w:ascii="Times New Roman" w:hAnsi="Times New Roman" w:cs="Times New Roman"/>
          <w:b/>
          <w:bCs/>
        </w:rPr>
        <w:t>Table S7. Conservative model-definition sensitivity</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6"/>
        <w:gridCol w:w="2076"/>
        <w:gridCol w:w="2077"/>
        <w:gridCol w:w="2077"/>
      </w:tblGrid>
      <w:tr w:rsidR="00A50EB5" w:rsidRPr="00A50EB5" w14:paraId="603BAAC5" w14:textId="77777777" w:rsidTr="00A50EB5">
        <w:trPr>
          <w:cantSplit/>
          <w:tblHeader/>
        </w:trPr>
        <w:tc>
          <w:tcPr>
            <w:tcW w:w="1250" w:type="pct"/>
            <w:tcBorders>
              <w:top w:val="single" w:sz="4" w:space="0" w:color="auto"/>
              <w:bottom w:val="single" w:sz="4" w:space="0" w:color="auto"/>
            </w:tcBorders>
            <w:tcMar>
              <w:top w:w="60" w:type="dxa"/>
              <w:left w:w="60" w:type="dxa"/>
              <w:bottom w:w="60" w:type="dxa"/>
              <w:right w:w="60" w:type="dxa"/>
            </w:tcMar>
            <w:vAlign w:val="center"/>
          </w:tcPr>
          <w:p w14:paraId="49F5681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Model or sensitivity</w:t>
            </w:r>
          </w:p>
        </w:tc>
        <w:tc>
          <w:tcPr>
            <w:tcW w:w="1250" w:type="pct"/>
            <w:tcBorders>
              <w:top w:val="single" w:sz="4" w:space="0" w:color="auto"/>
              <w:bottom w:val="single" w:sz="4" w:space="0" w:color="auto"/>
            </w:tcBorders>
            <w:tcMar>
              <w:top w:w="60" w:type="dxa"/>
              <w:left w:w="60" w:type="dxa"/>
              <w:bottom w:w="60" w:type="dxa"/>
              <w:right w:w="60" w:type="dxa"/>
            </w:tcMar>
            <w:vAlign w:val="center"/>
          </w:tcPr>
          <w:p w14:paraId="66A6E8A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Cohort</w:t>
            </w:r>
          </w:p>
        </w:tc>
        <w:tc>
          <w:tcPr>
            <w:tcW w:w="1250" w:type="pct"/>
            <w:tcBorders>
              <w:top w:val="single" w:sz="4" w:space="0" w:color="auto"/>
              <w:bottom w:val="single" w:sz="4" w:space="0" w:color="auto"/>
            </w:tcBorders>
            <w:tcMar>
              <w:top w:w="60" w:type="dxa"/>
              <w:left w:w="60" w:type="dxa"/>
              <w:bottom w:w="60" w:type="dxa"/>
              <w:right w:w="60" w:type="dxa"/>
            </w:tcMar>
            <w:vAlign w:val="center"/>
          </w:tcPr>
          <w:p w14:paraId="2C387EF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AUROC (95% CI)</w:t>
            </w:r>
          </w:p>
        </w:tc>
        <w:tc>
          <w:tcPr>
            <w:tcW w:w="1250" w:type="pct"/>
            <w:tcBorders>
              <w:top w:val="single" w:sz="4" w:space="0" w:color="auto"/>
              <w:bottom w:val="single" w:sz="4" w:space="0" w:color="auto"/>
            </w:tcBorders>
            <w:tcMar>
              <w:top w:w="60" w:type="dxa"/>
              <w:left w:w="60" w:type="dxa"/>
              <w:bottom w:w="60" w:type="dxa"/>
              <w:right w:w="60" w:type="dxa"/>
            </w:tcMar>
            <w:vAlign w:val="center"/>
          </w:tcPr>
          <w:p w14:paraId="0E6BFFA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Calibration slope (95% CI)</w:t>
            </w:r>
          </w:p>
        </w:tc>
      </w:tr>
      <w:tr w:rsidR="00A50EB5" w:rsidRPr="00A50EB5" w14:paraId="2CFB8939" w14:textId="77777777" w:rsidTr="00A50EB5">
        <w:trPr>
          <w:cantSplit/>
        </w:trPr>
        <w:tc>
          <w:tcPr>
            <w:tcW w:w="1250" w:type="pct"/>
            <w:tcBorders>
              <w:top w:val="single" w:sz="4" w:space="0" w:color="auto"/>
            </w:tcBorders>
            <w:vAlign w:val="center"/>
          </w:tcPr>
          <w:p w14:paraId="6C13202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24-hour laboratory look-back model</w:t>
            </w:r>
          </w:p>
        </w:tc>
        <w:tc>
          <w:tcPr>
            <w:tcW w:w="1250" w:type="pct"/>
            <w:tcBorders>
              <w:top w:val="single" w:sz="4" w:space="0" w:color="auto"/>
            </w:tcBorders>
            <w:vAlign w:val="center"/>
          </w:tcPr>
          <w:p w14:paraId="34C486A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MIMIC-IV internal test</w:t>
            </w:r>
          </w:p>
        </w:tc>
        <w:tc>
          <w:tcPr>
            <w:tcW w:w="1250" w:type="pct"/>
            <w:tcBorders>
              <w:top w:val="single" w:sz="4" w:space="0" w:color="auto"/>
            </w:tcBorders>
            <w:vAlign w:val="center"/>
          </w:tcPr>
          <w:p w14:paraId="726E877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0.767 (0.733-0.797)</w:t>
            </w:r>
          </w:p>
        </w:tc>
        <w:tc>
          <w:tcPr>
            <w:tcW w:w="1250" w:type="pct"/>
            <w:tcBorders>
              <w:top w:val="single" w:sz="4" w:space="0" w:color="auto"/>
            </w:tcBorders>
            <w:vAlign w:val="center"/>
          </w:tcPr>
          <w:p w14:paraId="154FAF0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1.553 (1.229-1.888)</w:t>
            </w:r>
          </w:p>
        </w:tc>
      </w:tr>
      <w:tr w:rsidR="00A50EB5" w:rsidRPr="00A50EB5" w14:paraId="5E3A7D4C" w14:textId="77777777" w:rsidTr="00A50EB5">
        <w:trPr>
          <w:cantSplit/>
        </w:trPr>
        <w:tc>
          <w:tcPr>
            <w:tcW w:w="1250" w:type="pct"/>
            <w:vAlign w:val="center"/>
          </w:tcPr>
          <w:p w14:paraId="48CC211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24-hour laboratory look-back model</w:t>
            </w:r>
          </w:p>
        </w:tc>
        <w:tc>
          <w:tcPr>
            <w:tcW w:w="1250" w:type="pct"/>
            <w:vAlign w:val="center"/>
          </w:tcPr>
          <w:p w14:paraId="5A1DE025"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color w:val="000000"/>
                <w:sz w:val="16"/>
              </w:rPr>
              <w:t>eICU</w:t>
            </w:r>
            <w:proofErr w:type="spellEnd"/>
            <w:r w:rsidRPr="00A50EB5">
              <w:rPr>
                <w:rFonts w:ascii="Times New Roman" w:hAnsi="Times New Roman" w:cs="Times New Roman"/>
                <w:color w:val="000000"/>
                <w:sz w:val="16"/>
              </w:rPr>
              <w:t>-CRD external</w:t>
            </w:r>
          </w:p>
        </w:tc>
        <w:tc>
          <w:tcPr>
            <w:tcW w:w="1250" w:type="pct"/>
            <w:vAlign w:val="center"/>
          </w:tcPr>
          <w:p w14:paraId="472CCA2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0.743 (0.708-0.779)</w:t>
            </w:r>
          </w:p>
        </w:tc>
        <w:tc>
          <w:tcPr>
            <w:tcW w:w="1250" w:type="pct"/>
            <w:vAlign w:val="center"/>
          </w:tcPr>
          <w:p w14:paraId="1C54046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0.450 (0.266-0.762)</w:t>
            </w:r>
          </w:p>
        </w:tc>
      </w:tr>
      <w:tr w:rsidR="00A50EB5" w:rsidRPr="00A50EB5" w14:paraId="3C7B5C2F" w14:textId="77777777" w:rsidTr="00A50EB5">
        <w:trPr>
          <w:cantSplit/>
        </w:trPr>
        <w:tc>
          <w:tcPr>
            <w:tcW w:w="1250" w:type="pct"/>
            <w:vAlign w:val="center"/>
          </w:tcPr>
          <w:p w14:paraId="04E5B33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NEE-free LASSO model</w:t>
            </w:r>
          </w:p>
        </w:tc>
        <w:tc>
          <w:tcPr>
            <w:tcW w:w="1250" w:type="pct"/>
            <w:vAlign w:val="center"/>
          </w:tcPr>
          <w:p w14:paraId="7B18057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MIMIC-IV internal test</w:t>
            </w:r>
          </w:p>
        </w:tc>
        <w:tc>
          <w:tcPr>
            <w:tcW w:w="1250" w:type="pct"/>
            <w:vAlign w:val="center"/>
          </w:tcPr>
          <w:p w14:paraId="6396759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0.703 (0.665-0.743)</w:t>
            </w:r>
          </w:p>
        </w:tc>
        <w:tc>
          <w:tcPr>
            <w:tcW w:w="1250" w:type="pct"/>
            <w:vAlign w:val="center"/>
          </w:tcPr>
          <w:p w14:paraId="1E29966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1.838 (1.483-2.216)</w:t>
            </w:r>
          </w:p>
        </w:tc>
      </w:tr>
      <w:tr w:rsidR="00A50EB5" w:rsidRPr="00A50EB5" w14:paraId="50506BCD" w14:textId="77777777" w:rsidTr="00A50EB5">
        <w:trPr>
          <w:cantSplit/>
        </w:trPr>
        <w:tc>
          <w:tcPr>
            <w:tcW w:w="1250" w:type="pct"/>
            <w:vAlign w:val="center"/>
          </w:tcPr>
          <w:p w14:paraId="638C597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NEE-free LASSO model</w:t>
            </w:r>
          </w:p>
        </w:tc>
        <w:tc>
          <w:tcPr>
            <w:tcW w:w="1250" w:type="pct"/>
            <w:vAlign w:val="center"/>
          </w:tcPr>
          <w:p w14:paraId="1A50A3F0"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color w:val="000000"/>
                <w:sz w:val="16"/>
              </w:rPr>
              <w:t>eICU</w:t>
            </w:r>
            <w:proofErr w:type="spellEnd"/>
            <w:r w:rsidRPr="00A50EB5">
              <w:rPr>
                <w:rFonts w:ascii="Times New Roman" w:hAnsi="Times New Roman" w:cs="Times New Roman"/>
                <w:color w:val="000000"/>
                <w:sz w:val="16"/>
              </w:rPr>
              <w:t>-CRD external</w:t>
            </w:r>
          </w:p>
        </w:tc>
        <w:tc>
          <w:tcPr>
            <w:tcW w:w="1250" w:type="pct"/>
            <w:vAlign w:val="center"/>
          </w:tcPr>
          <w:p w14:paraId="22ADFE2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0.720 (0.671-0.758)</w:t>
            </w:r>
          </w:p>
        </w:tc>
        <w:tc>
          <w:tcPr>
            <w:tcW w:w="1250" w:type="pct"/>
            <w:vAlign w:val="center"/>
          </w:tcPr>
          <w:p w14:paraId="07FB574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1.656 (1.297-1.992)</w:t>
            </w:r>
          </w:p>
        </w:tc>
      </w:tr>
    </w:tbl>
    <w:p w14:paraId="3C633E87" w14:textId="77777777" w:rsidR="00A50EB5" w:rsidRPr="00A50EB5" w:rsidRDefault="00A50EB5" w:rsidP="00A50EB5">
      <w:pPr>
        <w:spacing w:line="360" w:lineRule="auto"/>
        <w:rPr>
          <w:rFonts w:ascii="Times New Roman" w:hAnsi="Times New Roman" w:cs="Times New Roman"/>
        </w:rPr>
      </w:pPr>
      <w:r w:rsidRPr="00A50EB5">
        <w:rPr>
          <w:rFonts w:ascii="Times New Roman" w:hAnsi="Times New Roman" w:cs="Times New Roman"/>
        </w:rPr>
        <w:t>The NEE-free model excludes current and previous NEE as predictors, but its cohort selection still uses upstream NEE; it is therefore a model-robustness analysis rather than an NEE-free cohort definition.</w:t>
      </w:r>
    </w:p>
    <w:p w14:paraId="4662944A" w14:textId="77777777" w:rsidR="00A50EB5" w:rsidRPr="00A50EB5" w:rsidRDefault="00A50EB5" w:rsidP="00A50EB5">
      <w:pPr>
        <w:spacing w:line="360" w:lineRule="auto"/>
        <w:rPr>
          <w:rFonts w:ascii="Times New Roman" w:hAnsi="Times New Roman" w:cs="Times New Roman"/>
          <w:b/>
          <w:bCs/>
        </w:rPr>
      </w:pPr>
      <w:r w:rsidRPr="00A50EB5">
        <w:rPr>
          <w:rFonts w:ascii="Times New Roman" w:hAnsi="Times New Roman" w:cs="Times New Roman"/>
          <w:b/>
          <w:bCs/>
        </w:rPr>
        <w:t>Table S8. Probability-oriented tuning sensitivity</w:t>
      </w:r>
    </w:p>
    <w:p w14:paraId="3400D9DA" w14:textId="4EDFAD27" w:rsidR="00A50EB5" w:rsidRDefault="00A50EB5" w:rsidP="00A50EB5">
      <w:pPr>
        <w:spacing w:line="360" w:lineRule="auto"/>
        <w:rPr>
          <w:rFonts w:ascii="Times New Roman" w:hAnsi="Times New Roman" w:cs="Times New Roman"/>
        </w:rPr>
      </w:pPr>
      <w:r w:rsidRPr="00A50EB5">
        <w:rPr>
          <w:rFonts w:ascii="Times New Roman" w:hAnsi="Times New Roman" w:cs="Times New Roman"/>
        </w:rPr>
        <w:t>The primary grouped-AUROC one-standard-error rule selected lambda 0.03187 and 5 predictors. Using the same folds and fold-specific preprocessing, the grouped-binomial-log-loss one-standard-error rule selected lambda 0.01348 and 8 predictors.</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
        <w:gridCol w:w="1039"/>
        <w:gridCol w:w="1038"/>
        <w:gridCol w:w="1038"/>
        <w:gridCol w:w="1038"/>
        <w:gridCol w:w="1038"/>
        <w:gridCol w:w="1038"/>
        <w:gridCol w:w="1038"/>
      </w:tblGrid>
      <w:tr w:rsidR="00A50EB5" w:rsidRPr="00A50EB5" w14:paraId="2329DE62" w14:textId="77777777" w:rsidTr="00A50EB5">
        <w:trPr>
          <w:cantSplit/>
          <w:tblHeader/>
        </w:trPr>
        <w:tc>
          <w:tcPr>
            <w:tcW w:w="625" w:type="pct"/>
            <w:tcBorders>
              <w:top w:val="single" w:sz="4" w:space="0" w:color="auto"/>
              <w:bottom w:val="single" w:sz="4" w:space="0" w:color="auto"/>
            </w:tcBorders>
            <w:tcMar>
              <w:top w:w="60" w:type="dxa"/>
              <w:left w:w="60" w:type="dxa"/>
              <w:bottom w:w="60" w:type="dxa"/>
              <w:right w:w="60" w:type="dxa"/>
            </w:tcMar>
            <w:vAlign w:val="center"/>
          </w:tcPr>
          <w:p w14:paraId="2AF47C7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Tuning rule</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0056A5E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Cohort</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1727B19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AUROC (95% CI)</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68D4AE7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AUPRC (95% CI)</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4235234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Brier (95% CI)</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0B978BB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Calibration-in-the-large (95% CI)</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4FD7263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Joint calibration-model intercept (95% CI)</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0BE31F0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Slope (95% CI)</w:t>
            </w:r>
          </w:p>
        </w:tc>
      </w:tr>
      <w:tr w:rsidR="00A50EB5" w:rsidRPr="00A50EB5" w14:paraId="51D681D8" w14:textId="77777777" w:rsidTr="00A50EB5">
        <w:trPr>
          <w:cantSplit/>
        </w:trPr>
        <w:tc>
          <w:tcPr>
            <w:tcW w:w="625" w:type="pct"/>
            <w:tcBorders>
              <w:top w:val="single" w:sz="4" w:space="0" w:color="auto"/>
            </w:tcBorders>
            <w:vAlign w:val="center"/>
          </w:tcPr>
          <w:p w14:paraId="184507B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Grouped AUROC one-SE, primary</w:t>
            </w:r>
          </w:p>
        </w:tc>
        <w:tc>
          <w:tcPr>
            <w:tcW w:w="625" w:type="pct"/>
            <w:tcBorders>
              <w:top w:val="single" w:sz="4" w:space="0" w:color="auto"/>
            </w:tcBorders>
            <w:vAlign w:val="center"/>
          </w:tcPr>
          <w:p w14:paraId="2B46584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MIMIC-IV internal test</w:t>
            </w:r>
          </w:p>
        </w:tc>
        <w:tc>
          <w:tcPr>
            <w:tcW w:w="625" w:type="pct"/>
            <w:tcBorders>
              <w:top w:val="single" w:sz="4" w:space="0" w:color="auto"/>
            </w:tcBorders>
            <w:vAlign w:val="center"/>
          </w:tcPr>
          <w:p w14:paraId="44B4FF8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0.768 (0.734-0.804)</w:t>
            </w:r>
          </w:p>
        </w:tc>
        <w:tc>
          <w:tcPr>
            <w:tcW w:w="625" w:type="pct"/>
            <w:tcBorders>
              <w:top w:val="single" w:sz="4" w:space="0" w:color="auto"/>
            </w:tcBorders>
            <w:vAlign w:val="center"/>
          </w:tcPr>
          <w:p w14:paraId="6EBC655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0.348 (0.295-0.415)</w:t>
            </w:r>
          </w:p>
        </w:tc>
        <w:tc>
          <w:tcPr>
            <w:tcW w:w="625" w:type="pct"/>
            <w:tcBorders>
              <w:top w:val="single" w:sz="4" w:space="0" w:color="auto"/>
            </w:tcBorders>
            <w:vAlign w:val="center"/>
          </w:tcPr>
          <w:p w14:paraId="4C889F6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0.108 (0.097-0.120)</w:t>
            </w:r>
          </w:p>
        </w:tc>
        <w:tc>
          <w:tcPr>
            <w:tcW w:w="625" w:type="pct"/>
            <w:tcBorders>
              <w:top w:val="single" w:sz="4" w:space="0" w:color="auto"/>
            </w:tcBorders>
            <w:vAlign w:val="center"/>
          </w:tcPr>
          <w:p w14:paraId="3057584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0.007 (-0.135 to 0.138)</w:t>
            </w:r>
          </w:p>
        </w:tc>
        <w:tc>
          <w:tcPr>
            <w:tcW w:w="625" w:type="pct"/>
            <w:tcBorders>
              <w:top w:val="single" w:sz="4" w:space="0" w:color="auto"/>
            </w:tcBorders>
            <w:vAlign w:val="center"/>
          </w:tcPr>
          <w:p w14:paraId="21E2884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0.873 (0.347 to 1.519)</w:t>
            </w:r>
          </w:p>
        </w:tc>
        <w:tc>
          <w:tcPr>
            <w:tcW w:w="625" w:type="pct"/>
            <w:tcBorders>
              <w:top w:val="single" w:sz="4" w:space="0" w:color="auto"/>
            </w:tcBorders>
            <w:vAlign w:val="center"/>
          </w:tcPr>
          <w:p w14:paraId="0A93595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1.501 (1.224-1.845)</w:t>
            </w:r>
          </w:p>
        </w:tc>
      </w:tr>
      <w:tr w:rsidR="00A50EB5" w:rsidRPr="00A50EB5" w14:paraId="36BD11C4" w14:textId="77777777" w:rsidTr="00A50EB5">
        <w:trPr>
          <w:cantSplit/>
        </w:trPr>
        <w:tc>
          <w:tcPr>
            <w:tcW w:w="625" w:type="pct"/>
            <w:vAlign w:val="center"/>
          </w:tcPr>
          <w:p w14:paraId="2D401A4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Grouped log loss one-SE</w:t>
            </w:r>
          </w:p>
        </w:tc>
        <w:tc>
          <w:tcPr>
            <w:tcW w:w="625" w:type="pct"/>
            <w:vAlign w:val="center"/>
          </w:tcPr>
          <w:p w14:paraId="0F3C00D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MIMIC-IV internal test</w:t>
            </w:r>
          </w:p>
        </w:tc>
        <w:tc>
          <w:tcPr>
            <w:tcW w:w="625" w:type="pct"/>
            <w:vAlign w:val="center"/>
          </w:tcPr>
          <w:p w14:paraId="0BF8E7B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0.768 (0.735-0.799)</w:t>
            </w:r>
          </w:p>
        </w:tc>
        <w:tc>
          <w:tcPr>
            <w:tcW w:w="625" w:type="pct"/>
            <w:vAlign w:val="center"/>
          </w:tcPr>
          <w:p w14:paraId="66DD0B8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0.362 (0.305-0.424)</w:t>
            </w:r>
          </w:p>
        </w:tc>
        <w:tc>
          <w:tcPr>
            <w:tcW w:w="625" w:type="pct"/>
            <w:vAlign w:val="center"/>
          </w:tcPr>
          <w:p w14:paraId="4910038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0.105 (0.094-0.117)</w:t>
            </w:r>
          </w:p>
        </w:tc>
        <w:tc>
          <w:tcPr>
            <w:tcW w:w="625" w:type="pct"/>
            <w:vAlign w:val="center"/>
          </w:tcPr>
          <w:p w14:paraId="0664F2F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0.013 (-0.133 to 0.159)</w:t>
            </w:r>
          </w:p>
        </w:tc>
        <w:tc>
          <w:tcPr>
            <w:tcW w:w="625" w:type="pct"/>
            <w:vAlign w:val="center"/>
          </w:tcPr>
          <w:p w14:paraId="69C9D72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0.258 (-0.169 to 0.653)</w:t>
            </w:r>
          </w:p>
        </w:tc>
        <w:tc>
          <w:tcPr>
            <w:tcW w:w="625" w:type="pct"/>
            <w:vAlign w:val="center"/>
          </w:tcPr>
          <w:p w14:paraId="7F4FE2C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1.146 (0.935-1.351)</w:t>
            </w:r>
          </w:p>
        </w:tc>
      </w:tr>
      <w:tr w:rsidR="00A50EB5" w:rsidRPr="00A50EB5" w14:paraId="637C2D9C" w14:textId="77777777" w:rsidTr="00A50EB5">
        <w:trPr>
          <w:cantSplit/>
        </w:trPr>
        <w:tc>
          <w:tcPr>
            <w:tcW w:w="625" w:type="pct"/>
            <w:vAlign w:val="center"/>
          </w:tcPr>
          <w:p w14:paraId="0E5F5BB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lastRenderedPageBreak/>
              <w:t>Grouped AUROC one-SE, primary</w:t>
            </w:r>
          </w:p>
        </w:tc>
        <w:tc>
          <w:tcPr>
            <w:tcW w:w="625" w:type="pct"/>
            <w:vAlign w:val="center"/>
          </w:tcPr>
          <w:p w14:paraId="7B4DD783"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color w:val="000000"/>
                <w:sz w:val="16"/>
              </w:rPr>
              <w:t>eICU</w:t>
            </w:r>
            <w:proofErr w:type="spellEnd"/>
            <w:r w:rsidRPr="00A50EB5">
              <w:rPr>
                <w:rFonts w:ascii="Times New Roman" w:hAnsi="Times New Roman" w:cs="Times New Roman"/>
                <w:color w:val="000000"/>
                <w:sz w:val="16"/>
              </w:rPr>
              <w:t>-CRD external</w:t>
            </w:r>
          </w:p>
        </w:tc>
        <w:tc>
          <w:tcPr>
            <w:tcW w:w="625" w:type="pct"/>
            <w:vAlign w:val="center"/>
          </w:tcPr>
          <w:p w14:paraId="7451B59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0.746 (0.713-0.782)</w:t>
            </w:r>
          </w:p>
        </w:tc>
        <w:tc>
          <w:tcPr>
            <w:tcW w:w="625" w:type="pct"/>
            <w:vAlign w:val="center"/>
          </w:tcPr>
          <w:p w14:paraId="7DB095E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0.200 (0.165-0.246)</w:t>
            </w:r>
          </w:p>
        </w:tc>
        <w:tc>
          <w:tcPr>
            <w:tcW w:w="625" w:type="pct"/>
            <w:vAlign w:val="center"/>
          </w:tcPr>
          <w:p w14:paraId="7A73D1B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0.090 (0.081-0.099)</w:t>
            </w:r>
          </w:p>
        </w:tc>
        <w:tc>
          <w:tcPr>
            <w:tcW w:w="625" w:type="pct"/>
            <w:vAlign w:val="center"/>
          </w:tcPr>
          <w:p w14:paraId="4840B9E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-0.712 (-0.902 to -0.546)</w:t>
            </w:r>
          </w:p>
        </w:tc>
        <w:tc>
          <w:tcPr>
            <w:tcW w:w="625" w:type="pct"/>
            <w:vAlign w:val="center"/>
          </w:tcPr>
          <w:p w14:paraId="7629F40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-1.544 (-1.894 to -1.080)</w:t>
            </w:r>
          </w:p>
        </w:tc>
        <w:tc>
          <w:tcPr>
            <w:tcW w:w="625" w:type="pct"/>
            <w:vAlign w:val="center"/>
          </w:tcPr>
          <w:p w14:paraId="42842B4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0.446 (0.265-0.710)</w:t>
            </w:r>
          </w:p>
        </w:tc>
      </w:tr>
      <w:tr w:rsidR="00A50EB5" w:rsidRPr="00A50EB5" w14:paraId="7CC58B37" w14:textId="77777777" w:rsidTr="00A50EB5">
        <w:trPr>
          <w:cantSplit/>
        </w:trPr>
        <w:tc>
          <w:tcPr>
            <w:tcW w:w="625" w:type="pct"/>
            <w:vAlign w:val="center"/>
          </w:tcPr>
          <w:p w14:paraId="2DEEA11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Grouped log loss one-SE</w:t>
            </w:r>
          </w:p>
        </w:tc>
        <w:tc>
          <w:tcPr>
            <w:tcW w:w="625" w:type="pct"/>
            <w:vAlign w:val="center"/>
          </w:tcPr>
          <w:p w14:paraId="36A622DB" w14:textId="77777777" w:rsidR="00A50EB5" w:rsidRPr="00A50EB5" w:rsidRDefault="00A50EB5" w:rsidP="00A50EB5">
            <w:pPr>
              <w:jc w:val="center"/>
              <w:rPr>
                <w:rFonts w:ascii="Times New Roman" w:hAnsi="Times New Roman" w:cs="Times New Roman"/>
              </w:rPr>
            </w:pPr>
            <w:proofErr w:type="spellStart"/>
            <w:r w:rsidRPr="00A50EB5">
              <w:rPr>
                <w:rFonts w:ascii="Times New Roman" w:hAnsi="Times New Roman" w:cs="Times New Roman"/>
                <w:color w:val="000000"/>
                <w:sz w:val="16"/>
              </w:rPr>
              <w:t>eICU</w:t>
            </w:r>
            <w:proofErr w:type="spellEnd"/>
            <w:r w:rsidRPr="00A50EB5">
              <w:rPr>
                <w:rFonts w:ascii="Times New Roman" w:hAnsi="Times New Roman" w:cs="Times New Roman"/>
                <w:color w:val="000000"/>
                <w:sz w:val="16"/>
              </w:rPr>
              <w:t>-CRD external</w:t>
            </w:r>
          </w:p>
        </w:tc>
        <w:tc>
          <w:tcPr>
            <w:tcW w:w="625" w:type="pct"/>
            <w:vAlign w:val="center"/>
          </w:tcPr>
          <w:p w14:paraId="1E93F3F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0.756 (0.720-0.787)</w:t>
            </w:r>
          </w:p>
        </w:tc>
        <w:tc>
          <w:tcPr>
            <w:tcW w:w="625" w:type="pct"/>
            <w:vAlign w:val="center"/>
          </w:tcPr>
          <w:p w14:paraId="2D0229D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0.211 (0.173-0.254)</w:t>
            </w:r>
          </w:p>
        </w:tc>
        <w:tc>
          <w:tcPr>
            <w:tcW w:w="625" w:type="pct"/>
            <w:vAlign w:val="center"/>
          </w:tcPr>
          <w:p w14:paraId="470CB76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0.093 (0.083-0.102)</w:t>
            </w:r>
          </w:p>
        </w:tc>
        <w:tc>
          <w:tcPr>
            <w:tcW w:w="625" w:type="pct"/>
            <w:vAlign w:val="center"/>
          </w:tcPr>
          <w:p w14:paraId="4DE6075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-0.790 (-1.001 to -0.610)</w:t>
            </w:r>
          </w:p>
        </w:tc>
        <w:tc>
          <w:tcPr>
            <w:tcW w:w="625" w:type="pct"/>
            <w:vAlign w:val="center"/>
          </w:tcPr>
          <w:p w14:paraId="0CB4BC0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-1.613 (-1.927 to -1.211)</w:t>
            </w:r>
          </w:p>
        </w:tc>
        <w:tc>
          <w:tcPr>
            <w:tcW w:w="625" w:type="pct"/>
            <w:vAlign w:val="center"/>
          </w:tcPr>
          <w:p w14:paraId="0C9CF73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0.405 (0.257-0.622)</w:t>
            </w:r>
          </w:p>
        </w:tc>
      </w:tr>
    </w:tbl>
    <w:p w14:paraId="0117F662" w14:textId="77777777" w:rsidR="00A50EB5" w:rsidRPr="00A50EB5" w:rsidRDefault="00A50EB5" w:rsidP="00A50EB5">
      <w:pPr>
        <w:spacing w:line="360" w:lineRule="auto"/>
        <w:rPr>
          <w:rFonts w:ascii="Times New Roman" w:hAnsi="Times New Roman" w:cs="Times New Roman"/>
        </w:rPr>
      </w:pPr>
      <w:r w:rsidRPr="00A50EB5">
        <w:rPr>
          <w:rFonts w:ascii="Times New Roman" w:hAnsi="Times New Roman" w:cs="Times New Roman"/>
        </w:rPr>
        <w:t>Probability-oriented tuning improved internal Brier score and slope but did not correct external calibration; external Brier score increased and the slope remained markedly below one.</w:t>
      </w:r>
    </w:p>
    <w:p w14:paraId="5D25402B" w14:textId="0F53B29F" w:rsidR="00A50EB5" w:rsidRPr="00A50EB5" w:rsidRDefault="00A50EB5" w:rsidP="00A50EB5">
      <w:pPr>
        <w:spacing w:line="360" w:lineRule="auto"/>
        <w:rPr>
          <w:rFonts w:ascii="Times New Roman" w:hAnsi="Times New Roman" w:cs="Times New Roman"/>
          <w:b/>
          <w:bCs/>
        </w:rPr>
      </w:pPr>
      <w:r w:rsidRPr="00A50EB5">
        <w:rPr>
          <w:rFonts w:ascii="Times New Roman" w:hAnsi="Times New Roman" w:cs="Times New Roman"/>
          <w:b/>
          <w:bCs/>
        </w:rPr>
        <w:t xml:space="preserve">Table S9. Exploratory </w:t>
      </w:r>
      <w:proofErr w:type="spellStart"/>
      <w:r w:rsidRPr="00A50EB5">
        <w:rPr>
          <w:rFonts w:ascii="Times New Roman" w:hAnsi="Times New Roman" w:cs="Times New Roman"/>
          <w:b/>
          <w:bCs/>
        </w:rPr>
        <w:t>eICU</w:t>
      </w:r>
      <w:proofErr w:type="spellEnd"/>
      <w:r w:rsidRPr="00A50EB5">
        <w:rPr>
          <w:rFonts w:ascii="Times New Roman" w:hAnsi="Times New Roman" w:cs="Times New Roman"/>
          <w:b/>
          <w:bCs/>
        </w:rPr>
        <w:t xml:space="preserve"> review yield from frozen primary-model predictions</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5"/>
        <w:gridCol w:w="1385"/>
        <w:gridCol w:w="1384"/>
        <w:gridCol w:w="1384"/>
        <w:gridCol w:w="1384"/>
        <w:gridCol w:w="1384"/>
      </w:tblGrid>
      <w:tr w:rsidR="00A50EB5" w:rsidRPr="00A50EB5" w14:paraId="718A4E66" w14:textId="77777777" w:rsidTr="00A50EB5">
        <w:trPr>
          <w:cantSplit/>
          <w:tblHeader/>
        </w:trPr>
        <w:tc>
          <w:tcPr>
            <w:tcW w:w="834" w:type="pct"/>
            <w:tcBorders>
              <w:top w:val="single" w:sz="4" w:space="0" w:color="auto"/>
              <w:bottom w:val="single" w:sz="4" w:space="0" w:color="auto"/>
            </w:tcBorders>
            <w:tcMar>
              <w:top w:w="60" w:type="dxa"/>
              <w:left w:w="60" w:type="dxa"/>
              <w:bottom w:w="60" w:type="dxa"/>
              <w:right w:w="60" w:type="dxa"/>
            </w:tcMar>
            <w:vAlign w:val="center"/>
          </w:tcPr>
          <w:p w14:paraId="286B8AE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Highest-risk fraction reviewed</w:t>
            </w:r>
          </w:p>
        </w:tc>
        <w:tc>
          <w:tcPr>
            <w:tcW w:w="834" w:type="pct"/>
            <w:tcBorders>
              <w:top w:val="single" w:sz="4" w:space="0" w:color="auto"/>
              <w:bottom w:val="single" w:sz="4" w:space="0" w:color="auto"/>
            </w:tcBorders>
            <w:tcMar>
              <w:top w:w="60" w:type="dxa"/>
              <w:left w:w="60" w:type="dxa"/>
              <w:bottom w:w="60" w:type="dxa"/>
              <w:right w:w="60" w:type="dxa"/>
            </w:tcMar>
            <w:vAlign w:val="center"/>
          </w:tcPr>
          <w:p w14:paraId="40BBF35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Stays reviewed</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0573386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Events captured</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3046D10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Sensitivity, % (95% CI)</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27CDFA0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PPV, % (95% CI)</w:t>
            </w:r>
          </w:p>
        </w:tc>
        <w:tc>
          <w:tcPr>
            <w:tcW w:w="833" w:type="pct"/>
            <w:tcBorders>
              <w:top w:val="single" w:sz="4" w:space="0" w:color="auto"/>
              <w:bottom w:val="single" w:sz="4" w:space="0" w:color="auto"/>
            </w:tcBorders>
            <w:tcMar>
              <w:top w:w="60" w:type="dxa"/>
              <w:left w:w="60" w:type="dxa"/>
              <w:bottom w:w="60" w:type="dxa"/>
              <w:right w:w="60" w:type="dxa"/>
            </w:tcMar>
            <w:vAlign w:val="center"/>
          </w:tcPr>
          <w:p w14:paraId="23FE658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Number needed to review (95% CI)</w:t>
            </w:r>
          </w:p>
        </w:tc>
      </w:tr>
      <w:tr w:rsidR="00A50EB5" w:rsidRPr="00A50EB5" w14:paraId="0ADEE0D8" w14:textId="77777777" w:rsidTr="00A50EB5">
        <w:trPr>
          <w:cantSplit/>
        </w:trPr>
        <w:tc>
          <w:tcPr>
            <w:tcW w:w="834" w:type="pct"/>
            <w:tcBorders>
              <w:top w:val="single" w:sz="4" w:space="0" w:color="auto"/>
            </w:tcBorders>
            <w:vAlign w:val="center"/>
          </w:tcPr>
          <w:p w14:paraId="61EE952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w:t>
            </w:r>
          </w:p>
        </w:tc>
        <w:tc>
          <w:tcPr>
            <w:tcW w:w="834" w:type="pct"/>
            <w:tcBorders>
              <w:top w:val="single" w:sz="4" w:space="0" w:color="auto"/>
            </w:tcBorders>
            <w:vAlign w:val="center"/>
          </w:tcPr>
          <w:p w14:paraId="18DC6A1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181</w:t>
            </w:r>
          </w:p>
        </w:tc>
        <w:tc>
          <w:tcPr>
            <w:tcW w:w="833" w:type="pct"/>
            <w:tcBorders>
              <w:top w:val="single" w:sz="4" w:space="0" w:color="auto"/>
            </w:tcBorders>
            <w:vAlign w:val="center"/>
          </w:tcPr>
          <w:p w14:paraId="5ADF7A7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48 / 166</w:t>
            </w:r>
          </w:p>
        </w:tc>
        <w:tc>
          <w:tcPr>
            <w:tcW w:w="833" w:type="pct"/>
            <w:tcBorders>
              <w:top w:val="single" w:sz="4" w:space="0" w:color="auto"/>
            </w:tcBorders>
            <w:vAlign w:val="center"/>
          </w:tcPr>
          <w:p w14:paraId="4A699C8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28.9 (23.0-34.9)</w:t>
            </w:r>
          </w:p>
        </w:tc>
        <w:tc>
          <w:tcPr>
            <w:tcW w:w="833" w:type="pct"/>
            <w:tcBorders>
              <w:top w:val="single" w:sz="4" w:space="0" w:color="auto"/>
            </w:tcBorders>
            <w:vAlign w:val="center"/>
          </w:tcPr>
          <w:p w14:paraId="50A64EC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26.5 (20.6-33.2)</w:t>
            </w:r>
          </w:p>
        </w:tc>
        <w:tc>
          <w:tcPr>
            <w:tcW w:w="833" w:type="pct"/>
            <w:tcBorders>
              <w:top w:val="single" w:sz="4" w:space="0" w:color="auto"/>
            </w:tcBorders>
            <w:vAlign w:val="center"/>
          </w:tcPr>
          <w:p w14:paraId="172894B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3.77 (3.01-4.86)</w:t>
            </w:r>
          </w:p>
        </w:tc>
      </w:tr>
      <w:tr w:rsidR="00A50EB5" w:rsidRPr="00A50EB5" w14:paraId="02A53AFC" w14:textId="77777777" w:rsidTr="00A50EB5">
        <w:trPr>
          <w:cantSplit/>
        </w:trPr>
        <w:tc>
          <w:tcPr>
            <w:tcW w:w="834" w:type="pct"/>
            <w:vAlign w:val="center"/>
          </w:tcPr>
          <w:p w14:paraId="23646B3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20%</w:t>
            </w:r>
          </w:p>
        </w:tc>
        <w:tc>
          <w:tcPr>
            <w:tcW w:w="834" w:type="pct"/>
            <w:vAlign w:val="center"/>
          </w:tcPr>
          <w:p w14:paraId="5E716E3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361</w:t>
            </w:r>
          </w:p>
        </w:tc>
        <w:tc>
          <w:tcPr>
            <w:tcW w:w="833" w:type="pct"/>
            <w:vAlign w:val="center"/>
          </w:tcPr>
          <w:p w14:paraId="409E73B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78 / 166</w:t>
            </w:r>
          </w:p>
        </w:tc>
        <w:tc>
          <w:tcPr>
            <w:tcW w:w="833" w:type="pct"/>
            <w:vAlign w:val="center"/>
          </w:tcPr>
          <w:p w14:paraId="19CA531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47.0 (40.0-54.4)</w:t>
            </w:r>
          </w:p>
        </w:tc>
        <w:tc>
          <w:tcPr>
            <w:tcW w:w="833" w:type="pct"/>
            <w:vAlign w:val="center"/>
          </w:tcPr>
          <w:p w14:paraId="01E1FC1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21.6 (17.4-25.8)</w:t>
            </w:r>
          </w:p>
        </w:tc>
        <w:tc>
          <w:tcPr>
            <w:tcW w:w="833" w:type="pct"/>
            <w:vAlign w:val="center"/>
          </w:tcPr>
          <w:p w14:paraId="558FA47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4.63 (3.88-5.76)</w:t>
            </w:r>
          </w:p>
        </w:tc>
      </w:tr>
      <w:tr w:rsidR="00A50EB5" w:rsidRPr="00A50EB5" w14:paraId="4C9F67C7" w14:textId="77777777" w:rsidTr="00A50EB5">
        <w:trPr>
          <w:cantSplit/>
        </w:trPr>
        <w:tc>
          <w:tcPr>
            <w:tcW w:w="834" w:type="pct"/>
            <w:vAlign w:val="center"/>
          </w:tcPr>
          <w:p w14:paraId="17D4802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25%</w:t>
            </w:r>
          </w:p>
        </w:tc>
        <w:tc>
          <w:tcPr>
            <w:tcW w:w="834" w:type="pct"/>
            <w:vAlign w:val="center"/>
          </w:tcPr>
          <w:p w14:paraId="4E464C1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451</w:t>
            </w:r>
          </w:p>
        </w:tc>
        <w:tc>
          <w:tcPr>
            <w:tcW w:w="833" w:type="pct"/>
            <w:vAlign w:val="center"/>
          </w:tcPr>
          <w:p w14:paraId="79E2D87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93 / 166</w:t>
            </w:r>
          </w:p>
        </w:tc>
        <w:tc>
          <w:tcPr>
            <w:tcW w:w="833" w:type="pct"/>
            <w:vAlign w:val="center"/>
          </w:tcPr>
          <w:p w14:paraId="0E98191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56.0 (48.2-62.5)</w:t>
            </w:r>
          </w:p>
        </w:tc>
        <w:tc>
          <w:tcPr>
            <w:tcW w:w="833" w:type="pct"/>
            <w:vAlign w:val="center"/>
          </w:tcPr>
          <w:p w14:paraId="7C074D8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20.6 (17.2-24.1)</w:t>
            </w:r>
          </w:p>
        </w:tc>
        <w:tc>
          <w:tcPr>
            <w:tcW w:w="833" w:type="pct"/>
            <w:vAlign w:val="center"/>
          </w:tcPr>
          <w:p w14:paraId="3F376EB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4.85 (4.15-5.82)</w:t>
            </w:r>
          </w:p>
        </w:tc>
      </w:tr>
      <w:tr w:rsidR="00A50EB5" w:rsidRPr="00A50EB5" w14:paraId="09367ECF" w14:textId="77777777" w:rsidTr="00A50EB5">
        <w:trPr>
          <w:cantSplit/>
        </w:trPr>
        <w:tc>
          <w:tcPr>
            <w:tcW w:w="834" w:type="pct"/>
            <w:vAlign w:val="center"/>
          </w:tcPr>
          <w:p w14:paraId="1A5D1C7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30%</w:t>
            </w:r>
          </w:p>
        </w:tc>
        <w:tc>
          <w:tcPr>
            <w:tcW w:w="834" w:type="pct"/>
            <w:vAlign w:val="center"/>
          </w:tcPr>
          <w:p w14:paraId="01195BD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541</w:t>
            </w:r>
          </w:p>
        </w:tc>
        <w:tc>
          <w:tcPr>
            <w:tcW w:w="833" w:type="pct"/>
            <w:vAlign w:val="center"/>
          </w:tcPr>
          <w:p w14:paraId="44E52EC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104 / 166</w:t>
            </w:r>
          </w:p>
        </w:tc>
        <w:tc>
          <w:tcPr>
            <w:tcW w:w="833" w:type="pct"/>
            <w:vAlign w:val="center"/>
          </w:tcPr>
          <w:p w14:paraId="27417DA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62.7 (55.1-69.0)</w:t>
            </w:r>
          </w:p>
        </w:tc>
        <w:tc>
          <w:tcPr>
            <w:tcW w:w="833" w:type="pct"/>
            <w:vAlign w:val="center"/>
          </w:tcPr>
          <w:p w14:paraId="167EA61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19.2 (15.6-22.3)</w:t>
            </w:r>
          </w:p>
        </w:tc>
        <w:tc>
          <w:tcPr>
            <w:tcW w:w="833" w:type="pct"/>
            <w:vAlign w:val="center"/>
          </w:tcPr>
          <w:p w14:paraId="13B7B20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5.20 (4.47-6.42)</w:t>
            </w:r>
          </w:p>
        </w:tc>
      </w:tr>
    </w:tbl>
    <w:p w14:paraId="02F9202F" w14:textId="71F117AD" w:rsid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At the same external 20% review capacity, the frozen five-variable score was compared post hoc with the current-NEE-only logistic baseline. Both scores were trained in MIMIC-IV and applied unrecalibrated to </w:t>
      </w:r>
      <w:proofErr w:type="spellStart"/>
      <w:r w:rsidRPr="00A50EB5">
        <w:rPr>
          <w:rFonts w:ascii="Times New Roman" w:hAnsi="Times New Roman" w:cs="Times New Roman"/>
        </w:rPr>
        <w:t>eICU</w:t>
      </w:r>
      <w:proofErr w:type="spellEnd"/>
      <w:r w:rsidRPr="00A50EB5">
        <w:rPr>
          <w:rFonts w:ascii="Times New Roman" w:hAnsi="Times New Roman" w:cs="Times New Roman"/>
        </w:rPr>
        <w:t>-CRD.</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1661"/>
        <w:gridCol w:w="1661"/>
        <w:gridCol w:w="1661"/>
        <w:gridCol w:w="1661"/>
      </w:tblGrid>
      <w:tr w:rsidR="00A50EB5" w:rsidRPr="00A50EB5" w14:paraId="1B193B51" w14:textId="77777777" w:rsidTr="00A50EB5">
        <w:trPr>
          <w:cantSplit/>
          <w:tblHeader/>
        </w:trPr>
        <w:tc>
          <w:tcPr>
            <w:tcW w:w="1000" w:type="pct"/>
            <w:tcBorders>
              <w:top w:val="single" w:sz="4" w:space="0" w:color="auto"/>
              <w:bottom w:val="single" w:sz="4" w:space="0" w:color="auto"/>
            </w:tcBorders>
            <w:tcMar>
              <w:top w:w="60" w:type="dxa"/>
              <w:left w:w="60" w:type="dxa"/>
              <w:bottom w:w="60" w:type="dxa"/>
              <w:right w:w="60" w:type="dxa"/>
            </w:tcMar>
            <w:vAlign w:val="center"/>
          </w:tcPr>
          <w:p w14:paraId="25E1CF9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Ranking score at 20% capacity (361 stays)</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62E68B7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Events captured</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4181E40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Sensitivity, %</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2F15F02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PPV, %</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77ABF66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Number needed to review</w:t>
            </w:r>
          </w:p>
        </w:tc>
      </w:tr>
      <w:tr w:rsidR="00A50EB5" w:rsidRPr="00A50EB5" w14:paraId="26FC71CE" w14:textId="77777777" w:rsidTr="00A50EB5">
        <w:trPr>
          <w:cantSplit/>
        </w:trPr>
        <w:tc>
          <w:tcPr>
            <w:tcW w:w="1000" w:type="pct"/>
            <w:tcBorders>
              <w:top w:val="single" w:sz="4" w:space="0" w:color="auto"/>
            </w:tcBorders>
            <w:vAlign w:val="center"/>
          </w:tcPr>
          <w:p w14:paraId="3205612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Frozen five-variable model</w:t>
            </w:r>
          </w:p>
        </w:tc>
        <w:tc>
          <w:tcPr>
            <w:tcW w:w="1000" w:type="pct"/>
            <w:tcBorders>
              <w:top w:val="single" w:sz="4" w:space="0" w:color="auto"/>
            </w:tcBorders>
            <w:vAlign w:val="center"/>
          </w:tcPr>
          <w:p w14:paraId="136DD18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78 / 166</w:t>
            </w:r>
          </w:p>
        </w:tc>
        <w:tc>
          <w:tcPr>
            <w:tcW w:w="1000" w:type="pct"/>
            <w:tcBorders>
              <w:top w:val="single" w:sz="4" w:space="0" w:color="auto"/>
            </w:tcBorders>
            <w:vAlign w:val="center"/>
          </w:tcPr>
          <w:p w14:paraId="770B8A7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47.0</w:t>
            </w:r>
          </w:p>
        </w:tc>
        <w:tc>
          <w:tcPr>
            <w:tcW w:w="1000" w:type="pct"/>
            <w:tcBorders>
              <w:top w:val="single" w:sz="4" w:space="0" w:color="auto"/>
            </w:tcBorders>
            <w:vAlign w:val="center"/>
          </w:tcPr>
          <w:p w14:paraId="10CB1AE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21.6</w:t>
            </w:r>
          </w:p>
        </w:tc>
        <w:tc>
          <w:tcPr>
            <w:tcW w:w="1000" w:type="pct"/>
            <w:tcBorders>
              <w:top w:val="single" w:sz="4" w:space="0" w:color="auto"/>
            </w:tcBorders>
            <w:vAlign w:val="center"/>
          </w:tcPr>
          <w:p w14:paraId="5AD48B9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4.63</w:t>
            </w:r>
          </w:p>
        </w:tc>
      </w:tr>
      <w:tr w:rsidR="00A50EB5" w:rsidRPr="00A50EB5" w14:paraId="79B84238" w14:textId="77777777" w:rsidTr="00A50EB5">
        <w:trPr>
          <w:cantSplit/>
        </w:trPr>
        <w:tc>
          <w:tcPr>
            <w:tcW w:w="1000" w:type="pct"/>
            <w:vAlign w:val="center"/>
          </w:tcPr>
          <w:p w14:paraId="3DA6C40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Current NEE only</w:t>
            </w:r>
          </w:p>
        </w:tc>
        <w:tc>
          <w:tcPr>
            <w:tcW w:w="1000" w:type="pct"/>
            <w:vAlign w:val="center"/>
          </w:tcPr>
          <w:p w14:paraId="41BB125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67 / 166</w:t>
            </w:r>
          </w:p>
        </w:tc>
        <w:tc>
          <w:tcPr>
            <w:tcW w:w="1000" w:type="pct"/>
            <w:vAlign w:val="center"/>
          </w:tcPr>
          <w:p w14:paraId="40BC611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40.4</w:t>
            </w:r>
          </w:p>
        </w:tc>
        <w:tc>
          <w:tcPr>
            <w:tcW w:w="1000" w:type="pct"/>
            <w:vAlign w:val="center"/>
          </w:tcPr>
          <w:p w14:paraId="15E65B8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18.6</w:t>
            </w:r>
          </w:p>
        </w:tc>
        <w:tc>
          <w:tcPr>
            <w:tcW w:w="1000" w:type="pct"/>
            <w:vAlign w:val="center"/>
          </w:tcPr>
          <w:p w14:paraId="4151C9D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5.39</w:t>
            </w:r>
          </w:p>
        </w:tc>
      </w:tr>
      <w:tr w:rsidR="00A50EB5" w:rsidRPr="00A50EB5" w14:paraId="48C9A6B0" w14:textId="77777777" w:rsidTr="00A50EB5">
        <w:trPr>
          <w:cantSplit/>
        </w:trPr>
        <w:tc>
          <w:tcPr>
            <w:tcW w:w="1000" w:type="pct"/>
            <w:vAlign w:val="center"/>
          </w:tcPr>
          <w:p w14:paraId="2CD162B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Five-variable model minus current NEE</w:t>
            </w:r>
          </w:p>
        </w:tc>
        <w:tc>
          <w:tcPr>
            <w:tcW w:w="1000" w:type="pct"/>
            <w:vAlign w:val="center"/>
          </w:tcPr>
          <w:p w14:paraId="77C5EB5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11 additional events</w:t>
            </w:r>
          </w:p>
        </w:tc>
        <w:tc>
          <w:tcPr>
            <w:tcW w:w="1000" w:type="pct"/>
            <w:vAlign w:val="center"/>
          </w:tcPr>
          <w:p w14:paraId="7EE32E8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6.6 percentage points (1.2-11.0)</w:t>
            </w:r>
          </w:p>
        </w:tc>
        <w:tc>
          <w:tcPr>
            <w:tcW w:w="1000" w:type="pct"/>
            <w:vAlign w:val="center"/>
          </w:tcPr>
          <w:p w14:paraId="6C7D699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3.0 percentage points (0.6-5.0)</w:t>
            </w:r>
          </w:p>
        </w:tc>
        <w:tc>
          <w:tcPr>
            <w:tcW w:w="1000" w:type="pct"/>
            <w:vAlign w:val="center"/>
          </w:tcPr>
          <w:p w14:paraId="22483FF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-0.76</w:t>
            </w:r>
          </w:p>
        </w:tc>
      </w:tr>
    </w:tbl>
    <w:p w14:paraId="5322F38B" w14:textId="77777777" w:rsidR="00A50EB5" w:rsidRPr="00A50EB5" w:rsidRDefault="00A50EB5" w:rsidP="00A50EB5">
      <w:pPr>
        <w:spacing w:line="360" w:lineRule="auto"/>
        <w:rPr>
          <w:rFonts w:ascii="Times New Roman" w:hAnsi="Times New Roman" w:cs="Times New Roman"/>
        </w:rPr>
      </w:pPr>
      <w:r w:rsidRPr="00A50EB5">
        <w:rPr>
          <w:rFonts w:ascii="Times New Roman" w:hAnsi="Times New Roman" w:cs="Times New Roman"/>
        </w:rPr>
        <w:t>Intervals use 500 patient-cluster bootstrap replicates. The difference intervals are paired at the patient-cluster level. This is a descriptive ranking analysis, not a decision-curve or clinical-utility analysis.</w:t>
      </w:r>
    </w:p>
    <w:p w14:paraId="7EE6030B" w14:textId="77777777" w:rsidR="00A50EB5" w:rsidRPr="00A50EB5" w:rsidRDefault="00A50EB5" w:rsidP="00A50EB5">
      <w:pPr>
        <w:spacing w:line="360" w:lineRule="auto"/>
        <w:rPr>
          <w:rFonts w:ascii="Times New Roman" w:hAnsi="Times New Roman" w:cs="Times New Roman"/>
          <w:b/>
          <w:bCs/>
        </w:rPr>
      </w:pPr>
      <w:r w:rsidRPr="00A50EB5">
        <w:rPr>
          <w:rFonts w:ascii="Times New Roman" w:hAnsi="Times New Roman" w:cs="Times New Roman"/>
          <w:b/>
          <w:bCs/>
        </w:rPr>
        <w:t>Table S10. Post hoc decomposition of pooled calibration drift and hospital heterogeneity</w:t>
      </w:r>
    </w:p>
    <w:p w14:paraId="5D7BA2E6" w14:textId="590FBE3F" w:rsid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The locked external per-stay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prediction vector was used. The hospital-held-out point estimates reused the five pre-existing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hospital folds, so each test hospital was evaluated by an update </w:t>
      </w:r>
      <w:r w:rsidRPr="00A50EB5">
        <w:rPr>
          <w:rFonts w:ascii="Times New Roman" w:hAnsi="Times New Roman" w:cs="Times New Roman"/>
        </w:rPr>
        <w:lastRenderedPageBreak/>
        <w:t xml:space="preserve">fitted on other hospitals. The frozen-model row uses 500 patient-cluster bootstrap replicates. Update rows use 500 two-stage hospital/patient bootstrap replicates, keep all copies of the same source hospital in </w:t>
      </w:r>
      <w:proofErr w:type="gramStart"/>
      <w:r w:rsidRPr="00A50EB5">
        <w:rPr>
          <w:rFonts w:ascii="Times New Roman" w:hAnsi="Times New Roman" w:cs="Times New Roman"/>
        </w:rPr>
        <w:t>one fold</w:t>
      </w:r>
      <w:proofErr w:type="gramEnd"/>
      <w:r w:rsidRPr="00A50EB5">
        <w:rPr>
          <w:rFonts w:ascii="Times New Roman" w:hAnsi="Times New Roman" w:cs="Times New Roman"/>
        </w:rPr>
        <w:t>, and repeat fold allocation and update fitting. These intervals propagate update-fitting and observed site-mix uncertainty conditional on the frozen base model.</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1661"/>
        <w:gridCol w:w="1661"/>
        <w:gridCol w:w="1661"/>
        <w:gridCol w:w="1661"/>
      </w:tblGrid>
      <w:tr w:rsidR="00A50EB5" w:rsidRPr="00A50EB5" w14:paraId="3D57DAF4" w14:textId="77777777" w:rsidTr="00A50EB5">
        <w:trPr>
          <w:cantSplit/>
          <w:tblHeader/>
        </w:trPr>
        <w:tc>
          <w:tcPr>
            <w:tcW w:w="1000" w:type="pct"/>
            <w:tcBorders>
              <w:top w:val="single" w:sz="4" w:space="0" w:color="auto"/>
              <w:bottom w:val="single" w:sz="4" w:space="0" w:color="auto"/>
            </w:tcBorders>
            <w:tcMar>
              <w:top w:w="60" w:type="dxa"/>
              <w:left w:w="60" w:type="dxa"/>
              <w:bottom w:w="60" w:type="dxa"/>
              <w:right w:w="60" w:type="dxa"/>
            </w:tcMar>
            <w:vAlign w:val="center"/>
          </w:tcPr>
          <w:p w14:paraId="62EDFC8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Hospital-held-out pooled update</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5EFDFB6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Brier (95% CI)</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50A2338C" w14:textId="77777777" w:rsidR="00A50EB5" w:rsidRPr="00A50EB5" w:rsidRDefault="00A50EB5" w:rsidP="00A50EB5">
            <w:pPr>
              <w:jc w:val="center"/>
              <w:rPr>
                <w:rFonts w:ascii="Times New Roman" w:hAnsi="Times New Roman" w:cs="Times New Roman"/>
              </w:rPr>
            </w:pPr>
            <w:proofErr w:type="spellStart"/>
            <w:proofErr w:type="gramStart"/>
            <w:r w:rsidRPr="00A50EB5">
              <w:rPr>
                <w:rFonts w:ascii="Times New Roman" w:hAnsi="Times New Roman" w:cs="Times New Roman"/>
                <w:b/>
                <w:color w:val="000000"/>
                <w:sz w:val="16"/>
              </w:rPr>
              <w:t>Expected:observed</w:t>
            </w:r>
            <w:proofErr w:type="spellEnd"/>
            <w:proofErr w:type="gramEnd"/>
          </w:p>
        </w:tc>
        <w:tc>
          <w:tcPr>
            <w:tcW w:w="1000" w:type="pct"/>
            <w:tcBorders>
              <w:top w:val="single" w:sz="4" w:space="0" w:color="auto"/>
              <w:bottom w:val="single" w:sz="4" w:space="0" w:color="auto"/>
            </w:tcBorders>
            <w:tcMar>
              <w:top w:w="60" w:type="dxa"/>
              <w:left w:w="60" w:type="dxa"/>
              <w:bottom w:w="60" w:type="dxa"/>
              <w:right w:w="60" w:type="dxa"/>
            </w:tcMar>
            <w:vAlign w:val="center"/>
          </w:tcPr>
          <w:p w14:paraId="79A0643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Calibration-in-the-large (95% CI)</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193264F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Calibration slope (95% CI)</w:t>
            </w:r>
          </w:p>
        </w:tc>
      </w:tr>
      <w:tr w:rsidR="00A50EB5" w:rsidRPr="00A50EB5" w14:paraId="126F870C" w14:textId="77777777" w:rsidTr="00A50EB5">
        <w:trPr>
          <w:cantSplit/>
        </w:trPr>
        <w:tc>
          <w:tcPr>
            <w:tcW w:w="1000" w:type="pct"/>
            <w:tcBorders>
              <w:top w:val="single" w:sz="4" w:space="0" w:color="auto"/>
            </w:tcBorders>
            <w:vAlign w:val="center"/>
          </w:tcPr>
          <w:p w14:paraId="6E77953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Frozen MIMIC-IV model</w:t>
            </w:r>
          </w:p>
        </w:tc>
        <w:tc>
          <w:tcPr>
            <w:tcW w:w="1000" w:type="pct"/>
            <w:tcBorders>
              <w:top w:val="single" w:sz="4" w:space="0" w:color="auto"/>
            </w:tcBorders>
            <w:vAlign w:val="center"/>
          </w:tcPr>
          <w:p w14:paraId="7CA418E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0.090 (0.081-0.099)</w:t>
            </w:r>
          </w:p>
        </w:tc>
        <w:tc>
          <w:tcPr>
            <w:tcW w:w="1000" w:type="pct"/>
            <w:tcBorders>
              <w:top w:val="single" w:sz="4" w:space="0" w:color="auto"/>
            </w:tcBorders>
            <w:vAlign w:val="center"/>
          </w:tcPr>
          <w:p w14:paraId="3E5C1921" w14:textId="4DCCF963" w:rsidR="00A50EB5" w:rsidRPr="00A50EB5" w:rsidRDefault="00A50EB5" w:rsidP="00A50EB5">
            <w:pPr>
              <w:jc w:val="center"/>
              <w:rPr>
                <w:rFonts w:ascii="Times New Roman" w:hAnsi="Times New Roman" w:cs="Times New Roman" w:hint="eastAsia"/>
                <w:lang w:eastAsia="zh-CN"/>
              </w:rPr>
            </w:pPr>
            <w:r w:rsidRPr="00A50EB5">
              <w:rPr>
                <w:rFonts w:ascii="Times New Roman" w:hAnsi="Times New Roman" w:cs="Times New Roman"/>
                <w:color w:val="000000"/>
                <w:sz w:val="16"/>
              </w:rPr>
              <w:t>1.7</w:t>
            </w:r>
            <w:r w:rsidR="004042B6">
              <w:rPr>
                <w:rFonts w:ascii="Times New Roman" w:hAnsi="Times New Roman" w:cs="Times New Roman" w:hint="eastAsia"/>
                <w:color w:val="000000"/>
                <w:sz w:val="16"/>
                <w:lang w:eastAsia="zh-CN"/>
              </w:rPr>
              <w:t>2</w:t>
            </w:r>
          </w:p>
        </w:tc>
        <w:tc>
          <w:tcPr>
            <w:tcW w:w="1000" w:type="pct"/>
            <w:tcBorders>
              <w:top w:val="single" w:sz="4" w:space="0" w:color="auto"/>
            </w:tcBorders>
            <w:vAlign w:val="center"/>
          </w:tcPr>
          <w:p w14:paraId="6E3CDE4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-0.712 (-0.902 to -0.546)</w:t>
            </w:r>
          </w:p>
        </w:tc>
        <w:tc>
          <w:tcPr>
            <w:tcW w:w="1000" w:type="pct"/>
            <w:tcBorders>
              <w:top w:val="single" w:sz="4" w:space="0" w:color="auto"/>
            </w:tcBorders>
            <w:vAlign w:val="center"/>
          </w:tcPr>
          <w:p w14:paraId="30283B1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0.446 (0.265-0.710)</w:t>
            </w:r>
          </w:p>
        </w:tc>
      </w:tr>
      <w:tr w:rsidR="00A50EB5" w:rsidRPr="00A50EB5" w14:paraId="396484A1" w14:textId="77777777" w:rsidTr="00A50EB5">
        <w:trPr>
          <w:cantSplit/>
        </w:trPr>
        <w:tc>
          <w:tcPr>
            <w:tcW w:w="1000" w:type="pct"/>
            <w:vAlign w:val="center"/>
          </w:tcPr>
          <w:p w14:paraId="5B9C98D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Offset only</w:t>
            </w:r>
          </w:p>
        </w:tc>
        <w:tc>
          <w:tcPr>
            <w:tcW w:w="1000" w:type="pct"/>
            <w:vAlign w:val="center"/>
          </w:tcPr>
          <w:p w14:paraId="21A08D3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0.086 (0.073-0.102)</w:t>
            </w:r>
          </w:p>
        </w:tc>
        <w:tc>
          <w:tcPr>
            <w:tcW w:w="1000" w:type="pct"/>
            <w:vAlign w:val="center"/>
          </w:tcPr>
          <w:p w14:paraId="2756E67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1.01</w:t>
            </w:r>
          </w:p>
        </w:tc>
        <w:tc>
          <w:tcPr>
            <w:tcW w:w="1000" w:type="pct"/>
            <w:vAlign w:val="center"/>
          </w:tcPr>
          <w:p w14:paraId="4BD3B7B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-0.008 (-0.291 to 0.037)</w:t>
            </w:r>
          </w:p>
        </w:tc>
        <w:tc>
          <w:tcPr>
            <w:tcW w:w="1000" w:type="pct"/>
            <w:vAlign w:val="center"/>
          </w:tcPr>
          <w:p w14:paraId="143B136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0.437 (0.082-0.865)</w:t>
            </w:r>
          </w:p>
        </w:tc>
      </w:tr>
      <w:tr w:rsidR="00A50EB5" w:rsidRPr="00A50EB5" w14:paraId="35608C9C" w14:textId="77777777" w:rsidTr="00A50EB5">
        <w:trPr>
          <w:cantSplit/>
        </w:trPr>
        <w:tc>
          <w:tcPr>
            <w:tcW w:w="1000" w:type="pct"/>
            <w:vAlign w:val="center"/>
          </w:tcPr>
          <w:p w14:paraId="6040D40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Intercept and slope</w:t>
            </w:r>
          </w:p>
        </w:tc>
        <w:tc>
          <w:tcPr>
            <w:tcW w:w="1000" w:type="pct"/>
            <w:vAlign w:val="center"/>
          </w:tcPr>
          <w:p w14:paraId="3212EB9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0.084 (0.067-0.102)</w:t>
            </w:r>
          </w:p>
        </w:tc>
        <w:tc>
          <w:tcPr>
            <w:tcW w:w="1000" w:type="pct"/>
            <w:vAlign w:val="center"/>
          </w:tcPr>
          <w:p w14:paraId="1AE4813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1.00</w:t>
            </w:r>
          </w:p>
        </w:tc>
        <w:tc>
          <w:tcPr>
            <w:tcW w:w="1000" w:type="pct"/>
            <w:vAlign w:val="center"/>
          </w:tcPr>
          <w:p w14:paraId="4B3D8C1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-0.006 (-0.270 to 0.035)</w:t>
            </w:r>
          </w:p>
        </w:tc>
        <w:tc>
          <w:tcPr>
            <w:tcW w:w="1000" w:type="pct"/>
            <w:vAlign w:val="center"/>
          </w:tcPr>
          <w:p w14:paraId="133362C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0.786 (-0.179 to 0.940)</w:t>
            </w:r>
          </w:p>
        </w:tc>
      </w:tr>
    </w:tbl>
    <w:p w14:paraId="78F20797" w14:textId="77777777" w:rsidR="00A50EB5" w:rsidRP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The offset-only model shifted average risk but did not correct the pooled slope distortion. The wide update-refit intervals, especially for hospital-held-out AUROC and slope, indicate substantial uncertainty from the observed hospital mix. The intercept-and-slope update used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outcomes and is not an independent external validation.</w:t>
      </w:r>
    </w:p>
    <w:p w14:paraId="18DC9FDF" w14:textId="781A1C52" w:rsidR="00A50EB5" w:rsidRDefault="00A50EB5" w:rsidP="00A50EB5">
      <w:pPr>
        <w:spacing w:line="360" w:lineRule="auto"/>
        <w:rPr>
          <w:rFonts w:ascii="Times New Roman" w:hAnsi="Times New Roman" w:cs="Times New Roman"/>
        </w:rPr>
      </w:pPr>
      <w:r w:rsidRPr="00A50EB5">
        <w:rPr>
          <w:rFonts w:ascii="Times New Roman" w:hAnsi="Times New Roman" w:cs="Times New Roman"/>
        </w:rPr>
        <w:t>Among the 24 hospitals with at least 20 eligible stays (1,490 stays; 133 events), calibration models were fitted to the logit of the frozen prediction, centered at its analysis-sample mean (-1.792788). Independent random-intercept and random-slope terms avoided estimating an unstable intercept-slope covariance. Each variance component was tested conditional on the other. Four hospitals had no event, five had at most one event, and the median was four events per hospital.</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1661"/>
        <w:gridCol w:w="1661"/>
        <w:gridCol w:w="1661"/>
        <w:gridCol w:w="1661"/>
      </w:tblGrid>
      <w:tr w:rsidR="00A50EB5" w:rsidRPr="00A50EB5" w14:paraId="4CA75B25" w14:textId="77777777" w:rsidTr="00A50EB5">
        <w:trPr>
          <w:cantSplit/>
          <w:tblHeader/>
        </w:trPr>
        <w:tc>
          <w:tcPr>
            <w:tcW w:w="1000" w:type="pct"/>
            <w:tcBorders>
              <w:top w:val="single" w:sz="4" w:space="0" w:color="auto"/>
              <w:bottom w:val="single" w:sz="4" w:space="0" w:color="auto"/>
            </w:tcBorders>
            <w:tcMar>
              <w:top w:w="60" w:type="dxa"/>
              <w:left w:w="60" w:type="dxa"/>
              <w:bottom w:w="60" w:type="dxa"/>
              <w:right w:w="60" w:type="dxa"/>
            </w:tcMar>
            <w:vAlign w:val="center"/>
          </w:tcPr>
          <w:p w14:paraId="66D427C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Hierarchical calibration model</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7406937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AIC</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3B5459C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Common logit-prediction slope</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2E060D6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Hospital intercept SD</w:t>
            </w:r>
          </w:p>
        </w:tc>
        <w:tc>
          <w:tcPr>
            <w:tcW w:w="1000" w:type="pct"/>
            <w:tcBorders>
              <w:top w:val="single" w:sz="4" w:space="0" w:color="auto"/>
              <w:bottom w:val="single" w:sz="4" w:space="0" w:color="auto"/>
            </w:tcBorders>
            <w:tcMar>
              <w:top w:w="60" w:type="dxa"/>
              <w:left w:w="60" w:type="dxa"/>
              <w:bottom w:w="60" w:type="dxa"/>
              <w:right w:w="60" w:type="dxa"/>
            </w:tcMar>
            <w:vAlign w:val="center"/>
          </w:tcPr>
          <w:p w14:paraId="393BF80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Hospital slope SD</w:t>
            </w:r>
          </w:p>
        </w:tc>
      </w:tr>
      <w:tr w:rsidR="00A50EB5" w:rsidRPr="00A50EB5" w14:paraId="4E14D609" w14:textId="77777777" w:rsidTr="00A50EB5">
        <w:trPr>
          <w:cantSplit/>
        </w:trPr>
        <w:tc>
          <w:tcPr>
            <w:tcW w:w="1000" w:type="pct"/>
            <w:tcBorders>
              <w:top w:val="single" w:sz="4" w:space="0" w:color="auto"/>
            </w:tcBorders>
            <w:vAlign w:val="center"/>
          </w:tcPr>
          <w:p w14:paraId="4B60672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Pooled offset only</w:t>
            </w:r>
          </w:p>
        </w:tc>
        <w:tc>
          <w:tcPr>
            <w:tcW w:w="1000" w:type="pct"/>
            <w:tcBorders>
              <w:top w:val="single" w:sz="4" w:space="0" w:color="auto"/>
            </w:tcBorders>
            <w:vAlign w:val="center"/>
          </w:tcPr>
          <w:p w14:paraId="4C62B67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905.47</w:t>
            </w:r>
          </w:p>
        </w:tc>
        <w:tc>
          <w:tcPr>
            <w:tcW w:w="1000" w:type="pct"/>
            <w:tcBorders>
              <w:top w:val="single" w:sz="4" w:space="0" w:color="auto"/>
            </w:tcBorders>
            <w:vAlign w:val="center"/>
          </w:tcPr>
          <w:p w14:paraId="01FE9E8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1.000</w:t>
            </w:r>
          </w:p>
        </w:tc>
        <w:tc>
          <w:tcPr>
            <w:tcW w:w="1000" w:type="pct"/>
            <w:tcBorders>
              <w:top w:val="single" w:sz="4" w:space="0" w:color="auto"/>
            </w:tcBorders>
            <w:vAlign w:val="center"/>
          </w:tcPr>
          <w:p w14:paraId="2014ED8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Not applicable</w:t>
            </w:r>
          </w:p>
        </w:tc>
        <w:tc>
          <w:tcPr>
            <w:tcW w:w="1000" w:type="pct"/>
            <w:tcBorders>
              <w:top w:val="single" w:sz="4" w:space="0" w:color="auto"/>
            </w:tcBorders>
            <w:vAlign w:val="center"/>
          </w:tcPr>
          <w:p w14:paraId="5DE8FBE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Not applicable</w:t>
            </w:r>
          </w:p>
        </w:tc>
      </w:tr>
      <w:tr w:rsidR="00A50EB5" w:rsidRPr="00A50EB5" w14:paraId="2E4492BB" w14:textId="77777777" w:rsidTr="00A50EB5">
        <w:trPr>
          <w:cantSplit/>
        </w:trPr>
        <w:tc>
          <w:tcPr>
            <w:tcW w:w="1000" w:type="pct"/>
            <w:vAlign w:val="center"/>
          </w:tcPr>
          <w:p w14:paraId="1064008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Pooled intercept and slope</w:t>
            </w:r>
          </w:p>
        </w:tc>
        <w:tc>
          <w:tcPr>
            <w:tcW w:w="1000" w:type="pct"/>
            <w:vAlign w:val="center"/>
          </w:tcPr>
          <w:p w14:paraId="6775B63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869.49</w:t>
            </w:r>
          </w:p>
        </w:tc>
        <w:tc>
          <w:tcPr>
            <w:tcW w:w="1000" w:type="pct"/>
            <w:vAlign w:val="center"/>
          </w:tcPr>
          <w:p w14:paraId="29DBBD5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0.445</w:t>
            </w:r>
          </w:p>
        </w:tc>
        <w:tc>
          <w:tcPr>
            <w:tcW w:w="1000" w:type="pct"/>
            <w:vAlign w:val="center"/>
          </w:tcPr>
          <w:p w14:paraId="6DFB5AE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Not applicable</w:t>
            </w:r>
          </w:p>
        </w:tc>
        <w:tc>
          <w:tcPr>
            <w:tcW w:w="1000" w:type="pct"/>
            <w:vAlign w:val="center"/>
          </w:tcPr>
          <w:p w14:paraId="5EDBB89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Not applicable</w:t>
            </w:r>
          </w:p>
        </w:tc>
      </w:tr>
      <w:tr w:rsidR="00A50EB5" w:rsidRPr="00A50EB5" w14:paraId="0C97AFEA" w14:textId="77777777" w:rsidTr="00A50EB5">
        <w:trPr>
          <w:cantSplit/>
        </w:trPr>
        <w:tc>
          <w:tcPr>
            <w:tcW w:w="1000" w:type="pct"/>
            <w:vAlign w:val="center"/>
          </w:tcPr>
          <w:p w14:paraId="17BDD3A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Pooled intercept and slope plus hospital random intercept</w:t>
            </w:r>
          </w:p>
        </w:tc>
        <w:tc>
          <w:tcPr>
            <w:tcW w:w="1000" w:type="pct"/>
            <w:vAlign w:val="center"/>
          </w:tcPr>
          <w:p w14:paraId="686E28C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860.69</w:t>
            </w:r>
          </w:p>
        </w:tc>
        <w:tc>
          <w:tcPr>
            <w:tcW w:w="1000" w:type="pct"/>
            <w:vAlign w:val="center"/>
          </w:tcPr>
          <w:p w14:paraId="651E419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0.554</w:t>
            </w:r>
          </w:p>
        </w:tc>
        <w:tc>
          <w:tcPr>
            <w:tcW w:w="1000" w:type="pct"/>
            <w:vAlign w:val="center"/>
          </w:tcPr>
          <w:p w14:paraId="54C710A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0.707</w:t>
            </w:r>
          </w:p>
        </w:tc>
        <w:tc>
          <w:tcPr>
            <w:tcW w:w="1000" w:type="pct"/>
            <w:vAlign w:val="center"/>
          </w:tcPr>
          <w:p w14:paraId="73D6A57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Not applicable</w:t>
            </w:r>
          </w:p>
        </w:tc>
      </w:tr>
      <w:tr w:rsidR="00A50EB5" w:rsidRPr="00A50EB5" w14:paraId="5E23F96D" w14:textId="77777777" w:rsidTr="00A50EB5">
        <w:trPr>
          <w:cantSplit/>
        </w:trPr>
        <w:tc>
          <w:tcPr>
            <w:tcW w:w="1000" w:type="pct"/>
            <w:vAlign w:val="center"/>
          </w:tcPr>
          <w:p w14:paraId="32444F1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Pooled intercept and slope plus hospital random slope</w:t>
            </w:r>
          </w:p>
        </w:tc>
        <w:tc>
          <w:tcPr>
            <w:tcW w:w="1000" w:type="pct"/>
            <w:vAlign w:val="center"/>
          </w:tcPr>
          <w:p w14:paraId="019B103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854.30</w:t>
            </w:r>
          </w:p>
        </w:tc>
        <w:tc>
          <w:tcPr>
            <w:tcW w:w="1000" w:type="pct"/>
            <w:vAlign w:val="center"/>
          </w:tcPr>
          <w:p w14:paraId="34C9757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0.732</w:t>
            </w:r>
          </w:p>
        </w:tc>
        <w:tc>
          <w:tcPr>
            <w:tcW w:w="1000" w:type="pct"/>
            <w:vAlign w:val="center"/>
          </w:tcPr>
          <w:p w14:paraId="2FACBA5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Not applicable</w:t>
            </w:r>
          </w:p>
        </w:tc>
        <w:tc>
          <w:tcPr>
            <w:tcW w:w="1000" w:type="pct"/>
            <w:vAlign w:val="center"/>
          </w:tcPr>
          <w:p w14:paraId="1074711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0.597</w:t>
            </w:r>
          </w:p>
        </w:tc>
      </w:tr>
      <w:tr w:rsidR="00A50EB5" w:rsidRPr="00A50EB5" w14:paraId="70E0F41E" w14:textId="77777777" w:rsidTr="00A50EB5">
        <w:trPr>
          <w:cantSplit/>
        </w:trPr>
        <w:tc>
          <w:tcPr>
            <w:tcW w:w="1000" w:type="pct"/>
            <w:vAlign w:val="center"/>
          </w:tcPr>
          <w:p w14:paraId="2524C04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Pooled intercept and slope plus independent hospital random intercept and slope</w:t>
            </w:r>
          </w:p>
        </w:tc>
        <w:tc>
          <w:tcPr>
            <w:tcW w:w="1000" w:type="pct"/>
            <w:vAlign w:val="center"/>
          </w:tcPr>
          <w:p w14:paraId="0DF10E5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850.79</w:t>
            </w:r>
          </w:p>
        </w:tc>
        <w:tc>
          <w:tcPr>
            <w:tcW w:w="1000" w:type="pct"/>
            <w:vAlign w:val="center"/>
          </w:tcPr>
          <w:p w14:paraId="73C0732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0.820</w:t>
            </w:r>
          </w:p>
        </w:tc>
        <w:tc>
          <w:tcPr>
            <w:tcW w:w="1000" w:type="pct"/>
            <w:vAlign w:val="center"/>
          </w:tcPr>
          <w:p w14:paraId="390D8A1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0.527</w:t>
            </w:r>
          </w:p>
        </w:tc>
        <w:tc>
          <w:tcPr>
            <w:tcW w:w="1000" w:type="pct"/>
            <w:vAlign w:val="center"/>
          </w:tcPr>
          <w:p w14:paraId="57764FD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0.592</w:t>
            </w:r>
          </w:p>
        </w:tc>
      </w:tr>
    </w:tbl>
    <w:p w14:paraId="77D40D63" w14:textId="7F563476" w:rsidR="00A50EB5" w:rsidRDefault="00A50EB5" w:rsidP="00A50EB5">
      <w:pPr>
        <w:spacing w:line="360" w:lineRule="auto"/>
        <w:rPr>
          <w:rFonts w:ascii="Times New Roman" w:hAnsi="Times New Roman" w:cs="Times New Roman"/>
        </w:rPr>
      </w:pPr>
      <w:r w:rsidRPr="00A50EB5">
        <w:rPr>
          <w:rFonts w:ascii="Times New Roman" w:hAnsi="Times New Roman" w:cs="Times New Roman"/>
        </w:rPr>
        <w:lastRenderedPageBreak/>
        <w:t>Variance-component tests were as follows.</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6"/>
        <w:gridCol w:w="2076"/>
        <w:gridCol w:w="2077"/>
        <w:gridCol w:w="2077"/>
      </w:tblGrid>
      <w:tr w:rsidR="00A50EB5" w:rsidRPr="00A50EB5" w14:paraId="61459CCA" w14:textId="77777777" w:rsidTr="00A50EB5">
        <w:trPr>
          <w:cantSplit/>
          <w:tblHeader/>
        </w:trPr>
        <w:tc>
          <w:tcPr>
            <w:tcW w:w="1250" w:type="pct"/>
            <w:tcBorders>
              <w:top w:val="single" w:sz="4" w:space="0" w:color="auto"/>
              <w:bottom w:val="single" w:sz="4" w:space="0" w:color="auto"/>
            </w:tcBorders>
            <w:tcMar>
              <w:top w:w="60" w:type="dxa"/>
              <w:left w:w="60" w:type="dxa"/>
              <w:bottom w:w="60" w:type="dxa"/>
              <w:right w:w="60" w:type="dxa"/>
            </w:tcMar>
            <w:vAlign w:val="center"/>
          </w:tcPr>
          <w:p w14:paraId="311F388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Added component (primary hierarchical scope)</w:t>
            </w:r>
          </w:p>
        </w:tc>
        <w:tc>
          <w:tcPr>
            <w:tcW w:w="1250" w:type="pct"/>
            <w:tcBorders>
              <w:top w:val="single" w:sz="4" w:space="0" w:color="auto"/>
              <w:bottom w:val="single" w:sz="4" w:space="0" w:color="auto"/>
            </w:tcBorders>
            <w:tcMar>
              <w:top w:w="60" w:type="dxa"/>
              <w:left w:w="60" w:type="dxa"/>
              <w:bottom w:w="60" w:type="dxa"/>
              <w:right w:w="60" w:type="dxa"/>
            </w:tcMar>
            <w:vAlign w:val="center"/>
          </w:tcPr>
          <w:p w14:paraId="15C8A26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Likelihood-ratio statistic</w:t>
            </w:r>
          </w:p>
        </w:tc>
        <w:tc>
          <w:tcPr>
            <w:tcW w:w="1250" w:type="pct"/>
            <w:tcBorders>
              <w:top w:val="single" w:sz="4" w:space="0" w:color="auto"/>
              <w:bottom w:val="single" w:sz="4" w:space="0" w:color="auto"/>
            </w:tcBorders>
            <w:tcMar>
              <w:top w:w="60" w:type="dxa"/>
              <w:left w:w="60" w:type="dxa"/>
              <w:bottom w:w="60" w:type="dxa"/>
              <w:right w:w="60" w:type="dxa"/>
            </w:tcMar>
            <w:vAlign w:val="center"/>
          </w:tcPr>
          <w:p w14:paraId="4D0A4F6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Parametric-bootstrap P value</w:t>
            </w:r>
          </w:p>
        </w:tc>
        <w:tc>
          <w:tcPr>
            <w:tcW w:w="1250" w:type="pct"/>
            <w:tcBorders>
              <w:top w:val="single" w:sz="4" w:space="0" w:color="auto"/>
              <w:bottom w:val="single" w:sz="4" w:space="0" w:color="auto"/>
            </w:tcBorders>
            <w:tcMar>
              <w:top w:w="60" w:type="dxa"/>
              <w:left w:w="60" w:type="dxa"/>
              <w:bottom w:w="60" w:type="dxa"/>
              <w:right w:w="60" w:type="dxa"/>
            </w:tcMar>
            <w:vAlign w:val="center"/>
          </w:tcPr>
          <w:p w14:paraId="1F963A4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Valid / requested replicates</w:t>
            </w:r>
          </w:p>
        </w:tc>
      </w:tr>
      <w:tr w:rsidR="00A50EB5" w:rsidRPr="00A50EB5" w14:paraId="68A0DA34" w14:textId="77777777" w:rsidTr="00A50EB5">
        <w:trPr>
          <w:cantSplit/>
        </w:trPr>
        <w:tc>
          <w:tcPr>
            <w:tcW w:w="1250" w:type="pct"/>
            <w:tcBorders>
              <w:top w:val="single" w:sz="4" w:space="0" w:color="auto"/>
            </w:tcBorders>
            <w:vAlign w:val="center"/>
          </w:tcPr>
          <w:p w14:paraId="469CCEA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Hospital random intercept conditional on a random slope</w:t>
            </w:r>
          </w:p>
        </w:tc>
        <w:tc>
          <w:tcPr>
            <w:tcW w:w="1250" w:type="pct"/>
            <w:tcBorders>
              <w:top w:val="single" w:sz="4" w:space="0" w:color="auto"/>
            </w:tcBorders>
            <w:vAlign w:val="center"/>
          </w:tcPr>
          <w:p w14:paraId="08B1556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5.51</w:t>
            </w:r>
          </w:p>
        </w:tc>
        <w:tc>
          <w:tcPr>
            <w:tcW w:w="1250" w:type="pct"/>
            <w:tcBorders>
              <w:top w:val="single" w:sz="4" w:space="0" w:color="auto"/>
            </w:tcBorders>
            <w:vAlign w:val="center"/>
          </w:tcPr>
          <w:p w14:paraId="1627389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0.007</w:t>
            </w:r>
          </w:p>
        </w:tc>
        <w:tc>
          <w:tcPr>
            <w:tcW w:w="1250" w:type="pct"/>
            <w:tcBorders>
              <w:top w:val="single" w:sz="4" w:space="0" w:color="auto"/>
            </w:tcBorders>
            <w:vAlign w:val="center"/>
          </w:tcPr>
          <w:p w14:paraId="79B3250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1,000 / 1,000</w:t>
            </w:r>
          </w:p>
        </w:tc>
      </w:tr>
      <w:tr w:rsidR="00A50EB5" w:rsidRPr="00A50EB5" w14:paraId="10A9FCC0" w14:textId="77777777" w:rsidTr="00A50EB5">
        <w:trPr>
          <w:cantSplit/>
        </w:trPr>
        <w:tc>
          <w:tcPr>
            <w:tcW w:w="1250" w:type="pct"/>
            <w:vAlign w:val="center"/>
          </w:tcPr>
          <w:p w14:paraId="7DDFFA8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Hospital random slope conditional on a random intercept</w:t>
            </w:r>
          </w:p>
        </w:tc>
        <w:tc>
          <w:tcPr>
            <w:tcW w:w="1250" w:type="pct"/>
            <w:vAlign w:val="center"/>
          </w:tcPr>
          <w:p w14:paraId="149B97C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11.90</w:t>
            </w:r>
          </w:p>
        </w:tc>
        <w:tc>
          <w:tcPr>
            <w:tcW w:w="1250" w:type="pct"/>
            <w:vAlign w:val="center"/>
          </w:tcPr>
          <w:p w14:paraId="301AEC7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0.001</w:t>
            </w:r>
          </w:p>
        </w:tc>
        <w:tc>
          <w:tcPr>
            <w:tcW w:w="1250" w:type="pct"/>
            <w:vAlign w:val="center"/>
          </w:tcPr>
          <w:p w14:paraId="13ED462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1,000 / 1,000</w:t>
            </w:r>
          </w:p>
        </w:tc>
      </w:tr>
    </w:tbl>
    <w:p w14:paraId="592E6099" w14:textId="77777777" w:rsidR="00A50EB5" w:rsidRPr="00A50EB5" w:rsidRDefault="00A50EB5" w:rsidP="00A50EB5">
      <w:pPr>
        <w:spacing w:line="360" w:lineRule="auto"/>
        <w:rPr>
          <w:rFonts w:ascii="Times New Roman" w:hAnsi="Times New Roman" w:cs="Times New Roman"/>
        </w:rPr>
      </w:pPr>
      <w:r w:rsidRPr="00A50EB5">
        <w:rPr>
          <w:rFonts w:ascii="Times New Roman" w:hAnsi="Times New Roman" w:cs="Times New Roman"/>
        </w:rPr>
        <w:t>Seven predictions above 0.95 were all non-events and arose from six hospitals. After their exclusion, 1,483 stays and 133 events remained; the joint model estimated hospital intercept and slope standard deviations of 0.696 and 0.186. The intercept contribution conditional on a random slope remained supported (likelihood-ratio statistic 8.85; bootstrap P=0.002; 1,000 valid replicates), whereas the slope contribution conditional on a random intercept did not (statistic 0.10; P=0.186; 1,000 valid replicates).</w:t>
      </w:r>
    </w:p>
    <w:p w14:paraId="633CAAB7" w14:textId="77777777" w:rsidR="00A50EB5" w:rsidRPr="00A50EB5" w:rsidRDefault="00A50EB5" w:rsidP="00A50EB5">
      <w:pPr>
        <w:spacing w:line="360" w:lineRule="auto"/>
        <w:rPr>
          <w:rFonts w:ascii="Times New Roman" w:hAnsi="Times New Roman" w:cs="Times New Roman"/>
        </w:rPr>
      </w:pPr>
    </w:p>
    <w:p w14:paraId="296E2638" w14:textId="77777777" w:rsidR="00A50EB5" w:rsidRPr="00A50EB5" w:rsidRDefault="00A50EB5" w:rsidP="00A50EB5">
      <w:pPr>
        <w:spacing w:line="360" w:lineRule="auto"/>
        <w:rPr>
          <w:rFonts w:ascii="Times New Roman" w:hAnsi="Times New Roman" w:cs="Times New Roman"/>
        </w:rPr>
      </w:pPr>
      <w:r w:rsidRPr="00A50EB5">
        <w:rPr>
          <w:rFonts w:ascii="Times New Roman" w:hAnsi="Times New Roman" w:cs="Times New Roman"/>
        </w:rPr>
        <w:t>In the all-hospital sensitivity analysis (1,801 stays; 166 events; 67 hospitals), the centered joint model estimated hospital intercept and slope standard deviations of 0.599 and 0.772. This sensitivity includes 43 hospitals with fewer than 20 stays, 27 of which had no observed event; it is therefore not a hospital-specific calibration assessment.</w:t>
      </w:r>
    </w:p>
    <w:p w14:paraId="43264091" w14:textId="01BCEFDD" w:rsid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This is a post hoc descriptive transport analysis using </w:t>
      </w:r>
      <w:proofErr w:type="spellStart"/>
      <w:r w:rsidRPr="00A50EB5">
        <w:rPr>
          <w:rFonts w:ascii="Times New Roman" w:hAnsi="Times New Roman" w:cs="Times New Roman"/>
        </w:rPr>
        <w:t>eICU</w:t>
      </w:r>
      <w:proofErr w:type="spellEnd"/>
      <w:r w:rsidRPr="00A50EB5">
        <w:rPr>
          <w:rFonts w:ascii="Times New Roman" w:hAnsi="Times New Roman" w:cs="Times New Roman"/>
        </w:rPr>
        <w:t xml:space="preserve"> outcomes. It does not identify whether hospital heterogeneity arises from case mix, care processes, medication documentation, or data harmonization, and it does not establish performance after a hospital-specific update. A pooled offset alone was inadequate, but the intercept-versus-slope composition was sensitive to a small number of extreme predictions and was not robustly identifiable. These data support pooled and site-level calibration assessment with partial pooling; they do not justify either an offset-only shortcut or unconstrained separate slopes for every hospital.</w:t>
      </w:r>
    </w:p>
    <w:p w14:paraId="3E75977F" w14:textId="77777777" w:rsidR="00A50EB5" w:rsidRPr="00A50EB5" w:rsidRDefault="00A50EB5" w:rsidP="00A50EB5">
      <w:pPr>
        <w:spacing w:line="360" w:lineRule="auto"/>
        <w:rPr>
          <w:rFonts w:ascii="Times New Roman" w:hAnsi="Times New Roman" w:cs="Times New Roman"/>
          <w:b/>
          <w:bCs/>
        </w:rPr>
      </w:pPr>
      <w:r w:rsidRPr="00A50EB5">
        <w:rPr>
          <w:rFonts w:ascii="Times New Roman" w:hAnsi="Times New Roman" w:cs="Times New Roman"/>
          <w:b/>
          <w:bCs/>
        </w:rPr>
        <w:t>Table S11. Post hoc pooled recalibration learning curve</w:t>
      </w:r>
    </w:p>
    <w:p w14:paraId="58F22A40" w14:textId="4041C54B" w:rsidR="00A50EB5" w:rsidRDefault="00A50EB5" w:rsidP="00A50EB5">
      <w:pPr>
        <w:spacing w:line="360" w:lineRule="auto"/>
        <w:rPr>
          <w:rFonts w:ascii="Times New Roman" w:hAnsi="Times New Roman" w:cs="Times New Roman"/>
        </w:rPr>
      </w:pPr>
      <w:r w:rsidRPr="00A50EB5">
        <w:rPr>
          <w:rFonts w:ascii="Times New Roman" w:hAnsi="Times New Roman" w:cs="Times New Roman"/>
        </w:rPr>
        <w:t xml:space="preserve">Each cell summarizes 500 repetitions. Patients were cluster-sampled into each recalibration fit to the listed event target, and evaluation observations were disjoint. Same-system evaluation held out patient groups; hospital-held-out evaluation excluded all hospitals in the evaluation fold from the corresponding fit. Percentages indicate repetitions whose out-of-sample calibration slope fell within </w:t>
      </w:r>
      <w:r w:rsidRPr="00A50EB5">
        <w:rPr>
          <w:rFonts w:ascii="Times New Roman" w:hAnsi="Times New Roman" w:cs="Times New Roman"/>
        </w:rPr>
        <w:lastRenderedPageBreak/>
        <w:t>the listed exploratory band. Event targets refer to each pooled fit, not to the additional outcomes needed for independent evaluation or to one hospital. The training-event percentage shows how close each target was to the finite fold-specific data limit.</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
        <w:gridCol w:w="1039"/>
        <w:gridCol w:w="1038"/>
        <w:gridCol w:w="1038"/>
        <w:gridCol w:w="1038"/>
        <w:gridCol w:w="1038"/>
        <w:gridCol w:w="1038"/>
        <w:gridCol w:w="1038"/>
      </w:tblGrid>
      <w:tr w:rsidR="00A50EB5" w:rsidRPr="00A50EB5" w14:paraId="0ED0171F" w14:textId="77777777" w:rsidTr="00A50EB5">
        <w:trPr>
          <w:cantSplit/>
          <w:tblHeader/>
        </w:trPr>
        <w:tc>
          <w:tcPr>
            <w:tcW w:w="625" w:type="pct"/>
            <w:tcBorders>
              <w:top w:val="single" w:sz="4" w:space="0" w:color="auto"/>
              <w:bottom w:val="single" w:sz="4" w:space="0" w:color="auto"/>
            </w:tcBorders>
            <w:tcMar>
              <w:top w:w="60" w:type="dxa"/>
              <w:left w:w="60" w:type="dxa"/>
              <w:bottom w:w="60" w:type="dxa"/>
              <w:right w:w="60" w:type="dxa"/>
            </w:tcMar>
            <w:vAlign w:val="center"/>
          </w:tcPr>
          <w:p w14:paraId="15DCB32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Evaluation</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4ED2D16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Events in fit</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08B7AF7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Training events used</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09D31C4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Median stays in fit</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02F1BF6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Out-of-sample slope, median (2.5th-97.5th percentile)</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0F483E1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Within 0.8-1.2</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6183AFC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Within 0.9-1.1</w:t>
            </w:r>
          </w:p>
        </w:tc>
        <w:tc>
          <w:tcPr>
            <w:tcW w:w="625" w:type="pct"/>
            <w:tcBorders>
              <w:top w:val="single" w:sz="4" w:space="0" w:color="auto"/>
              <w:bottom w:val="single" w:sz="4" w:space="0" w:color="auto"/>
            </w:tcBorders>
            <w:tcMar>
              <w:top w:w="60" w:type="dxa"/>
              <w:left w:w="60" w:type="dxa"/>
              <w:bottom w:w="60" w:type="dxa"/>
              <w:right w:w="60" w:type="dxa"/>
            </w:tcMar>
            <w:vAlign w:val="center"/>
          </w:tcPr>
          <w:p w14:paraId="13FA926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b/>
                <w:color w:val="000000"/>
                <w:sz w:val="16"/>
              </w:rPr>
              <w:t>Median Brier</w:t>
            </w:r>
          </w:p>
        </w:tc>
      </w:tr>
      <w:tr w:rsidR="00A50EB5" w:rsidRPr="00A50EB5" w14:paraId="6719E5FE" w14:textId="77777777" w:rsidTr="00A50EB5">
        <w:trPr>
          <w:cantSplit/>
        </w:trPr>
        <w:tc>
          <w:tcPr>
            <w:tcW w:w="625" w:type="pct"/>
            <w:tcBorders>
              <w:top w:val="single" w:sz="4" w:space="0" w:color="auto"/>
            </w:tcBorders>
            <w:vAlign w:val="center"/>
          </w:tcPr>
          <w:p w14:paraId="6013CA9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Same-system</w:t>
            </w:r>
          </w:p>
        </w:tc>
        <w:tc>
          <w:tcPr>
            <w:tcW w:w="625" w:type="pct"/>
            <w:tcBorders>
              <w:top w:val="single" w:sz="4" w:space="0" w:color="auto"/>
            </w:tcBorders>
            <w:vAlign w:val="center"/>
          </w:tcPr>
          <w:p w14:paraId="724FE3E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w:t>
            </w:r>
          </w:p>
        </w:tc>
        <w:tc>
          <w:tcPr>
            <w:tcW w:w="625" w:type="pct"/>
            <w:tcBorders>
              <w:top w:val="single" w:sz="4" w:space="0" w:color="auto"/>
            </w:tcBorders>
            <w:vAlign w:val="center"/>
          </w:tcPr>
          <w:p w14:paraId="7DE65DE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3.8%</w:t>
            </w:r>
          </w:p>
        </w:tc>
        <w:tc>
          <w:tcPr>
            <w:tcW w:w="625" w:type="pct"/>
            <w:tcBorders>
              <w:top w:val="single" w:sz="4" w:space="0" w:color="auto"/>
            </w:tcBorders>
            <w:vAlign w:val="center"/>
          </w:tcPr>
          <w:p w14:paraId="09ADF42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54</w:t>
            </w:r>
          </w:p>
        </w:tc>
        <w:tc>
          <w:tcPr>
            <w:tcW w:w="625" w:type="pct"/>
            <w:tcBorders>
              <w:top w:val="single" w:sz="4" w:space="0" w:color="auto"/>
            </w:tcBorders>
            <w:vAlign w:val="center"/>
          </w:tcPr>
          <w:p w14:paraId="717BAE9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0.353 (0.165-0.817)</w:t>
            </w:r>
          </w:p>
        </w:tc>
        <w:tc>
          <w:tcPr>
            <w:tcW w:w="625" w:type="pct"/>
            <w:tcBorders>
              <w:top w:val="single" w:sz="4" w:space="0" w:color="auto"/>
            </w:tcBorders>
            <w:vAlign w:val="center"/>
          </w:tcPr>
          <w:p w14:paraId="30E6BD5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2.8%</w:t>
            </w:r>
          </w:p>
        </w:tc>
        <w:tc>
          <w:tcPr>
            <w:tcW w:w="625" w:type="pct"/>
            <w:tcBorders>
              <w:top w:val="single" w:sz="4" w:space="0" w:color="auto"/>
            </w:tcBorders>
            <w:vAlign w:val="center"/>
          </w:tcPr>
          <w:p w14:paraId="1EF97EB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1.4%</w:t>
            </w:r>
          </w:p>
        </w:tc>
        <w:tc>
          <w:tcPr>
            <w:tcW w:w="625" w:type="pct"/>
            <w:tcBorders>
              <w:top w:val="single" w:sz="4" w:space="0" w:color="auto"/>
            </w:tcBorders>
            <w:vAlign w:val="center"/>
          </w:tcPr>
          <w:p w14:paraId="647E94A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0.087</w:t>
            </w:r>
          </w:p>
        </w:tc>
      </w:tr>
      <w:tr w:rsidR="00A50EB5" w:rsidRPr="00A50EB5" w14:paraId="10CEEFAA" w14:textId="77777777" w:rsidTr="00A50EB5">
        <w:trPr>
          <w:cantSplit/>
        </w:trPr>
        <w:tc>
          <w:tcPr>
            <w:tcW w:w="625" w:type="pct"/>
            <w:vAlign w:val="center"/>
          </w:tcPr>
          <w:p w14:paraId="67992FD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Same-system</w:t>
            </w:r>
          </w:p>
        </w:tc>
        <w:tc>
          <w:tcPr>
            <w:tcW w:w="625" w:type="pct"/>
            <w:vAlign w:val="center"/>
          </w:tcPr>
          <w:p w14:paraId="7ACE356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w:t>
            </w:r>
          </w:p>
        </w:tc>
        <w:tc>
          <w:tcPr>
            <w:tcW w:w="625" w:type="pct"/>
            <w:vAlign w:val="center"/>
          </w:tcPr>
          <w:p w14:paraId="53E2D35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7.5%</w:t>
            </w:r>
          </w:p>
        </w:tc>
        <w:tc>
          <w:tcPr>
            <w:tcW w:w="625" w:type="pct"/>
            <w:vAlign w:val="center"/>
          </w:tcPr>
          <w:p w14:paraId="3FD3335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109</w:t>
            </w:r>
          </w:p>
        </w:tc>
        <w:tc>
          <w:tcPr>
            <w:tcW w:w="625" w:type="pct"/>
            <w:vAlign w:val="center"/>
          </w:tcPr>
          <w:p w14:paraId="2465259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0.468 (0.257-1.119)</w:t>
            </w:r>
          </w:p>
        </w:tc>
        <w:tc>
          <w:tcPr>
            <w:tcW w:w="625" w:type="pct"/>
            <w:vAlign w:val="center"/>
          </w:tcPr>
          <w:p w14:paraId="575FBFE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8.0%</w:t>
            </w:r>
          </w:p>
        </w:tc>
        <w:tc>
          <w:tcPr>
            <w:tcW w:w="625" w:type="pct"/>
            <w:vAlign w:val="center"/>
          </w:tcPr>
          <w:p w14:paraId="0F5328D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2.4%</w:t>
            </w:r>
          </w:p>
        </w:tc>
        <w:tc>
          <w:tcPr>
            <w:tcW w:w="625" w:type="pct"/>
            <w:vAlign w:val="center"/>
          </w:tcPr>
          <w:p w14:paraId="0453757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0.085</w:t>
            </w:r>
          </w:p>
        </w:tc>
      </w:tr>
      <w:tr w:rsidR="00A50EB5" w:rsidRPr="00A50EB5" w14:paraId="626C1BFE" w14:textId="77777777" w:rsidTr="00A50EB5">
        <w:trPr>
          <w:cantSplit/>
        </w:trPr>
        <w:tc>
          <w:tcPr>
            <w:tcW w:w="625" w:type="pct"/>
            <w:vAlign w:val="center"/>
          </w:tcPr>
          <w:p w14:paraId="6DCD098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Same-system</w:t>
            </w:r>
          </w:p>
        </w:tc>
        <w:tc>
          <w:tcPr>
            <w:tcW w:w="625" w:type="pct"/>
            <w:vAlign w:val="center"/>
          </w:tcPr>
          <w:p w14:paraId="6DF33F6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20</w:t>
            </w:r>
          </w:p>
        </w:tc>
        <w:tc>
          <w:tcPr>
            <w:tcW w:w="625" w:type="pct"/>
            <w:vAlign w:val="center"/>
          </w:tcPr>
          <w:p w14:paraId="27D5526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15.0%</w:t>
            </w:r>
          </w:p>
        </w:tc>
        <w:tc>
          <w:tcPr>
            <w:tcW w:w="625" w:type="pct"/>
            <w:vAlign w:val="center"/>
          </w:tcPr>
          <w:p w14:paraId="3DC7F5F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217</w:t>
            </w:r>
          </w:p>
        </w:tc>
        <w:tc>
          <w:tcPr>
            <w:tcW w:w="625" w:type="pct"/>
            <w:vAlign w:val="center"/>
          </w:tcPr>
          <w:p w14:paraId="3B34D54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0.602 (0.335-1.185)</w:t>
            </w:r>
          </w:p>
        </w:tc>
        <w:tc>
          <w:tcPr>
            <w:tcW w:w="625" w:type="pct"/>
            <w:vAlign w:val="center"/>
          </w:tcPr>
          <w:p w14:paraId="74E80ED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18.2%</w:t>
            </w:r>
          </w:p>
        </w:tc>
        <w:tc>
          <w:tcPr>
            <w:tcW w:w="625" w:type="pct"/>
            <w:vAlign w:val="center"/>
          </w:tcPr>
          <w:p w14:paraId="058E317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10.4%</w:t>
            </w:r>
          </w:p>
        </w:tc>
        <w:tc>
          <w:tcPr>
            <w:tcW w:w="625" w:type="pct"/>
            <w:vAlign w:val="center"/>
          </w:tcPr>
          <w:p w14:paraId="3B0C502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0.084</w:t>
            </w:r>
          </w:p>
        </w:tc>
      </w:tr>
      <w:tr w:rsidR="00A50EB5" w:rsidRPr="00A50EB5" w14:paraId="3BAD869F" w14:textId="77777777" w:rsidTr="00A50EB5">
        <w:trPr>
          <w:cantSplit/>
        </w:trPr>
        <w:tc>
          <w:tcPr>
            <w:tcW w:w="625" w:type="pct"/>
            <w:vAlign w:val="center"/>
          </w:tcPr>
          <w:p w14:paraId="687ADD1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Same-system</w:t>
            </w:r>
          </w:p>
        </w:tc>
        <w:tc>
          <w:tcPr>
            <w:tcW w:w="625" w:type="pct"/>
            <w:vAlign w:val="center"/>
          </w:tcPr>
          <w:p w14:paraId="4C80212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30</w:t>
            </w:r>
          </w:p>
        </w:tc>
        <w:tc>
          <w:tcPr>
            <w:tcW w:w="625" w:type="pct"/>
            <w:vAlign w:val="center"/>
          </w:tcPr>
          <w:p w14:paraId="6A83D92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22.6%</w:t>
            </w:r>
          </w:p>
        </w:tc>
        <w:tc>
          <w:tcPr>
            <w:tcW w:w="625" w:type="pct"/>
            <w:vAlign w:val="center"/>
          </w:tcPr>
          <w:p w14:paraId="5F2EE27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326</w:t>
            </w:r>
          </w:p>
        </w:tc>
        <w:tc>
          <w:tcPr>
            <w:tcW w:w="625" w:type="pct"/>
            <w:vAlign w:val="center"/>
          </w:tcPr>
          <w:p w14:paraId="24B3EB7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0.648 (0.387-1.224)</w:t>
            </w:r>
          </w:p>
        </w:tc>
        <w:tc>
          <w:tcPr>
            <w:tcW w:w="625" w:type="pct"/>
            <w:vAlign w:val="center"/>
          </w:tcPr>
          <w:p w14:paraId="255E13F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22.4%</w:t>
            </w:r>
          </w:p>
        </w:tc>
        <w:tc>
          <w:tcPr>
            <w:tcW w:w="625" w:type="pct"/>
            <w:vAlign w:val="center"/>
          </w:tcPr>
          <w:p w14:paraId="252FF63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9.0%</w:t>
            </w:r>
          </w:p>
        </w:tc>
        <w:tc>
          <w:tcPr>
            <w:tcW w:w="625" w:type="pct"/>
            <w:vAlign w:val="center"/>
          </w:tcPr>
          <w:p w14:paraId="3C058AE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0.084</w:t>
            </w:r>
          </w:p>
        </w:tc>
      </w:tr>
      <w:tr w:rsidR="00A50EB5" w:rsidRPr="00A50EB5" w14:paraId="4A647E10" w14:textId="77777777" w:rsidTr="00A50EB5">
        <w:trPr>
          <w:cantSplit/>
        </w:trPr>
        <w:tc>
          <w:tcPr>
            <w:tcW w:w="625" w:type="pct"/>
            <w:vAlign w:val="center"/>
          </w:tcPr>
          <w:p w14:paraId="0B12540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Same-system</w:t>
            </w:r>
          </w:p>
        </w:tc>
        <w:tc>
          <w:tcPr>
            <w:tcW w:w="625" w:type="pct"/>
            <w:vAlign w:val="center"/>
          </w:tcPr>
          <w:p w14:paraId="592EA1A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50</w:t>
            </w:r>
          </w:p>
        </w:tc>
        <w:tc>
          <w:tcPr>
            <w:tcW w:w="625" w:type="pct"/>
            <w:vAlign w:val="center"/>
          </w:tcPr>
          <w:p w14:paraId="6CFD63D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37.6%</w:t>
            </w:r>
          </w:p>
        </w:tc>
        <w:tc>
          <w:tcPr>
            <w:tcW w:w="625" w:type="pct"/>
            <w:vAlign w:val="center"/>
          </w:tcPr>
          <w:p w14:paraId="4FEBB12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543</w:t>
            </w:r>
          </w:p>
        </w:tc>
        <w:tc>
          <w:tcPr>
            <w:tcW w:w="625" w:type="pct"/>
            <w:vAlign w:val="center"/>
          </w:tcPr>
          <w:p w14:paraId="1FF7153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0.774 (0.515-1.164)</w:t>
            </w:r>
          </w:p>
        </w:tc>
        <w:tc>
          <w:tcPr>
            <w:tcW w:w="625" w:type="pct"/>
            <w:vAlign w:val="center"/>
          </w:tcPr>
          <w:p w14:paraId="64F654E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42.6%</w:t>
            </w:r>
          </w:p>
        </w:tc>
        <w:tc>
          <w:tcPr>
            <w:tcW w:w="625" w:type="pct"/>
            <w:vAlign w:val="center"/>
          </w:tcPr>
          <w:p w14:paraId="5923B49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18.4%</w:t>
            </w:r>
          </w:p>
        </w:tc>
        <w:tc>
          <w:tcPr>
            <w:tcW w:w="625" w:type="pct"/>
            <w:vAlign w:val="center"/>
          </w:tcPr>
          <w:p w14:paraId="49D34E0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0.083</w:t>
            </w:r>
          </w:p>
        </w:tc>
      </w:tr>
      <w:tr w:rsidR="00A50EB5" w:rsidRPr="00A50EB5" w14:paraId="084C38FD" w14:textId="77777777" w:rsidTr="00A50EB5">
        <w:trPr>
          <w:cantSplit/>
        </w:trPr>
        <w:tc>
          <w:tcPr>
            <w:tcW w:w="625" w:type="pct"/>
            <w:vAlign w:val="center"/>
          </w:tcPr>
          <w:p w14:paraId="0C4515C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Same-system</w:t>
            </w:r>
          </w:p>
        </w:tc>
        <w:tc>
          <w:tcPr>
            <w:tcW w:w="625" w:type="pct"/>
            <w:vAlign w:val="center"/>
          </w:tcPr>
          <w:p w14:paraId="5160AD8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75</w:t>
            </w:r>
          </w:p>
        </w:tc>
        <w:tc>
          <w:tcPr>
            <w:tcW w:w="625" w:type="pct"/>
            <w:vAlign w:val="center"/>
          </w:tcPr>
          <w:p w14:paraId="04EE367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56.4%</w:t>
            </w:r>
          </w:p>
        </w:tc>
        <w:tc>
          <w:tcPr>
            <w:tcW w:w="625" w:type="pct"/>
            <w:vAlign w:val="center"/>
          </w:tcPr>
          <w:p w14:paraId="41AD2B7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814</w:t>
            </w:r>
          </w:p>
        </w:tc>
        <w:tc>
          <w:tcPr>
            <w:tcW w:w="625" w:type="pct"/>
            <w:vAlign w:val="center"/>
          </w:tcPr>
          <w:p w14:paraId="2B68FD6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0.808 (0.582-1.099)</w:t>
            </w:r>
          </w:p>
        </w:tc>
        <w:tc>
          <w:tcPr>
            <w:tcW w:w="625" w:type="pct"/>
            <w:vAlign w:val="center"/>
          </w:tcPr>
          <w:p w14:paraId="75CD057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51.4%</w:t>
            </w:r>
          </w:p>
        </w:tc>
        <w:tc>
          <w:tcPr>
            <w:tcW w:w="625" w:type="pct"/>
            <w:vAlign w:val="center"/>
          </w:tcPr>
          <w:p w14:paraId="5558A6C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22.0%</w:t>
            </w:r>
          </w:p>
        </w:tc>
        <w:tc>
          <w:tcPr>
            <w:tcW w:w="625" w:type="pct"/>
            <w:vAlign w:val="center"/>
          </w:tcPr>
          <w:p w14:paraId="4502679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0.083</w:t>
            </w:r>
          </w:p>
        </w:tc>
      </w:tr>
      <w:tr w:rsidR="00A50EB5" w:rsidRPr="00A50EB5" w14:paraId="4C28F8A4" w14:textId="77777777" w:rsidTr="00A50EB5">
        <w:trPr>
          <w:cantSplit/>
        </w:trPr>
        <w:tc>
          <w:tcPr>
            <w:tcW w:w="625" w:type="pct"/>
            <w:vAlign w:val="center"/>
          </w:tcPr>
          <w:p w14:paraId="6F32F96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Same-system</w:t>
            </w:r>
          </w:p>
        </w:tc>
        <w:tc>
          <w:tcPr>
            <w:tcW w:w="625" w:type="pct"/>
            <w:vAlign w:val="center"/>
          </w:tcPr>
          <w:p w14:paraId="1197E1A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100</w:t>
            </w:r>
          </w:p>
        </w:tc>
        <w:tc>
          <w:tcPr>
            <w:tcW w:w="625" w:type="pct"/>
            <w:vAlign w:val="center"/>
          </w:tcPr>
          <w:p w14:paraId="0AB8A4B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75.2%</w:t>
            </w:r>
          </w:p>
        </w:tc>
        <w:tc>
          <w:tcPr>
            <w:tcW w:w="625" w:type="pct"/>
            <w:vAlign w:val="center"/>
          </w:tcPr>
          <w:p w14:paraId="6893497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1086</w:t>
            </w:r>
          </w:p>
        </w:tc>
        <w:tc>
          <w:tcPr>
            <w:tcW w:w="625" w:type="pct"/>
            <w:vAlign w:val="center"/>
          </w:tcPr>
          <w:p w14:paraId="7576E77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0.851 (0.682-1.032)</w:t>
            </w:r>
          </w:p>
        </w:tc>
        <w:tc>
          <w:tcPr>
            <w:tcW w:w="625" w:type="pct"/>
            <w:vAlign w:val="center"/>
          </w:tcPr>
          <w:p w14:paraId="6D99F29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71.2%</w:t>
            </w:r>
          </w:p>
        </w:tc>
        <w:tc>
          <w:tcPr>
            <w:tcW w:w="625" w:type="pct"/>
            <w:vAlign w:val="center"/>
          </w:tcPr>
          <w:p w14:paraId="45FCF74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29.4%</w:t>
            </w:r>
          </w:p>
        </w:tc>
        <w:tc>
          <w:tcPr>
            <w:tcW w:w="625" w:type="pct"/>
            <w:vAlign w:val="center"/>
          </w:tcPr>
          <w:p w14:paraId="14A6557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0.083</w:t>
            </w:r>
          </w:p>
        </w:tc>
      </w:tr>
      <w:tr w:rsidR="00A50EB5" w:rsidRPr="00A50EB5" w14:paraId="395170DD" w14:textId="77777777" w:rsidTr="00A50EB5">
        <w:trPr>
          <w:cantSplit/>
        </w:trPr>
        <w:tc>
          <w:tcPr>
            <w:tcW w:w="625" w:type="pct"/>
            <w:vAlign w:val="center"/>
          </w:tcPr>
          <w:p w14:paraId="5AD7799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Same-system</w:t>
            </w:r>
          </w:p>
        </w:tc>
        <w:tc>
          <w:tcPr>
            <w:tcW w:w="625" w:type="pct"/>
            <w:vAlign w:val="center"/>
          </w:tcPr>
          <w:p w14:paraId="175FFFF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125</w:t>
            </w:r>
          </w:p>
        </w:tc>
        <w:tc>
          <w:tcPr>
            <w:tcW w:w="625" w:type="pct"/>
            <w:vAlign w:val="center"/>
          </w:tcPr>
          <w:p w14:paraId="58EBF22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94.0%</w:t>
            </w:r>
          </w:p>
        </w:tc>
        <w:tc>
          <w:tcPr>
            <w:tcW w:w="625" w:type="pct"/>
            <w:vAlign w:val="center"/>
          </w:tcPr>
          <w:p w14:paraId="6EB5EEA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1357</w:t>
            </w:r>
          </w:p>
        </w:tc>
        <w:tc>
          <w:tcPr>
            <w:tcW w:w="625" w:type="pct"/>
            <w:vAlign w:val="center"/>
          </w:tcPr>
          <w:p w14:paraId="54915BC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0.877 (0.781-0.932)</w:t>
            </w:r>
          </w:p>
        </w:tc>
        <w:tc>
          <w:tcPr>
            <w:tcW w:w="625" w:type="pct"/>
            <w:vAlign w:val="center"/>
          </w:tcPr>
          <w:p w14:paraId="6779C1E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93.6%</w:t>
            </w:r>
          </w:p>
        </w:tc>
        <w:tc>
          <w:tcPr>
            <w:tcW w:w="625" w:type="pct"/>
            <w:vAlign w:val="center"/>
          </w:tcPr>
          <w:p w14:paraId="4511472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22.2%</w:t>
            </w:r>
          </w:p>
        </w:tc>
        <w:tc>
          <w:tcPr>
            <w:tcW w:w="625" w:type="pct"/>
            <w:vAlign w:val="center"/>
          </w:tcPr>
          <w:p w14:paraId="42E3D43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0.083</w:t>
            </w:r>
          </w:p>
        </w:tc>
      </w:tr>
      <w:tr w:rsidR="00A50EB5" w:rsidRPr="00A50EB5" w14:paraId="68A96CC9" w14:textId="77777777" w:rsidTr="00A50EB5">
        <w:trPr>
          <w:cantSplit/>
        </w:trPr>
        <w:tc>
          <w:tcPr>
            <w:tcW w:w="625" w:type="pct"/>
            <w:vAlign w:val="center"/>
          </w:tcPr>
          <w:p w14:paraId="0463A62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Hospital-held-out</w:t>
            </w:r>
          </w:p>
        </w:tc>
        <w:tc>
          <w:tcPr>
            <w:tcW w:w="625" w:type="pct"/>
            <w:vAlign w:val="center"/>
          </w:tcPr>
          <w:p w14:paraId="7DEAE8A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w:t>
            </w:r>
          </w:p>
        </w:tc>
        <w:tc>
          <w:tcPr>
            <w:tcW w:w="625" w:type="pct"/>
            <w:vAlign w:val="center"/>
          </w:tcPr>
          <w:p w14:paraId="37EC6CD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3.7%</w:t>
            </w:r>
          </w:p>
        </w:tc>
        <w:tc>
          <w:tcPr>
            <w:tcW w:w="625" w:type="pct"/>
            <w:vAlign w:val="center"/>
          </w:tcPr>
          <w:p w14:paraId="04185F0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52</w:t>
            </w:r>
          </w:p>
        </w:tc>
        <w:tc>
          <w:tcPr>
            <w:tcW w:w="625" w:type="pct"/>
            <w:vAlign w:val="center"/>
          </w:tcPr>
          <w:p w14:paraId="3602711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0.340 (0.138-0.855)</w:t>
            </w:r>
          </w:p>
        </w:tc>
        <w:tc>
          <w:tcPr>
            <w:tcW w:w="625" w:type="pct"/>
            <w:vAlign w:val="center"/>
          </w:tcPr>
          <w:p w14:paraId="16B9B8F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3.4%</w:t>
            </w:r>
          </w:p>
        </w:tc>
        <w:tc>
          <w:tcPr>
            <w:tcW w:w="625" w:type="pct"/>
            <w:vAlign w:val="center"/>
          </w:tcPr>
          <w:p w14:paraId="6DF93F8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1.4%</w:t>
            </w:r>
          </w:p>
        </w:tc>
        <w:tc>
          <w:tcPr>
            <w:tcW w:w="625" w:type="pct"/>
            <w:vAlign w:val="center"/>
          </w:tcPr>
          <w:p w14:paraId="0E081F6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0.087</w:t>
            </w:r>
          </w:p>
        </w:tc>
      </w:tr>
      <w:tr w:rsidR="00A50EB5" w:rsidRPr="00A50EB5" w14:paraId="09E9893C" w14:textId="77777777" w:rsidTr="00A50EB5">
        <w:trPr>
          <w:cantSplit/>
        </w:trPr>
        <w:tc>
          <w:tcPr>
            <w:tcW w:w="625" w:type="pct"/>
            <w:vAlign w:val="center"/>
          </w:tcPr>
          <w:p w14:paraId="46BF47F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Hospital-held-out</w:t>
            </w:r>
          </w:p>
        </w:tc>
        <w:tc>
          <w:tcPr>
            <w:tcW w:w="625" w:type="pct"/>
            <w:vAlign w:val="center"/>
          </w:tcPr>
          <w:p w14:paraId="3338AC9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w:t>
            </w:r>
          </w:p>
        </w:tc>
        <w:tc>
          <w:tcPr>
            <w:tcW w:w="625" w:type="pct"/>
            <w:vAlign w:val="center"/>
          </w:tcPr>
          <w:p w14:paraId="2042F3B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7.5%</w:t>
            </w:r>
          </w:p>
        </w:tc>
        <w:tc>
          <w:tcPr>
            <w:tcW w:w="625" w:type="pct"/>
            <w:vAlign w:val="center"/>
          </w:tcPr>
          <w:p w14:paraId="438D079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105</w:t>
            </w:r>
          </w:p>
        </w:tc>
        <w:tc>
          <w:tcPr>
            <w:tcW w:w="625" w:type="pct"/>
            <w:vAlign w:val="center"/>
          </w:tcPr>
          <w:p w14:paraId="1469816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0.450 (0.214-1.077)</w:t>
            </w:r>
          </w:p>
        </w:tc>
        <w:tc>
          <w:tcPr>
            <w:tcW w:w="625" w:type="pct"/>
            <w:vAlign w:val="center"/>
          </w:tcPr>
          <w:p w14:paraId="2E9619D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6.4%</w:t>
            </w:r>
          </w:p>
        </w:tc>
        <w:tc>
          <w:tcPr>
            <w:tcW w:w="625" w:type="pct"/>
            <w:vAlign w:val="center"/>
          </w:tcPr>
          <w:p w14:paraId="4F69591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3.2%</w:t>
            </w:r>
          </w:p>
        </w:tc>
        <w:tc>
          <w:tcPr>
            <w:tcW w:w="625" w:type="pct"/>
            <w:vAlign w:val="center"/>
          </w:tcPr>
          <w:p w14:paraId="178CA6D9"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0.085</w:t>
            </w:r>
          </w:p>
        </w:tc>
      </w:tr>
      <w:tr w:rsidR="00A50EB5" w:rsidRPr="00A50EB5" w14:paraId="3B04F7CB" w14:textId="77777777" w:rsidTr="00A50EB5">
        <w:trPr>
          <w:cantSplit/>
        </w:trPr>
        <w:tc>
          <w:tcPr>
            <w:tcW w:w="625" w:type="pct"/>
            <w:vAlign w:val="center"/>
          </w:tcPr>
          <w:p w14:paraId="5F42715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Hospital-held-out</w:t>
            </w:r>
          </w:p>
        </w:tc>
        <w:tc>
          <w:tcPr>
            <w:tcW w:w="625" w:type="pct"/>
            <w:vAlign w:val="center"/>
          </w:tcPr>
          <w:p w14:paraId="130275A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20</w:t>
            </w:r>
          </w:p>
        </w:tc>
        <w:tc>
          <w:tcPr>
            <w:tcW w:w="625" w:type="pct"/>
            <w:vAlign w:val="center"/>
          </w:tcPr>
          <w:p w14:paraId="6067CB0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14.9%</w:t>
            </w:r>
          </w:p>
        </w:tc>
        <w:tc>
          <w:tcPr>
            <w:tcW w:w="625" w:type="pct"/>
            <w:vAlign w:val="center"/>
          </w:tcPr>
          <w:p w14:paraId="08E58D9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210</w:t>
            </w:r>
          </w:p>
        </w:tc>
        <w:tc>
          <w:tcPr>
            <w:tcW w:w="625" w:type="pct"/>
            <w:vAlign w:val="center"/>
          </w:tcPr>
          <w:p w14:paraId="6975817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0.568 (0.279-1.121)</w:t>
            </w:r>
          </w:p>
        </w:tc>
        <w:tc>
          <w:tcPr>
            <w:tcW w:w="625" w:type="pct"/>
            <w:vAlign w:val="center"/>
          </w:tcPr>
          <w:p w14:paraId="5BF59BF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15.4%</w:t>
            </w:r>
          </w:p>
        </w:tc>
        <w:tc>
          <w:tcPr>
            <w:tcW w:w="625" w:type="pct"/>
            <w:vAlign w:val="center"/>
          </w:tcPr>
          <w:p w14:paraId="786DEAE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6.0%</w:t>
            </w:r>
          </w:p>
        </w:tc>
        <w:tc>
          <w:tcPr>
            <w:tcW w:w="625" w:type="pct"/>
            <w:vAlign w:val="center"/>
          </w:tcPr>
          <w:p w14:paraId="2BD8E63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0.084</w:t>
            </w:r>
          </w:p>
        </w:tc>
      </w:tr>
      <w:tr w:rsidR="00A50EB5" w:rsidRPr="00A50EB5" w14:paraId="3EA9CC64" w14:textId="77777777" w:rsidTr="00A50EB5">
        <w:trPr>
          <w:cantSplit/>
        </w:trPr>
        <w:tc>
          <w:tcPr>
            <w:tcW w:w="625" w:type="pct"/>
            <w:vAlign w:val="center"/>
          </w:tcPr>
          <w:p w14:paraId="48A2ED7A"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lastRenderedPageBreak/>
              <w:t>Hospital-held-out</w:t>
            </w:r>
          </w:p>
        </w:tc>
        <w:tc>
          <w:tcPr>
            <w:tcW w:w="625" w:type="pct"/>
            <w:vAlign w:val="center"/>
          </w:tcPr>
          <w:p w14:paraId="2D7D4D2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30</w:t>
            </w:r>
          </w:p>
        </w:tc>
        <w:tc>
          <w:tcPr>
            <w:tcW w:w="625" w:type="pct"/>
            <w:vAlign w:val="center"/>
          </w:tcPr>
          <w:p w14:paraId="3B05468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22.4%</w:t>
            </w:r>
          </w:p>
        </w:tc>
        <w:tc>
          <w:tcPr>
            <w:tcW w:w="625" w:type="pct"/>
            <w:vAlign w:val="center"/>
          </w:tcPr>
          <w:p w14:paraId="546F8AD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315</w:t>
            </w:r>
          </w:p>
        </w:tc>
        <w:tc>
          <w:tcPr>
            <w:tcW w:w="625" w:type="pct"/>
            <w:vAlign w:val="center"/>
          </w:tcPr>
          <w:p w14:paraId="562D9C1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0.645 (0.331-1.173)</w:t>
            </w:r>
          </w:p>
        </w:tc>
        <w:tc>
          <w:tcPr>
            <w:tcW w:w="625" w:type="pct"/>
            <w:vAlign w:val="center"/>
          </w:tcPr>
          <w:p w14:paraId="2EC902B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25.6%</w:t>
            </w:r>
          </w:p>
        </w:tc>
        <w:tc>
          <w:tcPr>
            <w:tcW w:w="625" w:type="pct"/>
            <w:vAlign w:val="center"/>
          </w:tcPr>
          <w:p w14:paraId="707A8F8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11.6%</w:t>
            </w:r>
          </w:p>
        </w:tc>
        <w:tc>
          <w:tcPr>
            <w:tcW w:w="625" w:type="pct"/>
            <w:vAlign w:val="center"/>
          </w:tcPr>
          <w:p w14:paraId="28E04452"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0.084</w:t>
            </w:r>
          </w:p>
        </w:tc>
      </w:tr>
      <w:tr w:rsidR="00A50EB5" w:rsidRPr="00A50EB5" w14:paraId="71F566FA" w14:textId="77777777" w:rsidTr="00A50EB5">
        <w:trPr>
          <w:cantSplit/>
        </w:trPr>
        <w:tc>
          <w:tcPr>
            <w:tcW w:w="625" w:type="pct"/>
            <w:vAlign w:val="center"/>
          </w:tcPr>
          <w:p w14:paraId="1312E090"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Hospital-held-out</w:t>
            </w:r>
          </w:p>
        </w:tc>
        <w:tc>
          <w:tcPr>
            <w:tcW w:w="625" w:type="pct"/>
            <w:vAlign w:val="center"/>
          </w:tcPr>
          <w:p w14:paraId="563DABA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50</w:t>
            </w:r>
          </w:p>
        </w:tc>
        <w:tc>
          <w:tcPr>
            <w:tcW w:w="625" w:type="pct"/>
            <w:vAlign w:val="center"/>
          </w:tcPr>
          <w:p w14:paraId="16F03B5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37.3%</w:t>
            </w:r>
          </w:p>
        </w:tc>
        <w:tc>
          <w:tcPr>
            <w:tcW w:w="625" w:type="pct"/>
            <w:vAlign w:val="center"/>
          </w:tcPr>
          <w:p w14:paraId="1920EEC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524</w:t>
            </w:r>
          </w:p>
        </w:tc>
        <w:tc>
          <w:tcPr>
            <w:tcW w:w="625" w:type="pct"/>
            <w:vAlign w:val="center"/>
          </w:tcPr>
          <w:p w14:paraId="1F759D1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0.700 (0.441-1.133)</w:t>
            </w:r>
          </w:p>
        </w:tc>
        <w:tc>
          <w:tcPr>
            <w:tcW w:w="625" w:type="pct"/>
            <w:vAlign w:val="center"/>
          </w:tcPr>
          <w:p w14:paraId="7E184FC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26.4%</w:t>
            </w:r>
          </w:p>
        </w:tc>
        <w:tc>
          <w:tcPr>
            <w:tcW w:w="625" w:type="pct"/>
            <w:vAlign w:val="center"/>
          </w:tcPr>
          <w:p w14:paraId="05BA3A2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11.4%</w:t>
            </w:r>
          </w:p>
        </w:tc>
        <w:tc>
          <w:tcPr>
            <w:tcW w:w="625" w:type="pct"/>
            <w:vAlign w:val="center"/>
          </w:tcPr>
          <w:p w14:paraId="5455930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0.084</w:t>
            </w:r>
          </w:p>
        </w:tc>
      </w:tr>
      <w:tr w:rsidR="00A50EB5" w:rsidRPr="00A50EB5" w14:paraId="4D05A0B8" w14:textId="77777777" w:rsidTr="00A50EB5">
        <w:trPr>
          <w:cantSplit/>
        </w:trPr>
        <w:tc>
          <w:tcPr>
            <w:tcW w:w="625" w:type="pct"/>
            <w:vAlign w:val="center"/>
          </w:tcPr>
          <w:p w14:paraId="6E7C67F3"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Hospital-held-out</w:t>
            </w:r>
          </w:p>
        </w:tc>
        <w:tc>
          <w:tcPr>
            <w:tcW w:w="625" w:type="pct"/>
            <w:vAlign w:val="center"/>
          </w:tcPr>
          <w:p w14:paraId="35ACBB1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75</w:t>
            </w:r>
          </w:p>
        </w:tc>
        <w:tc>
          <w:tcPr>
            <w:tcW w:w="625" w:type="pct"/>
            <w:vAlign w:val="center"/>
          </w:tcPr>
          <w:p w14:paraId="3E92CEF4"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56.0%</w:t>
            </w:r>
          </w:p>
        </w:tc>
        <w:tc>
          <w:tcPr>
            <w:tcW w:w="625" w:type="pct"/>
            <w:vAlign w:val="center"/>
          </w:tcPr>
          <w:p w14:paraId="211A3FC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786</w:t>
            </w:r>
          </w:p>
        </w:tc>
        <w:tc>
          <w:tcPr>
            <w:tcW w:w="625" w:type="pct"/>
            <w:vAlign w:val="center"/>
          </w:tcPr>
          <w:p w14:paraId="070EA186"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0.744 (0.487-1.027)</w:t>
            </w:r>
          </w:p>
        </w:tc>
        <w:tc>
          <w:tcPr>
            <w:tcW w:w="625" w:type="pct"/>
            <w:vAlign w:val="center"/>
          </w:tcPr>
          <w:p w14:paraId="5757436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33.8%</w:t>
            </w:r>
          </w:p>
        </w:tc>
        <w:tc>
          <w:tcPr>
            <w:tcW w:w="625" w:type="pct"/>
            <w:vAlign w:val="center"/>
          </w:tcPr>
          <w:p w14:paraId="49C2C42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13.0%</w:t>
            </w:r>
          </w:p>
        </w:tc>
        <w:tc>
          <w:tcPr>
            <w:tcW w:w="625" w:type="pct"/>
            <w:vAlign w:val="center"/>
          </w:tcPr>
          <w:p w14:paraId="4FECDDC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0.084</w:t>
            </w:r>
          </w:p>
        </w:tc>
      </w:tr>
      <w:tr w:rsidR="00A50EB5" w:rsidRPr="00A50EB5" w14:paraId="36B25207" w14:textId="77777777" w:rsidTr="00A50EB5">
        <w:trPr>
          <w:cantSplit/>
        </w:trPr>
        <w:tc>
          <w:tcPr>
            <w:tcW w:w="625" w:type="pct"/>
            <w:vAlign w:val="center"/>
          </w:tcPr>
          <w:p w14:paraId="6BF382D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Hospital-held-out</w:t>
            </w:r>
          </w:p>
        </w:tc>
        <w:tc>
          <w:tcPr>
            <w:tcW w:w="625" w:type="pct"/>
            <w:vAlign w:val="center"/>
          </w:tcPr>
          <w:p w14:paraId="77F0582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100</w:t>
            </w:r>
          </w:p>
        </w:tc>
        <w:tc>
          <w:tcPr>
            <w:tcW w:w="625" w:type="pct"/>
            <w:vAlign w:val="center"/>
          </w:tcPr>
          <w:p w14:paraId="5A7405A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74.6%</w:t>
            </w:r>
          </w:p>
        </w:tc>
        <w:tc>
          <w:tcPr>
            <w:tcW w:w="625" w:type="pct"/>
            <w:vAlign w:val="center"/>
          </w:tcPr>
          <w:p w14:paraId="300A8867"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1049</w:t>
            </w:r>
          </w:p>
        </w:tc>
        <w:tc>
          <w:tcPr>
            <w:tcW w:w="625" w:type="pct"/>
            <w:vAlign w:val="center"/>
          </w:tcPr>
          <w:p w14:paraId="1F1FA6F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0.776 (0.585-0.951)</w:t>
            </w:r>
          </w:p>
        </w:tc>
        <w:tc>
          <w:tcPr>
            <w:tcW w:w="625" w:type="pct"/>
            <w:vAlign w:val="center"/>
          </w:tcPr>
          <w:p w14:paraId="1C56345E"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42.0%</w:t>
            </w:r>
          </w:p>
        </w:tc>
        <w:tc>
          <w:tcPr>
            <w:tcW w:w="625" w:type="pct"/>
            <w:vAlign w:val="center"/>
          </w:tcPr>
          <w:p w14:paraId="3223C8A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9.8%</w:t>
            </w:r>
          </w:p>
        </w:tc>
        <w:tc>
          <w:tcPr>
            <w:tcW w:w="625" w:type="pct"/>
            <w:vAlign w:val="center"/>
          </w:tcPr>
          <w:p w14:paraId="21D6561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0.084</w:t>
            </w:r>
          </w:p>
        </w:tc>
      </w:tr>
      <w:tr w:rsidR="00A50EB5" w:rsidRPr="00A50EB5" w14:paraId="175DB703" w14:textId="77777777" w:rsidTr="00A50EB5">
        <w:trPr>
          <w:cantSplit/>
        </w:trPr>
        <w:tc>
          <w:tcPr>
            <w:tcW w:w="625" w:type="pct"/>
            <w:vAlign w:val="center"/>
          </w:tcPr>
          <w:p w14:paraId="7201B8EC"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Hospital-held-out</w:t>
            </w:r>
          </w:p>
        </w:tc>
        <w:tc>
          <w:tcPr>
            <w:tcW w:w="625" w:type="pct"/>
            <w:vAlign w:val="center"/>
          </w:tcPr>
          <w:p w14:paraId="47202288"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125</w:t>
            </w:r>
          </w:p>
        </w:tc>
        <w:tc>
          <w:tcPr>
            <w:tcW w:w="625" w:type="pct"/>
            <w:vAlign w:val="center"/>
          </w:tcPr>
          <w:p w14:paraId="36D98B5B"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93.3%</w:t>
            </w:r>
          </w:p>
        </w:tc>
        <w:tc>
          <w:tcPr>
            <w:tcW w:w="625" w:type="pct"/>
            <w:vAlign w:val="center"/>
          </w:tcPr>
          <w:p w14:paraId="52C3F4A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1311</w:t>
            </w:r>
          </w:p>
        </w:tc>
        <w:tc>
          <w:tcPr>
            <w:tcW w:w="625" w:type="pct"/>
            <w:vAlign w:val="center"/>
          </w:tcPr>
          <w:p w14:paraId="428CA4C5"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0.789 (0.683-0.850)</w:t>
            </w:r>
          </w:p>
        </w:tc>
        <w:tc>
          <w:tcPr>
            <w:tcW w:w="625" w:type="pct"/>
            <w:vAlign w:val="center"/>
          </w:tcPr>
          <w:p w14:paraId="289A0311"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38.4%</w:t>
            </w:r>
          </w:p>
        </w:tc>
        <w:tc>
          <w:tcPr>
            <w:tcW w:w="625" w:type="pct"/>
            <w:vAlign w:val="center"/>
          </w:tcPr>
          <w:p w14:paraId="3774736D"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w:t>
            </w:r>
          </w:p>
        </w:tc>
        <w:tc>
          <w:tcPr>
            <w:tcW w:w="625" w:type="pct"/>
            <w:vAlign w:val="center"/>
          </w:tcPr>
          <w:p w14:paraId="097CE4AF" w14:textId="77777777" w:rsidR="00A50EB5" w:rsidRPr="00A50EB5" w:rsidRDefault="00A50EB5" w:rsidP="00A50EB5">
            <w:pPr>
              <w:jc w:val="center"/>
              <w:rPr>
                <w:rFonts w:ascii="Times New Roman" w:hAnsi="Times New Roman" w:cs="Times New Roman"/>
              </w:rPr>
            </w:pPr>
            <w:r w:rsidRPr="00A50EB5">
              <w:rPr>
                <w:rFonts w:ascii="Times New Roman" w:hAnsi="Times New Roman" w:cs="Times New Roman"/>
                <w:color w:val="000000"/>
                <w:sz w:val="16"/>
              </w:rPr>
              <w:t>0.084</w:t>
            </w:r>
          </w:p>
        </w:tc>
      </w:tr>
    </w:tbl>
    <w:p w14:paraId="03046908" w14:textId="537CC953" w:rsidR="00A50EB5" w:rsidRDefault="00A50EB5" w:rsidP="00A50EB5">
      <w:pPr>
        <w:spacing w:line="360" w:lineRule="auto"/>
        <w:rPr>
          <w:rFonts w:ascii="Times New Roman" w:hAnsi="Times New Roman" w:cs="Times New Roman"/>
        </w:rPr>
      </w:pPr>
      <w:r w:rsidRPr="00A50EB5">
        <w:rPr>
          <w:rFonts w:ascii="Times New Roman" w:hAnsi="Times New Roman" w:cs="Times New Roman"/>
        </w:rPr>
        <w:t>The largest tested target, 125 events, was also the first to meet the conditional same-system exploratory criterion (median slope in 0.8-1.2 and at least 90% of repetitions in that band). It used 93%-94% of available training-fold events, so repeated fits overlapped heavily. No hospital-held-out target met the criterion. With all available training data, cross-fitted slopes were 0.874 in patient-grouped evaluation and 0.786 in hospital-held-out evaluation. Only 2 of 67 hospitals had at least 10 events and only 1 had at least 20. The 125-event result is not a deployment threshold, total sample-size requirement, or single-hospital rule.</w:t>
      </w:r>
    </w:p>
    <w:p w14:paraId="3D3CE643" w14:textId="2EA9C23B" w:rsidR="00A50EB5" w:rsidRPr="00A50EB5" w:rsidRDefault="00A50EB5" w:rsidP="00A50EB5">
      <w:pPr>
        <w:spacing w:line="360" w:lineRule="auto"/>
        <w:rPr>
          <w:rFonts w:ascii="Times New Roman" w:hAnsi="Times New Roman" w:cs="Times New Roman"/>
          <w:b/>
          <w:bCs/>
        </w:rPr>
      </w:pPr>
      <w:r w:rsidRPr="00A50EB5">
        <w:rPr>
          <w:rFonts w:ascii="Times New Roman" w:hAnsi="Times New Roman" w:cs="Times New Roman"/>
          <w:b/>
          <w:bCs/>
        </w:rPr>
        <w:t>Supplementary Figure S1. Recalibration learning curve.</w:t>
      </w:r>
    </w:p>
    <w:p w14:paraId="0460F2AE" w14:textId="5DD7428F" w:rsidR="00A50EB5" w:rsidRDefault="00A50EB5" w:rsidP="00A50EB5">
      <w:pPr>
        <w:spacing w:line="360" w:lineRule="auto"/>
        <w:rPr>
          <w:rFonts w:ascii="Times New Roman" w:hAnsi="Times New Roman" w:cs="Times New Roman"/>
        </w:rPr>
      </w:pPr>
      <w:r>
        <w:rPr>
          <w:noProof/>
        </w:rPr>
        <w:lastRenderedPageBreak/>
        <w:drawing>
          <wp:inline distT="0" distB="0" distL="0" distR="0" wp14:anchorId="26214C6E" wp14:editId="4625638F">
            <wp:extent cx="5274310" cy="3882478"/>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_figure_s1_recalibration_learning_curve_v3.png"/>
                    <pic:cNvPicPr/>
                  </pic:nvPicPr>
                  <pic:blipFill>
                    <a:blip r:embed="rId4"/>
                    <a:stretch>
                      <a:fillRect/>
                    </a:stretch>
                  </pic:blipFill>
                  <pic:spPr>
                    <a:xfrm>
                      <a:off x="0" y="0"/>
                      <a:ext cx="5274310" cy="3882478"/>
                    </a:xfrm>
                    <a:prstGeom prst="rect">
                      <a:avLst/>
                    </a:prstGeom>
                  </pic:spPr>
                </pic:pic>
              </a:graphicData>
            </a:graphic>
          </wp:inline>
        </w:drawing>
      </w:r>
    </w:p>
    <w:p w14:paraId="615AF4F8" w14:textId="3BD6C8A6" w:rsidR="00A50EB5" w:rsidRPr="00A50EB5" w:rsidRDefault="00A50EB5" w:rsidP="00A50EB5">
      <w:pPr>
        <w:spacing w:line="360" w:lineRule="auto"/>
        <w:rPr>
          <w:rFonts w:ascii="Times New Roman" w:hAnsi="Times New Roman" w:cs="Times New Roman"/>
        </w:rPr>
      </w:pPr>
      <w:r w:rsidRPr="00A50EB5">
        <w:rPr>
          <w:rFonts w:ascii="Times New Roman" w:hAnsi="Times New Roman" w:cs="Times New Roman"/>
        </w:rPr>
        <w:t>Empirical 2.5th-97.5th percentile bands are shown; horizontal lines mark 1.0 and the exploratory 0.8-1.2 band.</w:t>
      </w:r>
    </w:p>
    <w:sectPr w:rsidR="00A50EB5" w:rsidRPr="00A50EB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896"/>
    <w:rsid w:val="0000259B"/>
    <w:rsid w:val="0000739E"/>
    <w:rsid w:val="000074C0"/>
    <w:rsid w:val="00010075"/>
    <w:rsid w:val="00010532"/>
    <w:rsid w:val="000128B5"/>
    <w:rsid w:val="0001572F"/>
    <w:rsid w:val="00016BF5"/>
    <w:rsid w:val="00017894"/>
    <w:rsid w:val="00025B5B"/>
    <w:rsid w:val="00027120"/>
    <w:rsid w:val="00033FCF"/>
    <w:rsid w:val="000420D7"/>
    <w:rsid w:val="00042A6D"/>
    <w:rsid w:val="000435BF"/>
    <w:rsid w:val="00045C60"/>
    <w:rsid w:val="00057C8F"/>
    <w:rsid w:val="000630C7"/>
    <w:rsid w:val="000647D5"/>
    <w:rsid w:val="00065387"/>
    <w:rsid w:val="000707B2"/>
    <w:rsid w:val="000722AF"/>
    <w:rsid w:val="00077419"/>
    <w:rsid w:val="00082FAF"/>
    <w:rsid w:val="000863FB"/>
    <w:rsid w:val="0009040A"/>
    <w:rsid w:val="00090730"/>
    <w:rsid w:val="000973B6"/>
    <w:rsid w:val="000A0670"/>
    <w:rsid w:val="000A1837"/>
    <w:rsid w:val="000A5363"/>
    <w:rsid w:val="000A7CD1"/>
    <w:rsid w:val="000B02A2"/>
    <w:rsid w:val="000B260C"/>
    <w:rsid w:val="000B4A5F"/>
    <w:rsid w:val="000B5E95"/>
    <w:rsid w:val="000B6E83"/>
    <w:rsid w:val="000C34A4"/>
    <w:rsid w:val="000C4E66"/>
    <w:rsid w:val="000C5C31"/>
    <w:rsid w:val="000D6EDB"/>
    <w:rsid w:val="000E0636"/>
    <w:rsid w:val="000E16B3"/>
    <w:rsid w:val="000E4280"/>
    <w:rsid w:val="000E4CC9"/>
    <w:rsid w:val="000E564C"/>
    <w:rsid w:val="000E7199"/>
    <w:rsid w:val="000E7F93"/>
    <w:rsid w:val="000F6F5E"/>
    <w:rsid w:val="001045FB"/>
    <w:rsid w:val="00105C6A"/>
    <w:rsid w:val="00105F40"/>
    <w:rsid w:val="0010613A"/>
    <w:rsid w:val="00111227"/>
    <w:rsid w:val="00114890"/>
    <w:rsid w:val="00117113"/>
    <w:rsid w:val="00121CD8"/>
    <w:rsid w:val="00124B95"/>
    <w:rsid w:val="001271F4"/>
    <w:rsid w:val="0013564C"/>
    <w:rsid w:val="00136AA6"/>
    <w:rsid w:val="00141AA1"/>
    <w:rsid w:val="00142F3B"/>
    <w:rsid w:val="00143C33"/>
    <w:rsid w:val="00147C9B"/>
    <w:rsid w:val="00152C24"/>
    <w:rsid w:val="00153591"/>
    <w:rsid w:val="001547F7"/>
    <w:rsid w:val="00154C86"/>
    <w:rsid w:val="00156D3A"/>
    <w:rsid w:val="00156EF8"/>
    <w:rsid w:val="001600B6"/>
    <w:rsid w:val="00162830"/>
    <w:rsid w:val="00164B73"/>
    <w:rsid w:val="00164F1D"/>
    <w:rsid w:val="00164F99"/>
    <w:rsid w:val="001650A9"/>
    <w:rsid w:val="0017153F"/>
    <w:rsid w:val="001743ED"/>
    <w:rsid w:val="00184235"/>
    <w:rsid w:val="00185ADA"/>
    <w:rsid w:val="00192A07"/>
    <w:rsid w:val="001977C9"/>
    <w:rsid w:val="001A03E4"/>
    <w:rsid w:val="001A3D9A"/>
    <w:rsid w:val="001A4065"/>
    <w:rsid w:val="001A78E3"/>
    <w:rsid w:val="001B22BD"/>
    <w:rsid w:val="001B732E"/>
    <w:rsid w:val="001C0035"/>
    <w:rsid w:val="001C0CB3"/>
    <w:rsid w:val="001C0D4C"/>
    <w:rsid w:val="001C14F9"/>
    <w:rsid w:val="001C3341"/>
    <w:rsid w:val="001D39C9"/>
    <w:rsid w:val="001D54CA"/>
    <w:rsid w:val="001D6A8E"/>
    <w:rsid w:val="001E012F"/>
    <w:rsid w:val="001E1FD4"/>
    <w:rsid w:val="001E35B2"/>
    <w:rsid w:val="001E61E5"/>
    <w:rsid w:val="001E7A09"/>
    <w:rsid w:val="001F38F2"/>
    <w:rsid w:val="001F70D5"/>
    <w:rsid w:val="001F7680"/>
    <w:rsid w:val="0020222F"/>
    <w:rsid w:val="00204083"/>
    <w:rsid w:val="00205257"/>
    <w:rsid w:val="00205838"/>
    <w:rsid w:val="00206C50"/>
    <w:rsid w:val="00210E4D"/>
    <w:rsid w:val="0021144B"/>
    <w:rsid w:val="00215EB6"/>
    <w:rsid w:val="00227948"/>
    <w:rsid w:val="00231309"/>
    <w:rsid w:val="00232E90"/>
    <w:rsid w:val="00241A8F"/>
    <w:rsid w:val="002438EB"/>
    <w:rsid w:val="00243E31"/>
    <w:rsid w:val="00247791"/>
    <w:rsid w:val="00250726"/>
    <w:rsid w:val="00252547"/>
    <w:rsid w:val="002531A1"/>
    <w:rsid w:val="00261D4C"/>
    <w:rsid w:val="002659A4"/>
    <w:rsid w:val="00267A3C"/>
    <w:rsid w:val="002740F2"/>
    <w:rsid w:val="0027728C"/>
    <w:rsid w:val="00285AB2"/>
    <w:rsid w:val="00286980"/>
    <w:rsid w:val="00293B4C"/>
    <w:rsid w:val="00296152"/>
    <w:rsid w:val="00297511"/>
    <w:rsid w:val="002A066F"/>
    <w:rsid w:val="002A11CB"/>
    <w:rsid w:val="002A3E8A"/>
    <w:rsid w:val="002A691C"/>
    <w:rsid w:val="002B01A0"/>
    <w:rsid w:val="002B0824"/>
    <w:rsid w:val="002B091B"/>
    <w:rsid w:val="002B0F7D"/>
    <w:rsid w:val="002B77D8"/>
    <w:rsid w:val="002C2790"/>
    <w:rsid w:val="002C3057"/>
    <w:rsid w:val="002D1FB5"/>
    <w:rsid w:val="002E342D"/>
    <w:rsid w:val="002E58DC"/>
    <w:rsid w:val="002F1B64"/>
    <w:rsid w:val="002F1F5D"/>
    <w:rsid w:val="002F271E"/>
    <w:rsid w:val="002F70F4"/>
    <w:rsid w:val="00301F82"/>
    <w:rsid w:val="0030627B"/>
    <w:rsid w:val="003129DC"/>
    <w:rsid w:val="00321675"/>
    <w:rsid w:val="00324DE2"/>
    <w:rsid w:val="003320FE"/>
    <w:rsid w:val="0033263D"/>
    <w:rsid w:val="0033283C"/>
    <w:rsid w:val="00333ECD"/>
    <w:rsid w:val="00340566"/>
    <w:rsid w:val="00343F89"/>
    <w:rsid w:val="003440CD"/>
    <w:rsid w:val="00345BFB"/>
    <w:rsid w:val="00345EE7"/>
    <w:rsid w:val="00346B66"/>
    <w:rsid w:val="00347AAA"/>
    <w:rsid w:val="00350B28"/>
    <w:rsid w:val="00350EF0"/>
    <w:rsid w:val="00352DBC"/>
    <w:rsid w:val="00357851"/>
    <w:rsid w:val="003579AB"/>
    <w:rsid w:val="0036152D"/>
    <w:rsid w:val="003642E7"/>
    <w:rsid w:val="00364A82"/>
    <w:rsid w:val="00365619"/>
    <w:rsid w:val="003728BC"/>
    <w:rsid w:val="00374BC8"/>
    <w:rsid w:val="00377F07"/>
    <w:rsid w:val="00392D7C"/>
    <w:rsid w:val="00397075"/>
    <w:rsid w:val="003A1753"/>
    <w:rsid w:val="003A5745"/>
    <w:rsid w:val="003B026B"/>
    <w:rsid w:val="003B15D3"/>
    <w:rsid w:val="003B2C29"/>
    <w:rsid w:val="003B4116"/>
    <w:rsid w:val="003B4230"/>
    <w:rsid w:val="003B77F9"/>
    <w:rsid w:val="003C057C"/>
    <w:rsid w:val="003C0BC6"/>
    <w:rsid w:val="003C4840"/>
    <w:rsid w:val="003C6200"/>
    <w:rsid w:val="003D030A"/>
    <w:rsid w:val="003D079B"/>
    <w:rsid w:val="003D1F5F"/>
    <w:rsid w:val="003D5B66"/>
    <w:rsid w:val="003D7EE8"/>
    <w:rsid w:val="003E16EA"/>
    <w:rsid w:val="003E2444"/>
    <w:rsid w:val="003E285E"/>
    <w:rsid w:val="003F0908"/>
    <w:rsid w:val="003F228A"/>
    <w:rsid w:val="003F668C"/>
    <w:rsid w:val="00403EEF"/>
    <w:rsid w:val="004042B6"/>
    <w:rsid w:val="00404450"/>
    <w:rsid w:val="00404FFA"/>
    <w:rsid w:val="00405232"/>
    <w:rsid w:val="0040613A"/>
    <w:rsid w:val="0040793B"/>
    <w:rsid w:val="0041076F"/>
    <w:rsid w:val="00413543"/>
    <w:rsid w:val="004164F3"/>
    <w:rsid w:val="00417C64"/>
    <w:rsid w:val="0042060E"/>
    <w:rsid w:val="00420A98"/>
    <w:rsid w:val="004212A2"/>
    <w:rsid w:val="004221A8"/>
    <w:rsid w:val="00423021"/>
    <w:rsid w:val="0042320F"/>
    <w:rsid w:val="00423531"/>
    <w:rsid w:val="00427CF4"/>
    <w:rsid w:val="00430E49"/>
    <w:rsid w:val="00435AB6"/>
    <w:rsid w:val="0044004B"/>
    <w:rsid w:val="00440D9D"/>
    <w:rsid w:val="0044163B"/>
    <w:rsid w:val="0044308B"/>
    <w:rsid w:val="00450128"/>
    <w:rsid w:val="004521D1"/>
    <w:rsid w:val="00454158"/>
    <w:rsid w:val="004614B6"/>
    <w:rsid w:val="004643F4"/>
    <w:rsid w:val="004649B8"/>
    <w:rsid w:val="00466BA0"/>
    <w:rsid w:val="00484EE8"/>
    <w:rsid w:val="00487BF0"/>
    <w:rsid w:val="00493BDF"/>
    <w:rsid w:val="00494234"/>
    <w:rsid w:val="00496A00"/>
    <w:rsid w:val="004A1728"/>
    <w:rsid w:val="004A49F9"/>
    <w:rsid w:val="004A5FF0"/>
    <w:rsid w:val="004B19BE"/>
    <w:rsid w:val="004C3FA7"/>
    <w:rsid w:val="004D0ED3"/>
    <w:rsid w:val="004D47B6"/>
    <w:rsid w:val="004D6300"/>
    <w:rsid w:val="004E0535"/>
    <w:rsid w:val="004F0709"/>
    <w:rsid w:val="004F0766"/>
    <w:rsid w:val="004F0DF5"/>
    <w:rsid w:val="004F363E"/>
    <w:rsid w:val="004F4341"/>
    <w:rsid w:val="004F465B"/>
    <w:rsid w:val="004F55D1"/>
    <w:rsid w:val="00500BC4"/>
    <w:rsid w:val="00503424"/>
    <w:rsid w:val="00505019"/>
    <w:rsid w:val="0050525E"/>
    <w:rsid w:val="00507A59"/>
    <w:rsid w:val="00532929"/>
    <w:rsid w:val="00532C11"/>
    <w:rsid w:val="00537629"/>
    <w:rsid w:val="0054041A"/>
    <w:rsid w:val="00541007"/>
    <w:rsid w:val="00546DCD"/>
    <w:rsid w:val="00554993"/>
    <w:rsid w:val="00555A09"/>
    <w:rsid w:val="0055662C"/>
    <w:rsid w:val="00557148"/>
    <w:rsid w:val="005620F6"/>
    <w:rsid w:val="005623DC"/>
    <w:rsid w:val="0056320C"/>
    <w:rsid w:val="00563F14"/>
    <w:rsid w:val="005642DF"/>
    <w:rsid w:val="00565965"/>
    <w:rsid w:val="005750FA"/>
    <w:rsid w:val="00580070"/>
    <w:rsid w:val="00585187"/>
    <w:rsid w:val="005853D2"/>
    <w:rsid w:val="00585D96"/>
    <w:rsid w:val="00587477"/>
    <w:rsid w:val="00590BF1"/>
    <w:rsid w:val="00590F79"/>
    <w:rsid w:val="00592EC5"/>
    <w:rsid w:val="00593092"/>
    <w:rsid w:val="00594902"/>
    <w:rsid w:val="00595653"/>
    <w:rsid w:val="005A341F"/>
    <w:rsid w:val="005A5F11"/>
    <w:rsid w:val="005B4E15"/>
    <w:rsid w:val="005B4F56"/>
    <w:rsid w:val="005B52B7"/>
    <w:rsid w:val="005B6165"/>
    <w:rsid w:val="005C40C5"/>
    <w:rsid w:val="005C4F19"/>
    <w:rsid w:val="005C6590"/>
    <w:rsid w:val="005C76C1"/>
    <w:rsid w:val="005C7B3F"/>
    <w:rsid w:val="005D6FA8"/>
    <w:rsid w:val="005E0F93"/>
    <w:rsid w:val="005E1D20"/>
    <w:rsid w:val="005E57E3"/>
    <w:rsid w:val="005E5FD0"/>
    <w:rsid w:val="005E5FDD"/>
    <w:rsid w:val="005F409A"/>
    <w:rsid w:val="005F41E0"/>
    <w:rsid w:val="005F4CCB"/>
    <w:rsid w:val="006001EB"/>
    <w:rsid w:val="00600E07"/>
    <w:rsid w:val="0060222A"/>
    <w:rsid w:val="00605FE2"/>
    <w:rsid w:val="006103FD"/>
    <w:rsid w:val="006157ED"/>
    <w:rsid w:val="00617175"/>
    <w:rsid w:val="00623B39"/>
    <w:rsid w:val="00623E90"/>
    <w:rsid w:val="00624334"/>
    <w:rsid w:val="00626C89"/>
    <w:rsid w:val="00630217"/>
    <w:rsid w:val="00631CAC"/>
    <w:rsid w:val="00635CDE"/>
    <w:rsid w:val="00644A66"/>
    <w:rsid w:val="00647497"/>
    <w:rsid w:val="00651756"/>
    <w:rsid w:val="0065192D"/>
    <w:rsid w:val="00653193"/>
    <w:rsid w:val="00663EAA"/>
    <w:rsid w:val="00663FF3"/>
    <w:rsid w:val="00667A28"/>
    <w:rsid w:val="006835CC"/>
    <w:rsid w:val="00684125"/>
    <w:rsid w:val="00684B09"/>
    <w:rsid w:val="00685931"/>
    <w:rsid w:val="00686933"/>
    <w:rsid w:val="0069213B"/>
    <w:rsid w:val="006958B4"/>
    <w:rsid w:val="006A2836"/>
    <w:rsid w:val="006A6C08"/>
    <w:rsid w:val="006B093C"/>
    <w:rsid w:val="006B646A"/>
    <w:rsid w:val="006B690E"/>
    <w:rsid w:val="006D0EDC"/>
    <w:rsid w:val="006D1346"/>
    <w:rsid w:val="006D3B9B"/>
    <w:rsid w:val="006D47AA"/>
    <w:rsid w:val="006D4F41"/>
    <w:rsid w:val="006D6161"/>
    <w:rsid w:val="006D62A4"/>
    <w:rsid w:val="006E10B3"/>
    <w:rsid w:val="006E17F4"/>
    <w:rsid w:val="006E1ACF"/>
    <w:rsid w:val="006E3B96"/>
    <w:rsid w:val="006F5C49"/>
    <w:rsid w:val="006F7647"/>
    <w:rsid w:val="00700FBB"/>
    <w:rsid w:val="007041EF"/>
    <w:rsid w:val="00704D87"/>
    <w:rsid w:val="00704FD3"/>
    <w:rsid w:val="00707C15"/>
    <w:rsid w:val="007100DD"/>
    <w:rsid w:val="0071023F"/>
    <w:rsid w:val="00715EBE"/>
    <w:rsid w:val="00716735"/>
    <w:rsid w:val="00722AD5"/>
    <w:rsid w:val="0072331E"/>
    <w:rsid w:val="00734DBB"/>
    <w:rsid w:val="007370B3"/>
    <w:rsid w:val="00744BCB"/>
    <w:rsid w:val="00745919"/>
    <w:rsid w:val="00745AD8"/>
    <w:rsid w:val="00746500"/>
    <w:rsid w:val="00750D49"/>
    <w:rsid w:val="007533AD"/>
    <w:rsid w:val="00755266"/>
    <w:rsid w:val="00756485"/>
    <w:rsid w:val="00756E08"/>
    <w:rsid w:val="007605FF"/>
    <w:rsid w:val="00764A87"/>
    <w:rsid w:val="007652EB"/>
    <w:rsid w:val="00766AD5"/>
    <w:rsid w:val="00777584"/>
    <w:rsid w:val="00781B68"/>
    <w:rsid w:val="00785080"/>
    <w:rsid w:val="007949CE"/>
    <w:rsid w:val="0079698B"/>
    <w:rsid w:val="007A40B9"/>
    <w:rsid w:val="007A7D88"/>
    <w:rsid w:val="007B2AF5"/>
    <w:rsid w:val="007B4055"/>
    <w:rsid w:val="007C1279"/>
    <w:rsid w:val="007C45E3"/>
    <w:rsid w:val="007D088C"/>
    <w:rsid w:val="007D0972"/>
    <w:rsid w:val="007D419A"/>
    <w:rsid w:val="007D4A4F"/>
    <w:rsid w:val="007E0D2F"/>
    <w:rsid w:val="007E542C"/>
    <w:rsid w:val="007E693E"/>
    <w:rsid w:val="007F1CD6"/>
    <w:rsid w:val="007F2789"/>
    <w:rsid w:val="007F40AC"/>
    <w:rsid w:val="007F462A"/>
    <w:rsid w:val="007F55DB"/>
    <w:rsid w:val="007F56D0"/>
    <w:rsid w:val="007F58C9"/>
    <w:rsid w:val="008037D8"/>
    <w:rsid w:val="00805155"/>
    <w:rsid w:val="00807F26"/>
    <w:rsid w:val="0081349E"/>
    <w:rsid w:val="008158D4"/>
    <w:rsid w:val="00815D31"/>
    <w:rsid w:val="0081763D"/>
    <w:rsid w:val="00820DFB"/>
    <w:rsid w:val="00824B9F"/>
    <w:rsid w:val="00834D72"/>
    <w:rsid w:val="00837EDA"/>
    <w:rsid w:val="00841529"/>
    <w:rsid w:val="008418A7"/>
    <w:rsid w:val="00845F42"/>
    <w:rsid w:val="008516C7"/>
    <w:rsid w:val="008637F4"/>
    <w:rsid w:val="00863803"/>
    <w:rsid w:val="00867E1A"/>
    <w:rsid w:val="008746AA"/>
    <w:rsid w:val="0087627E"/>
    <w:rsid w:val="00877401"/>
    <w:rsid w:val="00880573"/>
    <w:rsid w:val="00880F63"/>
    <w:rsid w:val="008811A8"/>
    <w:rsid w:val="00881746"/>
    <w:rsid w:val="00892C95"/>
    <w:rsid w:val="008930C7"/>
    <w:rsid w:val="00894050"/>
    <w:rsid w:val="00896BAE"/>
    <w:rsid w:val="008A0FBC"/>
    <w:rsid w:val="008B02BB"/>
    <w:rsid w:val="008B4015"/>
    <w:rsid w:val="008B5124"/>
    <w:rsid w:val="008B55CC"/>
    <w:rsid w:val="008B5926"/>
    <w:rsid w:val="008B5E01"/>
    <w:rsid w:val="008C1839"/>
    <w:rsid w:val="008C2A77"/>
    <w:rsid w:val="008C3967"/>
    <w:rsid w:val="008C7337"/>
    <w:rsid w:val="008D30DD"/>
    <w:rsid w:val="008D4BA0"/>
    <w:rsid w:val="008D5AB9"/>
    <w:rsid w:val="008E5857"/>
    <w:rsid w:val="008E5963"/>
    <w:rsid w:val="008E7F60"/>
    <w:rsid w:val="008F08EC"/>
    <w:rsid w:val="008F1104"/>
    <w:rsid w:val="008F4C70"/>
    <w:rsid w:val="008F553A"/>
    <w:rsid w:val="0090275C"/>
    <w:rsid w:val="0090514C"/>
    <w:rsid w:val="00905AC7"/>
    <w:rsid w:val="009105E3"/>
    <w:rsid w:val="00910A54"/>
    <w:rsid w:val="00911DCC"/>
    <w:rsid w:val="00913648"/>
    <w:rsid w:val="00913887"/>
    <w:rsid w:val="0091476C"/>
    <w:rsid w:val="009148AE"/>
    <w:rsid w:val="00915D68"/>
    <w:rsid w:val="00924617"/>
    <w:rsid w:val="0093001F"/>
    <w:rsid w:val="00933BF9"/>
    <w:rsid w:val="00936A0F"/>
    <w:rsid w:val="00940D14"/>
    <w:rsid w:val="009425F7"/>
    <w:rsid w:val="009465A7"/>
    <w:rsid w:val="00947238"/>
    <w:rsid w:val="00950AC0"/>
    <w:rsid w:val="00950D58"/>
    <w:rsid w:val="009549AF"/>
    <w:rsid w:val="00956D0E"/>
    <w:rsid w:val="00964E72"/>
    <w:rsid w:val="00970238"/>
    <w:rsid w:val="009708F3"/>
    <w:rsid w:val="00973FFC"/>
    <w:rsid w:val="0097650C"/>
    <w:rsid w:val="0097760F"/>
    <w:rsid w:val="009817DC"/>
    <w:rsid w:val="00983642"/>
    <w:rsid w:val="00986214"/>
    <w:rsid w:val="00986B2E"/>
    <w:rsid w:val="00987BEE"/>
    <w:rsid w:val="00995997"/>
    <w:rsid w:val="009976F9"/>
    <w:rsid w:val="009A01FA"/>
    <w:rsid w:val="009A38C5"/>
    <w:rsid w:val="009A3F30"/>
    <w:rsid w:val="009A595B"/>
    <w:rsid w:val="009B05ED"/>
    <w:rsid w:val="009B1511"/>
    <w:rsid w:val="009B2D36"/>
    <w:rsid w:val="009B79B7"/>
    <w:rsid w:val="009D3F85"/>
    <w:rsid w:val="009D40B7"/>
    <w:rsid w:val="009D6BC7"/>
    <w:rsid w:val="009E16F0"/>
    <w:rsid w:val="009E290C"/>
    <w:rsid w:val="009E36F0"/>
    <w:rsid w:val="009E3970"/>
    <w:rsid w:val="009E5512"/>
    <w:rsid w:val="009F1B66"/>
    <w:rsid w:val="009F1E8C"/>
    <w:rsid w:val="009F386B"/>
    <w:rsid w:val="009F3899"/>
    <w:rsid w:val="009F4722"/>
    <w:rsid w:val="009F51FF"/>
    <w:rsid w:val="009F6190"/>
    <w:rsid w:val="00A038CD"/>
    <w:rsid w:val="00A067E5"/>
    <w:rsid w:val="00A06BFD"/>
    <w:rsid w:val="00A10EAD"/>
    <w:rsid w:val="00A113B2"/>
    <w:rsid w:val="00A1185A"/>
    <w:rsid w:val="00A13E14"/>
    <w:rsid w:val="00A13EE2"/>
    <w:rsid w:val="00A22596"/>
    <w:rsid w:val="00A317AC"/>
    <w:rsid w:val="00A4101A"/>
    <w:rsid w:val="00A45DDC"/>
    <w:rsid w:val="00A50EB5"/>
    <w:rsid w:val="00A5524A"/>
    <w:rsid w:val="00A56416"/>
    <w:rsid w:val="00A6005D"/>
    <w:rsid w:val="00A61EE5"/>
    <w:rsid w:val="00A625A5"/>
    <w:rsid w:val="00A64E7B"/>
    <w:rsid w:val="00A66382"/>
    <w:rsid w:val="00A714BE"/>
    <w:rsid w:val="00A7314C"/>
    <w:rsid w:val="00A73B6D"/>
    <w:rsid w:val="00A75296"/>
    <w:rsid w:val="00A769DE"/>
    <w:rsid w:val="00A77BD9"/>
    <w:rsid w:val="00A8206E"/>
    <w:rsid w:val="00A87D3B"/>
    <w:rsid w:val="00A913C2"/>
    <w:rsid w:val="00A9283D"/>
    <w:rsid w:val="00A94BD9"/>
    <w:rsid w:val="00A956A3"/>
    <w:rsid w:val="00AA2896"/>
    <w:rsid w:val="00AA2D10"/>
    <w:rsid w:val="00AA5A5C"/>
    <w:rsid w:val="00AB0115"/>
    <w:rsid w:val="00AB4EAB"/>
    <w:rsid w:val="00AB6702"/>
    <w:rsid w:val="00AC0016"/>
    <w:rsid w:val="00AC6681"/>
    <w:rsid w:val="00AC7207"/>
    <w:rsid w:val="00AD2390"/>
    <w:rsid w:val="00AD3ABE"/>
    <w:rsid w:val="00AD4A27"/>
    <w:rsid w:val="00AE0989"/>
    <w:rsid w:val="00AE11B0"/>
    <w:rsid w:val="00AE1D4E"/>
    <w:rsid w:val="00AE311D"/>
    <w:rsid w:val="00AF1E44"/>
    <w:rsid w:val="00AF5BEE"/>
    <w:rsid w:val="00AF713F"/>
    <w:rsid w:val="00B012F2"/>
    <w:rsid w:val="00B03E0D"/>
    <w:rsid w:val="00B12615"/>
    <w:rsid w:val="00B132D1"/>
    <w:rsid w:val="00B14A43"/>
    <w:rsid w:val="00B14EA9"/>
    <w:rsid w:val="00B165E1"/>
    <w:rsid w:val="00B218B5"/>
    <w:rsid w:val="00B23733"/>
    <w:rsid w:val="00B251F8"/>
    <w:rsid w:val="00B27EAB"/>
    <w:rsid w:val="00B31921"/>
    <w:rsid w:val="00B3292B"/>
    <w:rsid w:val="00B3347D"/>
    <w:rsid w:val="00B36DBB"/>
    <w:rsid w:val="00B36DD9"/>
    <w:rsid w:val="00B37D1C"/>
    <w:rsid w:val="00B43DD8"/>
    <w:rsid w:val="00B4764B"/>
    <w:rsid w:val="00B565CA"/>
    <w:rsid w:val="00B56E25"/>
    <w:rsid w:val="00B571F8"/>
    <w:rsid w:val="00B607B4"/>
    <w:rsid w:val="00B60E3A"/>
    <w:rsid w:val="00B63F51"/>
    <w:rsid w:val="00B64C1A"/>
    <w:rsid w:val="00B66C74"/>
    <w:rsid w:val="00B73959"/>
    <w:rsid w:val="00B73C5A"/>
    <w:rsid w:val="00B73E24"/>
    <w:rsid w:val="00B74931"/>
    <w:rsid w:val="00B75D64"/>
    <w:rsid w:val="00B80E43"/>
    <w:rsid w:val="00B811F9"/>
    <w:rsid w:val="00B84B19"/>
    <w:rsid w:val="00B85110"/>
    <w:rsid w:val="00B8648F"/>
    <w:rsid w:val="00B87205"/>
    <w:rsid w:val="00B90279"/>
    <w:rsid w:val="00B91E8A"/>
    <w:rsid w:val="00BA0E78"/>
    <w:rsid w:val="00BA223B"/>
    <w:rsid w:val="00BA37AD"/>
    <w:rsid w:val="00BA43A0"/>
    <w:rsid w:val="00BA4D63"/>
    <w:rsid w:val="00BB3012"/>
    <w:rsid w:val="00BB3930"/>
    <w:rsid w:val="00BB560D"/>
    <w:rsid w:val="00BC1593"/>
    <w:rsid w:val="00BC3B36"/>
    <w:rsid w:val="00BC3DD8"/>
    <w:rsid w:val="00BD4E0D"/>
    <w:rsid w:val="00BE258A"/>
    <w:rsid w:val="00BE46D3"/>
    <w:rsid w:val="00BE4E4F"/>
    <w:rsid w:val="00BE56B5"/>
    <w:rsid w:val="00BF7A4F"/>
    <w:rsid w:val="00C0181D"/>
    <w:rsid w:val="00C03CBE"/>
    <w:rsid w:val="00C047DF"/>
    <w:rsid w:val="00C04B07"/>
    <w:rsid w:val="00C05CD4"/>
    <w:rsid w:val="00C07E88"/>
    <w:rsid w:val="00C135FA"/>
    <w:rsid w:val="00C150BD"/>
    <w:rsid w:val="00C15ABF"/>
    <w:rsid w:val="00C23E2B"/>
    <w:rsid w:val="00C23E5B"/>
    <w:rsid w:val="00C242E0"/>
    <w:rsid w:val="00C24D65"/>
    <w:rsid w:val="00C25DB2"/>
    <w:rsid w:val="00C30C39"/>
    <w:rsid w:val="00C30D5F"/>
    <w:rsid w:val="00C3788E"/>
    <w:rsid w:val="00C40BD7"/>
    <w:rsid w:val="00C40BE1"/>
    <w:rsid w:val="00C410F7"/>
    <w:rsid w:val="00C4339B"/>
    <w:rsid w:val="00C438B7"/>
    <w:rsid w:val="00C46410"/>
    <w:rsid w:val="00C46B3C"/>
    <w:rsid w:val="00C56109"/>
    <w:rsid w:val="00C6314B"/>
    <w:rsid w:val="00C634D9"/>
    <w:rsid w:val="00C63670"/>
    <w:rsid w:val="00C64555"/>
    <w:rsid w:val="00C66569"/>
    <w:rsid w:val="00C70788"/>
    <w:rsid w:val="00C713BD"/>
    <w:rsid w:val="00C756B7"/>
    <w:rsid w:val="00C76587"/>
    <w:rsid w:val="00C80408"/>
    <w:rsid w:val="00C8128F"/>
    <w:rsid w:val="00C826B9"/>
    <w:rsid w:val="00C850DB"/>
    <w:rsid w:val="00C853D2"/>
    <w:rsid w:val="00C855C5"/>
    <w:rsid w:val="00C86BAA"/>
    <w:rsid w:val="00C93289"/>
    <w:rsid w:val="00C93876"/>
    <w:rsid w:val="00C95797"/>
    <w:rsid w:val="00CA26E5"/>
    <w:rsid w:val="00CA321B"/>
    <w:rsid w:val="00CA4F8D"/>
    <w:rsid w:val="00CA5AFA"/>
    <w:rsid w:val="00CA692F"/>
    <w:rsid w:val="00CB0293"/>
    <w:rsid w:val="00CB06C4"/>
    <w:rsid w:val="00CB0B54"/>
    <w:rsid w:val="00CB1075"/>
    <w:rsid w:val="00CB185E"/>
    <w:rsid w:val="00CB1997"/>
    <w:rsid w:val="00CB1D01"/>
    <w:rsid w:val="00CB7369"/>
    <w:rsid w:val="00CB7756"/>
    <w:rsid w:val="00CC31D6"/>
    <w:rsid w:val="00CC586C"/>
    <w:rsid w:val="00CC5C42"/>
    <w:rsid w:val="00CD052A"/>
    <w:rsid w:val="00CD0E54"/>
    <w:rsid w:val="00CD2169"/>
    <w:rsid w:val="00CD579B"/>
    <w:rsid w:val="00CD70B3"/>
    <w:rsid w:val="00CE14AA"/>
    <w:rsid w:val="00CE1FAD"/>
    <w:rsid w:val="00CF28E1"/>
    <w:rsid w:val="00CF310B"/>
    <w:rsid w:val="00CF4054"/>
    <w:rsid w:val="00CF6304"/>
    <w:rsid w:val="00CF7A8C"/>
    <w:rsid w:val="00D006AC"/>
    <w:rsid w:val="00D027B2"/>
    <w:rsid w:val="00D02ADB"/>
    <w:rsid w:val="00D03BA9"/>
    <w:rsid w:val="00D04CB8"/>
    <w:rsid w:val="00D051CD"/>
    <w:rsid w:val="00D0607B"/>
    <w:rsid w:val="00D07B15"/>
    <w:rsid w:val="00D10510"/>
    <w:rsid w:val="00D108E3"/>
    <w:rsid w:val="00D1645C"/>
    <w:rsid w:val="00D20486"/>
    <w:rsid w:val="00D20C95"/>
    <w:rsid w:val="00D212A7"/>
    <w:rsid w:val="00D253BF"/>
    <w:rsid w:val="00D26680"/>
    <w:rsid w:val="00D27063"/>
    <w:rsid w:val="00D30DF6"/>
    <w:rsid w:val="00D36518"/>
    <w:rsid w:val="00D36E9C"/>
    <w:rsid w:val="00D3760C"/>
    <w:rsid w:val="00D40BE6"/>
    <w:rsid w:val="00D4102A"/>
    <w:rsid w:val="00D41092"/>
    <w:rsid w:val="00D41281"/>
    <w:rsid w:val="00D42C69"/>
    <w:rsid w:val="00D462F5"/>
    <w:rsid w:val="00D557D6"/>
    <w:rsid w:val="00D571E1"/>
    <w:rsid w:val="00D577E6"/>
    <w:rsid w:val="00D61176"/>
    <w:rsid w:val="00D72479"/>
    <w:rsid w:val="00D752DC"/>
    <w:rsid w:val="00D82CC2"/>
    <w:rsid w:val="00D83966"/>
    <w:rsid w:val="00D86585"/>
    <w:rsid w:val="00D87E14"/>
    <w:rsid w:val="00D93F82"/>
    <w:rsid w:val="00D95400"/>
    <w:rsid w:val="00D96B67"/>
    <w:rsid w:val="00D96F64"/>
    <w:rsid w:val="00DA5369"/>
    <w:rsid w:val="00DA73AB"/>
    <w:rsid w:val="00DB1D19"/>
    <w:rsid w:val="00DC16BE"/>
    <w:rsid w:val="00DC2A66"/>
    <w:rsid w:val="00DC6690"/>
    <w:rsid w:val="00DC6A62"/>
    <w:rsid w:val="00DD1DE4"/>
    <w:rsid w:val="00DD2F8D"/>
    <w:rsid w:val="00DD560D"/>
    <w:rsid w:val="00DD7CF0"/>
    <w:rsid w:val="00DE4222"/>
    <w:rsid w:val="00DE4777"/>
    <w:rsid w:val="00DE5A27"/>
    <w:rsid w:val="00DF0BD5"/>
    <w:rsid w:val="00DF1325"/>
    <w:rsid w:val="00DF1530"/>
    <w:rsid w:val="00DF5375"/>
    <w:rsid w:val="00E10B97"/>
    <w:rsid w:val="00E11C37"/>
    <w:rsid w:val="00E12877"/>
    <w:rsid w:val="00E135E8"/>
    <w:rsid w:val="00E175FD"/>
    <w:rsid w:val="00E17C2D"/>
    <w:rsid w:val="00E235BD"/>
    <w:rsid w:val="00E25D18"/>
    <w:rsid w:val="00E25EB3"/>
    <w:rsid w:val="00E30B5E"/>
    <w:rsid w:val="00E30CA5"/>
    <w:rsid w:val="00E373A2"/>
    <w:rsid w:val="00E41665"/>
    <w:rsid w:val="00E4270A"/>
    <w:rsid w:val="00E4332D"/>
    <w:rsid w:val="00E44B26"/>
    <w:rsid w:val="00E45E95"/>
    <w:rsid w:val="00E469B6"/>
    <w:rsid w:val="00E53D95"/>
    <w:rsid w:val="00E5692D"/>
    <w:rsid w:val="00E5701B"/>
    <w:rsid w:val="00E620E1"/>
    <w:rsid w:val="00E66791"/>
    <w:rsid w:val="00E70403"/>
    <w:rsid w:val="00E71B0E"/>
    <w:rsid w:val="00E73490"/>
    <w:rsid w:val="00E80B7C"/>
    <w:rsid w:val="00E83134"/>
    <w:rsid w:val="00E84D7C"/>
    <w:rsid w:val="00E85CA5"/>
    <w:rsid w:val="00E86276"/>
    <w:rsid w:val="00E862B0"/>
    <w:rsid w:val="00E86B50"/>
    <w:rsid w:val="00E87699"/>
    <w:rsid w:val="00E910AB"/>
    <w:rsid w:val="00E9680D"/>
    <w:rsid w:val="00E97F01"/>
    <w:rsid w:val="00EA4BFD"/>
    <w:rsid w:val="00EA5391"/>
    <w:rsid w:val="00EA6750"/>
    <w:rsid w:val="00EB1EA3"/>
    <w:rsid w:val="00EB290F"/>
    <w:rsid w:val="00EB560C"/>
    <w:rsid w:val="00EB7912"/>
    <w:rsid w:val="00EC61D4"/>
    <w:rsid w:val="00ED6B9E"/>
    <w:rsid w:val="00ED6F43"/>
    <w:rsid w:val="00EE18B6"/>
    <w:rsid w:val="00EE2314"/>
    <w:rsid w:val="00EE3183"/>
    <w:rsid w:val="00EE34C8"/>
    <w:rsid w:val="00EE4E81"/>
    <w:rsid w:val="00EE7F0F"/>
    <w:rsid w:val="00EF5C0C"/>
    <w:rsid w:val="00F0208E"/>
    <w:rsid w:val="00F02899"/>
    <w:rsid w:val="00F04B86"/>
    <w:rsid w:val="00F05CB6"/>
    <w:rsid w:val="00F06A89"/>
    <w:rsid w:val="00F103D9"/>
    <w:rsid w:val="00F149A4"/>
    <w:rsid w:val="00F2004C"/>
    <w:rsid w:val="00F21FD7"/>
    <w:rsid w:val="00F2368C"/>
    <w:rsid w:val="00F3043E"/>
    <w:rsid w:val="00F32964"/>
    <w:rsid w:val="00F34CA9"/>
    <w:rsid w:val="00F351DF"/>
    <w:rsid w:val="00F41E01"/>
    <w:rsid w:val="00F442D6"/>
    <w:rsid w:val="00F45748"/>
    <w:rsid w:val="00F4774B"/>
    <w:rsid w:val="00F523FE"/>
    <w:rsid w:val="00F55197"/>
    <w:rsid w:val="00F61CE2"/>
    <w:rsid w:val="00F641EB"/>
    <w:rsid w:val="00F66C9B"/>
    <w:rsid w:val="00F751FA"/>
    <w:rsid w:val="00F81B15"/>
    <w:rsid w:val="00F82AD7"/>
    <w:rsid w:val="00F86F8B"/>
    <w:rsid w:val="00F91AD5"/>
    <w:rsid w:val="00F92D88"/>
    <w:rsid w:val="00F95573"/>
    <w:rsid w:val="00FA0AC9"/>
    <w:rsid w:val="00FA13A5"/>
    <w:rsid w:val="00FA1E68"/>
    <w:rsid w:val="00FA6997"/>
    <w:rsid w:val="00FB2079"/>
    <w:rsid w:val="00FB27DD"/>
    <w:rsid w:val="00FC1465"/>
    <w:rsid w:val="00FC152A"/>
    <w:rsid w:val="00FC1A91"/>
    <w:rsid w:val="00FD4D9D"/>
    <w:rsid w:val="00FE38F5"/>
    <w:rsid w:val="00FE3C35"/>
    <w:rsid w:val="00FE4CD7"/>
    <w:rsid w:val="00FE5A3C"/>
    <w:rsid w:val="00FE6701"/>
    <w:rsid w:val="00FF22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DC06496"/>
  <w15:chartTrackingRefBased/>
  <w15:docId w15:val="{FE4F1D7B-65AC-C847-A4AA-953FFE5A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A289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AA289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A289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A289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A289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AA2896"/>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A289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A289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A289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A289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AA289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A289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A2896"/>
    <w:rPr>
      <w:rFonts w:cstheme="majorBidi"/>
      <w:color w:val="0F4761" w:themeColor="accent1" w:themeShade="BF"/>
      <w:sz w:val="28"/>
      <w:szCs w:val="28"/>
    </w:rPr>
  </w:style>
  <w:style w:type="character" w:customStyle="1" w:styleId="50">
    <w:name w:val="标题 5 字符"/>
    <w:basedOn w:val="a0"/>
    <w:link w:val="5"/>
    <w:uiPriority w:val="9"/>
    <w:semiHidden/>
    <w:rsid w:val="00AA2896"/>
    <w:rPr>
      <w:rFonts w:cstheme="majorBidi"/>
      <w:color w:val="0F4761" w:themeColor="accent1" w:themeShade="BF"/>
      <w:sz w:val="24"/>
    </w:rPr>
  </w:style>
  <w:style w:type="character" w:customStyle="1" w:styleId="60">
    <w:name w:val="标题 6 字符"/>
    <w:basedOn w:val="a0"/>
    <w:link w:val="6"/>
    <w:uiPriority w:val="9"/>
    <w:semiHidden/>
    <w:rsid w:val="00AA2896"/>
    <w:rPr>
      <w:rFonts w:cstheme="majorBidi"/>
      <w:b/>
      <w:bCs/>
      <w:color w:val="0F4761" w:themeColor="accent1" w:themeShade="BF"/>
    </w:rPr>
  </w:style>
  <w:style w:type="character" w:customStyle="1" w:styleId="70">
    <w:name w:val="标题 7 字符"/>
    <w:basedOn w:val="a0"/>
    <w:link w:val="7"/>
    <w:uiPriority w:val="9"/>
    <w:semiHidden/>
    <w:rsid w:val="00AA2896"/>
    <w:rPr>
      <w:rFonts w:cstheme="majorBidi"/>
      <w:b/>
      <w:bCs/>
      <w:color w:val="595959" w:themeColor="text1" w:themeTint="A6"/>
    </w:rPr>
  </w:style>
  <w:style w:type="character" w:customStyle="1" w:styleId="80">
    <w:name w:val="标题 8 字符"/>
    <w:basedOn w:val="a0"/>
    <w:link w:val="8"/>
    <w:uiPriority w:val="9"/>
    <w:semiHidden/>
    <w:rsid w:val="00AA2896"/>
    <w:rPr>
      <w:rFonts w:cstheme="majorBidi"/>
      <w:color w:val="595959" w:themeColor="text1" w:themeTint="A6"/>
    </w:rPr>
  </w:style>
  <w:style w:type="character" w:customStyle="1" w:styleId="90">
    <w:name w:val="标题 9 字符"/>
    <w:basedOn w:val="a0"/>
    <w:link w:val="9"/>
    <w:uiPriority w:val="9"/>
    <w:semiHidden/>
    <w:rsid w:val="00AA2896"/>
    <w:rPr>
      <w:rFonts w:eastAsiaTheme="majorEastAsia" w:cstheme="majorBidi"/>
      <w:color w:val="595959" w:themeColor="text1" w:themeTint="A6"/>
    </w:rPr>
  </w:style>
  <w:style w:type="paragraph" w:styleId="a3">
    <w:name w:val="Title"/>
    <w:basedOn w:val="a"/>
    <w:next w:val="a"/>
    <w:link w:val="a4"/>
    <w:uiPriority w:val="10"/>
    <w:qFormat/>
    <w:rsid w:val="00AA289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A28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289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A289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2896"/>
    <w:pPr>
      <w:spacing w:before="160" w:after="160"/>
      <w:jc w:val="center"/>
    </w:pPr>
    <w:rPr>
      <w:i/>
      <w:iCs/>
      <w:color w:val="404040" w:themeColor="text1" w:themeTint="BF"/>
    </w:rPr>
  </w:style>
  <w:style w:type="character" w:customStyle="1" w:styleId="a8">
    <w:name w:val="引用 字符"/>
    <w:basedOn w:val="a0"/>
    <w:link w:val="a7"/>
    <w:uiPriority w:val="29"/>
    <w:rsid w:val="00AA2896"/>
    <w:rPr>
      <w:i/>
      <w:iCs/>
      <w:color w:val="404040" w:themeColor="text1" w:themeTint="BF"/>
    </w:rPr>
  </w:style>
  <w:style w:type="paragraph" w:styleId="a9">
    <w:name w:val="List Paragraph"/>
    <w:basedOn w:val="a"/>
    <w:uiPriority w:val="34"/>
    <w:qFormat/>
    <w:rsid w:val="00AA2896"/>
    <w:pPr>
      <w:ind w:left="720"/>
      <w:contextualSpacing/>
    </w:pPr>
  </w:style>
  <w:style w:type="character" w:styleId="aa">
    <w:name w:val="Intense Emphasis"/>
    <w:basedOn w:val="a0"/>
    <w:uiPriority w:val="21"/>
    <w:qFormat/>
    <w:rsid w:val="00AA2896"/>
    <w:rPr>
      <w:i/>
      <w:iCs/>
      <w:color w:val="0F4761" w:themeColor="accent1" w:themeShade="BF"/>
    </w:rPr>
  </w:style>
  <w:style w:type="paragraph" w:styleId="ab">
    <w:name w:val="Intense Quote"/>
    <w:basedOn w:val="a"/>
    <w:next w:val="a"/>
    <w:link w:val="ac"/>
    <w:uiPriority w:val="30"/>
    <w:qFormat/>
    <w:rsid w:val="00AA28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A2896"/>
    <w:rPr>
      <w:i/>
      <w:iCs/>
      <w:color w:val="0F4761" w:themeColor="accent1" w:themeShade="BF"/>
    </w:rPr>
  </w:style>
  <w:style w:type="character" w:styleId="ad">
    <w:name w:val="Intense Reference"/>
    <w:basedOn w:val="a0"/>
    <w:uiPriority w:val="32"/>
    <w:qFormat/>
    <w:rsid w:val="00AA2896"/>
    <w:rPr>
      <w:b/>
      <w:bCs/>
      <w:smallCaps/>
      <w:color w:val="0F4761" w:themeColor="accent1" w:themeShade="BF"/>
      <w:spacing w:val="5"/>
    </w:rPr>
  </w:style>
  <w:style w:type="table" w:styleId="ae">
    <w:name w:val="Table Grid"/>
    <w:basedOn w:val="a1"/>
    <w:uiPriority w:val="59"/>
    <w:rsid w:val="00A50EB5"/>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12</Pages>
  <Words>3221</Words>
  <Characters>18365</Characters>
  <Application>Microsoft Office Word</Application>
  <DocSecurity>0</DocSecurity>
  <Lines>153</Lines>
  <Paragraphs>43</Paragraphs>
  <ScaleCrop>false</ScaleCrop>
  <Company/>
  <LinksUpToDate>false</LinksUpToDate>
  <CharactersWithSpaces>21543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耀 胡</dc:creator>
  <cp:keywords/>
  <dc:description/>
  <cp:lastModifiedBy>耀 胡</cp:lastModifiedBy>
  <cp:revision>5</cp:revision>
  <dcterms:created xsi:type="dcterms:W3CDTF">2026-08-01T06:42:00Z</dcterms:created>
  <dcterms:modified xsi:type="dcterms:W3CDTF">2026-08-01T10:41:00Z</dcterms:modified>
</cp:coreProperties>
</file>