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64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</w:pPr>
      <w:bookmarkStart w:id="0" w:name="Fig2"/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-24765</wp:posOffset>
            </wp:positionH>
            <wp:positionV relativeFrom="page">
              <wp:posOffset>998855</wp:posOffset>
            </wp:positionV>
            <wp:extent cx="5271135" cy="4013200"/>
            <wp:effectExtent l="0" t="0" r="12065" b="0"/>
            <wp:wrapTight wrapText="bothSides">
              <wp:wrapPolygon>
                <wp:start x="0" y="0"/>
                <wp:lineTo x="0" y="21532"/>
                <wp:lineTo x="21545" y="21532"/>
                <wp:lineTo x="21545" y="0"/>
                <wp:lineTo x="0" y="0"/>
              </wp:wrapPolygon>
            </wp:wrapTight>
            <wp:docPr id="1" name="图片 1" descr="Figur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 2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Survey points for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Primulina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secundiflora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tenuitubum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HYGMH;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</w:t>
      </w:r>
      <w:bookmarkStart w:id="1" w:name="_GoBack"/>
      <w:bookmarkEnd w:id="1"/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tenuitubum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SNJLQ;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tenuitubum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TRJLD;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DPS;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SBYTS;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6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YLDT;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7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LCG;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flexusa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DYHLZ;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9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secundiflora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QZHQ;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10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huahaii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  <w:t xml:space="preserve"> XZG. The red graph indicates that this population is located in the type locality. Base map sourced from the Natural Geomatics Center of China (https://cloudcenter.tianditu.gov.cn/administrativeDivision; map No. GS(2024)0650).</w:t>
      </w:r>
    </w:p>
    <w:p w14:paraId="087591E1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1729A8"/>
    <w:rsid w:val="5A1676B1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434</Characters>
  <Lines>0</Lines>
  <Paragraphs>0</Paragraphs>
  <TotalTime>0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