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588A3" w14:textId="77777777" w:rsidR="001C0BD4" w:rsidRDefault="001C0BD4" w:rsidP="001C0BD4">
      <w:pPr>
        <w:autoSpaceDE w:val="0"/>
        <w:autoSpaceDN w:val="0"/>
        <w:adjustRightInd w:val="0"/>
        <w:spacing w:after="0" w:line="360" w:lineRule="auto"/>
        <w:rPr>
          <w:rFonts w:ascii="Merriweather" w:hAnsi="Merriweather"/>
          <w:color w:val="222222"/>
          <w:sz w:val="27"/>
          <w:szCs w:val="27"/>
          <w:shd w:val="clear" w:color="auto" w:fill="FFFFFF"/>
        </w:rPr>
      </w:pPr>
      <w:r>
        <w:rPr>
          <w:rFonts w:ascii="Merriweather" w:hAnsi="Merriweather"/>
          <w:color w:val="222222"/>
          <w:sz w:val="27"/>
          <w:szCs w:val="27"/>
          <w:shd w:val="clear" w:color="auto" w:fill="FFFFFF"/>
        </w:rPr>
        <w:t xml:space="preserve">A similar  periodontal endoscopy-aided non-incisional regeneration technique (NIT) was proposed in the treatment of intra-bony defects by </w:t>
      </w:r>
      <w:r>
        <w:rPr>
          <w:rFonts w:ascii="Merriweather Sans" w:hAnsi="Merriweather Sans"/>
          <w:color w:val="222222"/>
          <w:shd w:val="clear" w:color="auto" w:fill="FFFFFF"/>
        </w:rPr>
        <w:t>Shi, J</w:t>
      </w:r>
      <w:r>
        <w:rPr>
          <w:rFonts w:ascii="Merriweather" w:hAnsi="Merriweather"/>
          <w:color w:val="222222"/>
          <w:sz w:val="27"/>
          <w:szCs w:val="27"/>
          <w:shd w:val="clear" w:color="auto" w:fill="FFFFFF"/>
        </w:rPr>
        <w:t>. however their technique involve incising the JE and degranulate the defect through pocket orifice.</w:t>
      </w:r>
    </w:p>
    <w:p w14:paraId="16F78878" w14:textId="77777777" w:rsidR="001C0BD4" w:rsidRDefault="001C0BD4" w:rsidP="001C0BD4">
      <w:pPr>
        <w:autoSpaceDE w:val="0"/>
        <w:autoSpaceDN w:val="0"/>
        <w:adjustRightInd w:val="0"/>
        <w:spacing w:after="0" w:line="360" w:lineRule="auto"/>
        <w:rPr>
          <w:rFonts w:ascii="PTSerif-Regular" w:eastAsiaTheme="minorHAnsi" w:hAnsi="PTSerif-Regular" w:cs="PTSerif-Regular"/>
          <w:color w:val="222222"/>
          <w:kern w:val="0"/>
          <w14:ligatures w14:val="standardContextual"/>
        </w:rPr>
      </w:pPr>
    </w:p>
    <w:p w14:paraId="313B205D" w14:textId="77777777" w:rsidR="001C0BD4" w:rsidRDefault="001C0BD4" w:rsidP="001C0BD4">
      <w:pPr>
        <w:autoSpaceDE w:val="0"/>
        <w:autoSpaceDN w:val="0"/>
        <w:adjustRightInd w:val="0"/>
        <w:spacing w:after="0" w:line="360" w:lineRule="auto"/>
        <w:rPr>
          <w:rFonts w:ascii="Merriweather Sans" w:hAnsi="Merriweather Sans"/>
          <w:color w:val="222222"/>
          <w:shd w:val="clear" w:color="auto" w:fill="FFFFFF"/>
        </w:rPr>
      </w:pPr>
      <w:r>
        <w:t>The size of the endoscopic instrument may limit the accessibility in several conditions,</w:t>
      </w:r>
      <w:r w:rsidRPr="00E45A96">
        <w:t xml:space="preserve"> </w:t>
      </w:r>
      <w:r>
        <w:t>such as a small opening of the periodon tal pocket, morphology in the furcation area and patients with small opening of the mouth. (</w:t>
      </w:r>
      <w:r>
        <w:rPr>
          <w:rFonts w:ascii="Merriweather Sans" w:hAnsi="Merriweather Sans"/>
          <w:color w:val="222222"/>
          <w:shd w:val="clear" w:color="auto" w:fill="FFFFFF"/>
        </w:rPr>
        <w:t>Shi, J., Wang, J., Yang, Z. </w:t>
      </w:r>
      <w:r>
        <w:rPr>
          <w:rFonts w:ascii="Merriweather Sans" w:hAnsi="Merriweather Sans"/>
          <w:i/>
          <w:iCs/>
          <w:color w:val="222222"/>
          <w:shd w:val="clear" w:color="auto" w:fill="FFFFFF"/>
        </w:rPr>
        <w:t>et al.</w:t>
      </w:r>
      <w:r>
        <w:rPr>
          <w:rFonts w:ascii="Merriweather Sans" w:hAnsi="Merriweather Sans"/>
          <w:color w:val="222222"/>
          <w:shd w:val="clear" w:color="auto" w:fill="FFFFFF"/>
        </w:rPr>
        <w:t> A novel periodontal endoscopy-aided non-incisional periodontal regeneration technique in the treatment of intrabony defects: a retrospective cohort study. </w:t>
      </w:r>
      <w:r>
        <w:rPr>
          <w:rFonts w:ascii="Merriweather Sans" w:hAnsi="Merriweather Sans"/>
          <w:i/>
          <w:iCs/>
          <w:color w:val="222222"/>
          <w:shd w:val="clear" w:color="auto" w:fill="FFFFFF"/>
        </w:rPr>
        <w:t>BMC Oral Health</w:t>
      </w:r>
      <w:r>
        <w:rPr>
          <w:rFonts w:ascii="Merriweather Sans" w:hAnsi="Merriweather Sans"/>
          <w:color w:val="222222"/>
          <w:shd w:val="clear" w:color="auto" w:fill="FFFFFF"/>
        </w:rPr>
        <w:t> </w:t>
      </w:r>
      <w:r>
        <w:rPr>
          <w:rFonts w:ascii="Merriweather Sans" w:hAnsi="Merriweather Sans"/>
          <w:b/>
          <w:bCs/>
          <w:color w:val="222222"/>
          <w:shd w:val="clear" w:color="auto" w:fill="FFFFFF"/>
        </w:rPr>
        <w:t>23</w:t>
      </w:r>
      <w:r>
        <w:rPr>
          <w:rFonts w:ascii="Merriweather Sans" w:hAnsi="Merriweather Sans"/>
          <w:color w:val="222222"/>
          <w:shd w:val="clear" w:color="auto" w:fill="FFFFFF"/>
        </w:rPr>
        <w:t>, 962 (2023).</w:t>
      </w:r>
    </w:p>
    <w:p w14:paraId="44554F2D" w14:textId="77777777" w:rsidR="001C0BD4" w:rsidRPr="00853B71" w:rsidRDefault="001C0BD4" w:rsidP="001C0BD4">
      <w:pPr>
        <w:autoSpaceDE w:val="0"/>
        <w:autoSpaceDN w:val="0"/>
        <w:adjustRightInd w:val="0"/>
        <w:spacing w:after="0" w:line="240" w:lineRule="auto"/>
        <w:rPr>
          <w:rFonts w:asciiTheme="majorBidi" w:hAnsiTheme="majorBidi" w:cstheme="majorBidi"/>
        </w:rPr>
      </w:pPr>
      <w:r w:rsidRPr="00853B71">
        <w:rPr>
          <w:rFonts w:ascii="PTSerif-Regular" w:eastAsiaTheme="minorHAnsi" w:hAnsi="PTSerif-Regular" w:cs="PTSerif-Regular"/>
          <w:color w:val="222222"/>
          <w:kern w:val="0"/>
          <w14:ligatures w14:val="standardContextual"/>
        </w:rPr>
        <w:t>Calzavara D, Morante S, Sanz J, Noguerol F, Gonzalez J, Romandini M, Sanz M: The apically incised</w:t>
      </w:r>
      <w:r>
        <w:rPr>
          <w:rFonts w:ascii="PTSerif-Regular" w:eastAsiaTheme="minorHAnsi" w:hAnsi="PTSerif-Regular" w:cs="PTSerif-Regular"/>
          <w:color w:val="222222"/>
          <w:kern w:val="0"/>
          <w14:ligatures w14:val="standardContextual"/>
        </w:rPr>
        <w:t xml:space="preserve"> </w:t>
      </w:r>
      <w:r w:rsidRPr="00853B71">
        <w:rPr>
          <w:rFonts w:ascii="PTSerif-Regular" w:eastAsiaTheme="minorHAnsi" w:hAnsi="PTSerif-Regular" w:cs="PTSerif-Regular"/>
          <w:color w:val="222222"/>
          <w:kern w:val="0"/>
          <w14:ligatures w14:val="standardContextual"/>
        </w:rPr>
        <w:t>coronally advanced surgical technique (AICAST) for periodontal regeneration in isolated defects: a case</w:t>
      </w:r>
      <w:r>
        <w:rPr>
          <w:rFonts w:ascii="PTSerif-Regular" w:eastAsiaTheme="minorHAnsi" w:hAnsi="PTSerif-Regular" w:cs="PTSerif-Regular"/>
          <w:color w:val="222222"/>
          <w:kern w:val="0"/>
          <w14:ligatures w14:val="standardContextual"/>
        </w:rPr>
        <w:t xml:space="preserve"> </w:t>
      </w:r>
      <w:r w:rsidRPr="00853B71">
        <w:rPr>
          <w:rFonts w:ascii="PTSerif-Regular" w:eastAsiaTheme="minorHAnsi" w:hAnsi="PTSerif-Regular" w:cs="PTSerif-Regular"/>
          <w:color w:val="222222"/>
          <w:kern w:val="0"/>
          <w14:ligatures w14:val="standardContextual"/>
        </w:rPr>
        <w:t>series. Quintessence Int. 2021, 53:24-34</w:t>
      </w:r>
    </w:p>
    <w:p w14:paraId="08AC0A3A" w14:textId="77777777" w:rsidR="00DC2479" w:rsidRDefault="00DC2479"/>
    <w:sectPr w:rsidR="00DC2479" w:rsidSect="001C0BD4">
      <w:footerReference w:type="default" r:id="rId4"/>
      <w:pgSz w:w="11906" w:h="16838" w:code="9"/>
      <w:pgMar w:top="1701" w:right="1418" w:bottom="1701" w:left="1418" w:header="170" w:footer="170" w:gutter="0"/>
      <w:pgNumType w:start="1"/>
      <w:cols w:space="720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erriweather">
    <w:altName w:val="Calibri"/>
    <w:charset w:val="00"/>
    <w:family w:val="auto"/>
    <w:pitch w:val="variable"/>
    <w:sig w:usb0="20000207" w:usb1="00000002" w:usb2="00000000" w:usb3="00000000" w:csb0="00000197" w:csb1="00000000"/>
  </w:font>
  <w:font w:name="Merriweather Sans">
    <w:altName w:val="Sylfaen"/>
    <w:charset w:val="00"/>
    <w:family w:val="auto"/>
    <w:pitch w:val="variable"/>
    <w:sig w:usb0="A00004FF" w:usb1="4000207B" w:usb2="00000000" w:usb3="00000000" w:csb0="00000193" w:csb1="00000000"/>
  </w:font>
  <w:font w:name="PTSerif-Regular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ulim"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B3E74" w14:textId="77777777" w:rsidR="001C0BD4" w:rsidRDefault="001C0BD4">
    <w:pPr>
      <w:adjustRightInd w:val="0"/>
      <w:jc w:val="center"/>
      <w:rPr>
        <w:rFonts w:ascii="BatangChe" w:eastAsia="BatangChe"/>
        <w:kern w:val="0"/>
      </w:rPr>
    </w:pPr>
    <w:r>
      <w:rPr>
        <w:rFonts w:ascii="Gulim" w:hAnsi="BatangChe"/>
      </w:rPr>
      <w:t xml:space="preserve">- </w:t>
    </w:r>
    <w:r>
      <w:rPr>
        <w:rFonts w:ascii="BatangChe" w:eastAsia="BatangChe" w:hAnsi="BatangChe"/>
        <w:kern w:val="0"/>
      </w:rPr>
      <w:fldChar w:fldCharType="begin"/>
    </w:r>
    <w:r>
      <w:rPr>
        <w:rFonts w:ascii="BatangChe" w:eastAsia="BatangChe" w:hAnsi="BatangChe"/>
        <w:kern w:val="0"/>
      </w:rPr>
      <w:instrText xml:space="preserve"> PAGE </w:instrText>
    </w:r>
    <w:r>
      <w:rPr>
        <w:rFonts w:ascii="BatangChe" w:eastAsia="BatangChe" w:hAnsi="BatangChe"/>
        <w:kern w:val="0"/>
      </w:rPr>
      <w:fldChar w:fldCharType="separate"/>
    </w:r>
    <w:r>
      <w:rPr>
        <w:rFonts w:ascii="BatangChe" w:eastAsia="BatangChe" w:hAnsi="BatangChe"/>
        <w:noProof/>
        <w:kern w:val="0"/>
      </w:rPr>
      <w:t>10</w:t>
    </w:r>
    <w:r>
      <w:rPr>
        <w:rFonts w:ascii="BatangChe" w:eastAsia="BatangChe" w:hAnsi="BatangChe"/>
        <w:kern w:val="0"/>
      </w:rPr>
      <w:fldChar w:fldCharType="end"/>
    </w:r>
    <w:r>
      <w:rPr>
        <w:rFonts w:ascii="Gulim" w:eastAsia="BatangChe" w:hAnsi="BatangChe"/>
        <w:kern w:val="0"/>
      </w:rPr>
      <w:t xml:space="preserve"> -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BD4"/>
    <w:rsid w:val="001C0BD4"/>
    <w:rsid w:val="00431555"/>
    <w:rsid w:val="005B6877"/>
    <w:rsid w:val="00AA0C39"/>
    <w:rsid w:val="00DC2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64580C"/>
  <w15:chartTrackingRefBased/>
  <w15:docId w15:val="{6FB788E2-36CC-4CED-A0AE-8BAD6574B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0BD4"/>
    <w:rPr>
      <w:rFonts w:ascii="Aptos" w:eastAsia="Aptos" w:hAnsi="Aptos" w:cs="Arial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0B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C0B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C0BD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C0BD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C0BD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C0BD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C0BD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C0BD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C0BD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0B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C0B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C0B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C0B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C0B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C0B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C0B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C0B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C0B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C0B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C0B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C0BD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C0B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C0BD4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C0B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C0BD4"/>
    <w:pPr>
      <w:ind w:left="720"/>
      <w:contextualSpacing/>
    </w:pPr>
    <w:rPr>
      <w:rFonts w:asciiTheme="minorHAnsi" w:eastAsiaTheme="minorHAnsi" w:hAnsiTheme="minorHAnsi" w:cstheme="minorBidi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C0B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0B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0B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C0B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794</Characters>
  <Application>Microsoft Office Word</Application>
  <DocSecurity>0</DocSecurity>
  <Lines>6</Lines>
  <Paragraphs>1</Paragraphs>
  <ScaleCrop>false</ScaleCrop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Rohit Pandey</dc:creator>
  <cp:keywords/>
  <dc:description/>
  <cp:lastModifiedBy>Rohit Pandey</cp:lastModifiedBy>
  <cp:revision>1</cp:revision>
  <dcterms:created xsi:type="dcterms:W3CDTF">2026-10-08T06:43:00Z</dcterms:created>
  <dcterms:modified xsi:type="dcterms:W3CDTF">2026-10-08T06:43:00Z</dcterms:modified>
</cp:coreProperties>
</file>