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449F5D">
      <w:pPr>
        <w:spacing w:line="360" w:lineRule="auto"/>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Preparation, Nile Red Staining, and Quantification of Microplastic Fragments</w:t>
      </w:r>
    </w:p>
    <w:p w14:paraId="5D83E6F5">
      <w:pPr>
        <w:spacing w:line="360" w:lineRule="auto"/>
        <w:rPr>
          <w:rFonts w:ascii="Times New Roman" w:hAnsi="Times New Roman" w:cs="Times New Roman"/>
          <w:sz w:val="24"/>
          <w:szCs w:val="24"/>
        </w:rPr>
      </w:pPr>
      <w:r>
        <w:rPr>
          <w:rFonts w:ascii="Times New Roman" w:hAnsi="Times New Roman" w:cs="Times New Roman"/>
          <w:sz w:val="24"/>
          <w:szCs w:val="24"/>
        </w:rPr>
        <w:t>Polyethylene terephthalate (PET), polystyrene (PS), and polyvinyl chloride (PVC) sheets were purchased from Junxin Plastic Co., Ltd. (Dongguan, China). To confirm polymer composition, randomly selected sheet debris was analyzed using Fourier Transform Infrared Spectroscopy (FTIR; Thermo NICOLET IN10), and the obtained spectra were compared against a standard polymer library. Only materials with match scores greater than 70% were selected for subsequent preparation of microplastic fragments.</w:t>
      </w:r>
    </w:p>
    <w:p w14:paraId="43D15DC1">
      <w:pPr>
        <w:spacing w:line="360" w:lineRule="auto"/>
        <w:rPr>
          <w:rFonts w:ascii="Times New Roman" w:hAnsi="Times New Roman" w:cs="Times New Roman"/>
          <w:sz w:val="24"/>
          <w:szCs w:val="24"/>
        </w:rPr>
      </w:pPr>
      <w:r>
        <w:rPr>
          <w:rFonts w:ascii="Times New Roman" w:hAnsi="Times New Roman" w:cs="Times New Roman"/>
          <w:sz w:val="24"/>
          <w:szCs w:val="24"/>
        </w:rPr>
        <w:t>The plastic sheets were cut into small pieces, ground using a mechanical grinder (Fangtai Electrical Appliance Co., Ltd., Dongguan), and sieved through stainless steel meshes of 500, 300, 200, and 100 μm. Three particle size fractions were collected: 300–500 μm, 200–300 μm, and 100–200 μm.</w:t>
      </w:r>
    </w:p>
    <w:p w14:paraId="61872E39">
      <w:pPr>
        <w:spacing w:line="360" w:lineRule="auto"/>
        <w:rPr>
          <w:rFonts w:ascii="Times New Roman" w:hAnsi="Times New Roman" w:cs="Times New Roman"/>
          <w:sz w:val="24"/>
          <w:szCs w:val="24"/>
        </w:rPr>
      </w:pPr>
      <w:r>
        <w:rPr>
          <w:rFonts w:ascii="Times New Roman" w:hAnsi="Times New Roman" w:cs="Times New Roman"/>
          <w:sz w:val="24"/>
          <w:szCs w:val="24"/>
        </w:rPr>
        <w:t>A Nile Red staining solution (1 mg/mL) was prepared by dissolving Nile Red (Shanghai Aladdin Biochemical Technology Co., Ltd.) in methanol (Sinopharm Chemical Reagent Co., Ltd.) and stored in the dark prior to use. For staining, 2 g of microplastic fragments were added to 40 mL of staining solution in each of nine centrifuge tubes and subjected to continuous oscillation for 24 h under dark conditions.</w:t>
      </w:r>
    </w:p>
    <w:p w14:paraId="5459162E">
      <w:pPr>
        <w:spacing w:line="360" w:lineRule="auto"/>
        <w:rPr>
          <w:rFonts w:ascii="Times New Roman" w:hAnsi="Times New Roman" w:cs="Times New Roman"/>
          <w:sz w:val="24"/>
          <w:szCs w:val="24"/>
        </w:rPr>
      </w:pPr>
      <w:r>
        <w:rPr>
          <w:rFonts w:ascii="Times New Roman" w:hAnsi="Times New Roman" w:cs="Times New Roman"/>
          <w:sz w:val="24"/>
          <w:szCs w:val="24"/>
        </w:rPr>
        <w:t>After staining, the microplastic fragments were filtered through a 20 μm nylon membrane and air-dried. The particles were then rinsed with ultrapure water under oscillation to remove excess dye, followed by a second filtration and air-drying step.</w:t>
      </w:r>
    </w:p>
    <w:p w14:paraId="5512C30F">
      <w:pPr>
        <w:spacing w:line="360" w:lineRule="auto"/>
        <w:rPr>
          <w:rFonts w:ascii="Times New Roman" w:hAnsi="Times New Roman" w:cs="Times New Roman"/>
          <w:sz w:val="24"/>
          <w:szCs w:val="24"/>
        </w:rPr>
      </w:pPr>
      <w:r>
        <w:rPr>
          <w:rFonts w:ascii="Times New Roman" w:hAnsi="Times New Roman" w:cs="Times New Roman"/>
          <w:sz w:val="24"/>
          <w:szCs w:val="24"/>
        </w:rPr>
        <w:t>For particle quantification, a known mass of microplastic fragments was subsampled, evenly dispersed onto a microscope slide, and imaged using Image View software. Particle counts were obtained using ImageJ, and this procedure was repeated to calculate the average particle weight, which was subsequently used to determine exposure concentrations in mussel experiments.</w:t>
      </w:r>
    </w:p>
    <w:p w14:paraId="059A458B">
      <w:pPr>
        <w:spacing w:line="360" w:lineRule="auto"/>
        <w:rPr>
          <w:rFonts w:ascii="Times New Roman" w:hAnsi="Times New Roman" w:cs="Times New Roman"/>
          <w:b/>
          <w:bCs/>
          <w:sz w:val="24"/>
          <w:szCs w:val="24"/>
        </w:rPr>
      </w:pPr>
      <w:r>
        <w:rPr>
          <w:rFonts w:ascii="Times New Roman" w:hAnsi="Times New Roman" w:cs="Times New Roman"/>
          <w:b/>
          <w:bCs/>
          <w:sz w:val="24"/>
          <w:szCs w:val="24"/>
        </w:rPr>
        <w:t>Exposure Design and Sampling Procedure</w:t>
      </w:r>
    </w:p>
    <w:p w14:paraId="39D5463A">
      <w:pPr>
        <w:spacing w:line="360" w:lineRule="auto"/>
        <w:rPr>
          <w:rFonts w:ascii="Times New Roman" w:hAnsi="Times New Roman" w:cs="Times New Roman"/>
          <w:sz w:val="24"/>
          <w:szCs w:val="24"/>
        </w:rPr>
      </w:pPr>
      <w:r>
        <w:rPr>
          <w:rFonts w:ascii="Times New Roman" w:hAnsi="Times New Roman" w:cs="Times New Roman"/>
          <w:sz w:val="24"/>
          <w:szCs w:val="24"/>
        </w:rPr>
        <w:t>The exposure experiment included three main groups based on polymer type: PET, PS, and PVC. Each group consisted of four subgroups: a control and three experimental subgroups exposed to fragment-shaped microplastics with size ranges of 100–200 μm, 200–300 μm, and 300–500 μm.</w:t>
      </w:r>
    </w:p>
    <w:p w14:paraId="3CCBC6DE">
      <w:pPr>
        <w:spacing w:line="360" w:lineRule="auto"/>
        <w:rPr>
          <w:rFonts w:ascii="Times New Roman" w:hAnsi="Times New Roman" w:cs="Times New Roman"/>
          <w:sz w:val="24"/>
          <w:szCs w:val="24"/>
        </w:rPr>
      </w:pPr>
      <w:r>
        <w:rPr>
          <w:rFonts w:ascii="Times New Roman" w:hAnsi="Times New Roman" w:cs="Times New Roman"/>
          <w:sz w:val="24"/>
          <w:szCs w:val="24"/>
        </w:rPr>
        <w:t>Each subgroup included four replicates (n = 4). Each replicate consisted of a glass aquarium containing 10 L of aerated artificial seawater (salinity 35‰) and 10 mussels, resulting in a total of 480 mussels used in the experiment. The exposure concentration was maintained at 3,000 particles/L.</w:t>
      </w:r>
    </w:p>
    <w:p w14:paraId="3972B53D">
      <w:pPr>
        <w:spacing w:line="360" w:lineRule="auto"/>
        <w:rPr>
          <w:rFonts w:ascii="Times New Roman" w:hAnsi="Times New Roman" w:cs="Times New Roman"/>
          <w:sz w:val="24"/>
          <w:szCs w:val="24"/>
        </w:rPr>
      </w:pPr>
      <w:r>
        <w:rPr>
          <w:rFonts w:ascii="Times New Roman" w:hAnsi="Times New Roman" w:cs="Times New Roman"/>
          <w:sz w:val="24"/>
          <w:szCs w:val="24"/>
        </w:rPr>
        <w:t>The experimental cycle lasted 7 days, including a 5-day exposure phase followed by a 2-day recovery phase. During the exposure phase, mussels were maintained under a 12 h light/12 h dark photoperiod at 18 ± 3°C. Seawater was renewed daily, and the corresponding microplastic fragments were replenished to maintain a constant exposure concentration. Mussels were fed with a concentrated microalgae suspension, and their condition was monitored twice daily, with dead individuals removed immediately.</w:t>
      </w:r>
    </w:p>
    <w:p w14:paraId="0BEDAEFC">
      <w:pPr>
        <w:spacing w:line="360" w:lineRule="auto"/>
        <w:rPr>
          <w:rFonts w:ascii="Times New Roman" w:hAnsi="Times New Roman" w:cs="Times New Roman"/>
          <w:sz w:val="24"/>
          <w:szCs w:val="24"/>
        </w:rPr>
      </w:pPr>
      <w:r>
        <w:rPr>
          <w:rFonts w:ascii="Times New Roman" w:hAnsi="Times New Roman" w:cs="Times New Roman"/>
          <w:sz w:val="24"/>
          <w:szCs w:val="24"/>
        </w:rPr>
        <w:t>Sampling was conducted at 2 h and on days 1–5 during the exposure phase. At each time point, one mussel was randomly collected from each aquarium. Collected mussels were rinsed with ultrapure water, grouped according to treatment, and stored at −20°C.</w:t>
      </w:r>
    </w:p>
    <w:p w14:paraId="7936B40B">
      <w:pPr>
        <w:spacing w:line="360" w:lineRule="auto"/>
        <w:rPr>
          <w:rFonts w:ascii="Times New Roman" w:hAnsi="Times New Roman" w:cs="Times New Roman"/>
          <w:sz w:val="24"/>
          <w:szCs w:val="24"/>
        </w:rPr>
      </w:pPr>
      <w:r>
        <w:rPr>
          <w:rFonts w:ascii="Times New Roman" w:hAnsi="Times New Roman" w:cs="Times New Roman"/>
          <w:sz w:val="24"/>
          <w:szCs w:val="24"/>
        </w:rPr>
        <w:t>At the end of the 5-day exposure phase, all seawater was replaced with fresh artificial seawater to initiate the 2-day recovery phase. No microplastics were added during recovery, while all other conditions remained unchanged. At the end of the recovery phase, one mussel per aquarium was collected, processed as described above, and stored at −20°C. In total, 336 mussels were collected and stored for subsequent analyses.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1FA"/>
    <w:rsid w:val="001C06BC"/>
    <w:rsid w:val="002D6E4F"/>
    <w:rsid w:val="00442288"/>
    <w:rsid w:val="007F0454"/>
    <w:rsid w:val="008512CB"/>
    <w:rsid w:val="0088349D"/>
    <w:rsid w:val="00D151FA"/>
    <w:rsid w:val="00E523AB"/>
    <w:rsid w:val="00EE5719"/>
    <w:rsid w:val="33AC02DE"/>
    <w:rsid w:val="4EC07B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17"/>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18"/>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19"/>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0"/>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1"/>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3"/>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4">
    <w:name w:val="Default Paragraph Font"/>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5"/>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4"/>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5">
    <w:name w:val="标题 1 字符"/>
    <w:basedOn w:val="14"/>
    <w:link w:val="2"/>
    <w:qFormat/>
    <w:uiPriority w:val="9"/>
    <w:rPr>
      <w:rFonts w:asciiTheme="majorHAnsi" w:hAnsiTheme="majorHAnsi" w:eastAsiaTheme="majorEastAsia" w:cstheme="majorBidi"/>
      <w:color w:val="2F5597" w:themeColor="accent1" w:themeShade="BF"/>
      <w:sz w:val="48"/>
      <w:szCs w:val="48"/>
    </w:rPr>
  </w:style>
  <w:style w:type="character" w:customStyle="1" w:styleId="16">
    <w:name w:val="标题 2 字符"/>
    <w:basedOn w:val="14"/>
    <w:link w:val="3"/>
    <w:semiHidden/>
    <w:uiPriority w:val="9"/>
    <w:rPr>
      <w:rFonts w:asciiTheme="majorHAnsi" w:hAnsiTheme="majorHAnsi" w:eastAsiaTheme="majorEastAsia" w:cstheme="majorBidi"/>
      <w:color w:val="2F5597" w:themeColor="accent1" w:themeShade="BF"/>
      <w:sz w:val="40"/>
      <w:szCs w:val="40"/>
    </w:rPr>
  </w:style>
  <w:style w:type="character" w:customStyle="1" w:styleId="17">
    <w:name w:val="标题 3 字符"/>
    <w:basedOn w:val="14"/>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18">
    <w:name w:val="标题 4 字符"/>
    <w:basedOn w:val="14"/>
    <w:link w:val="5"/>
    <w:semiHidden/>
    <w:qFormat/>
    <w:uiPriority w:val="9"/>
    <w:rPr>
      <w:rFonts w:cstheme="majorBidi"/>
      <w:color w:val="2F5597" w:themeColor="accent1" w:themeShade="BF"/>
      <w:sz w:val="28"/>
      <w:szCs w:val="28"/>
    </w:rPr>
  </w:style>
  <w:style w:type="character" w:customStyle="1" w:styleId="19">
    <w:name w:val="标题 5 字符"/>
    <w:basedOn w:val="14"/>
    <w:link w:val="6"/>
    <w:semiHidden/>
    <w:qFormat/>
    <w:uiPriority w:val="9"/>
    <w:rPr>
      <w:rFonts w:cstheme="majorBidi"/>
      <w:color w:val="2F5597" w:themeColor="accent1" w:themeShade="BF"/>
      <w:sz w:val="24"/>
      <w:szCs w:val="24"/>
    </w:rPr>
  </w:style>
  <w:style w:type="character" w:customStyle="1" w:styleId="20">
    <w:name w:val="标题 6 字符"/>
    <w:basedOn w:val="14"/>
    <w:link w:val="7"/>
    <w:semiHidden/>
    <w:uiPriority w:val="9"/>
    <w:rPr>
      <w:rFonts w:cstheme="majorBidi"/>
      <w:b/>
      <w:bCs/>
      <w:color w:val="2F5597" w:themeColor="accent1" w:themeShade="BF"/>
    </w:rPr>
  </w:style>
  <w:style w:type="character" w:customStyle="1" w:styleId="21">
    <w:name w:val="标题 7 字符"/>
    <w:basedOn w:val="14"/>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2">
    <w:name w:val="标题 8 字符"/>
    <w:basedOn w:val="14"/>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3">
    <w:name w:val="标题 9 字符"/>
    <w:basedOn w:val="14"/>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标题 字符"/>
    <w:basedOn w:val="14"/>
    <w:link w:val="12"/>
    <w:qFormat/>
    <w:uiPriority w:val="10"/>
    <w:rPr>
      <w:rFonts w:asciiTheme="majorHAnsi" w:hAnsiTheme="majorHAnsi" w:eastAsiaTheme="majorEastAsia" w:cstheme="majorBidi"/>
      <w:spacing w:val="-10"/>
      <w:kern w:val="28"/>
      <w:sz w:val="56"/>
      <w:szCs w:val="56"/>
    </w:rPr>
  </w:style>
  <w:style w:type="character" w:customStyle="1" w:styleId="25">
    <w:name w:val="副标题 字符"/>
    <w:basedOn w:val="14"/>
    <w:link w:val="11"/>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引用 字符"/>
    <w:basedOn w:val="14"/>
    <w:link w:val="26"/>
    <w:qFormat/>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4"/>
    <w:qFormat/>
    <w:uiPriority w:val="21"/>
    <w:rPr>
      <w:i/>
      <w:iCs/>
      <w:color w:val="2F5597" w:themeColor="accent1" w:themeShade="BF"/>
    </w:rPr>
  </w:style>
  <w:style w:type="paragraph" w:styleId="30">
    <w:name w:val="Intense Quote"/>
    <w:basedOn w:val="1"/>
    <w:next w:val="1"/>
    <w:link w:val="3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1">
    <w:name w:val="明显引用 字符"/>
    <w:basedOn w:val="14"/>
    <w:link w:val="30"/>
    <w:qFormat/>
    <w:uiPriority w:val="30"/>
    <w:rPr>
      <w:i/>
      <w:iCs/>
      <w:color w:val="2F5597" w:themeColor="accent1" w:themeShade="BF"/>
    </w:rPr>
  </w:style>
  <w:style w:type="character" w:customStyle="1" w:styleId="32">
    <w:name w:val="Intense Reference"/>
    <w:basedOn w:val="14"/>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546</Words>
  <Characters>3126</Characters>
  <Lines>26</Lines>
  <Paragraphs>7</Paragraphs>
  <TotalTime>6</TotalTime>
  <ScaleCrop>false</ScaleCrop>
  <LinksUpToDate>false</LinksUpToDate>
  <CharactersWithSpaces>3660</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2026-04-16T09:25:00Z</dcterms:created>
  <dc:creator>zhenglu wang</dc:creator>
  <cp:lastModifiedBy>Pyrojewel</cp:lastModifiedBy>
  <dcterms:modified xsi:type="dcterms:W3CDTF">2026-07-31T09:02:37Z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E7F9C483DD114502AD97F27FCED2E4BD_13</vt:lpwstr>
  </property>
</Properties>
</file>