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12D1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Supporting information</w:t>
      </w:r>
    </w:p>
    <w:p w14:paraId="7D47F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b/>
          <w:bCs/>
          <w:sz w:val="30"/>
          <w:szCs w:val="30"/>
        </w:rPr>
      </w:pPr>
    </w:p>
    <w:p w14:paraId="024BE1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Astragalus-Angelica sinensis-Derived Extracellular Vesicles Attenuate Knee Osteoarthritis with Periarticular Muscle Atrophy via PPARγ-Mediated Regulation of Skeletal Muscle Fatty Acid Metabolism</w:t>
      </w:r>
    </w:p>
    <w:p w14:paraId="15050A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4A2759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Supporting Figures</w:t>
      </w:r>
    </w:p>
    <w:p w14:paraId="13C588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 S </w:t>
      </w:r>
      <w:r>
        <w:rPr>
          <w:rFonts w:ascii="Times New Roman" w:hAnsi="Times New Roman" w:cs="Times New Roman"/>
          <w:b/>
          <w:bCs/>
          <w:sz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</w:rPr>
        <w:instrText xml:space="preserve"> SEQ Fig_S \* ARABIC </w:instrText>
      </w:r>
      <w:r>
        <w:rPr>
          <w:rFonts w:ascii="Times New Roman" w:hAnsi="Times New Roman" w:cs="Times New Roman"/>
          <w:b/>
          <w:bCs/>
          <w:sz w:val="24"/>
        </w:rPr>
        <w:fldChar w:fldCharType="separate"/>
      </w:r>
      <w:r>
        <w:rPr>
          <w:rFonts w:ascii="Times New Roman" w:hAnsi="Times New Roman" w:cs="Times New Roman"/>
          <w:b/>
          <w:bCs/>
          <w:sz w:val="24"/>
        </w:rPr>
        <w:t>1</w:t>
      </w:r>
      <w:r>
        <w:rPr>
          <w:rFonts w:ascii="Times New Roman" w:hAnsi="Times New Roman" w:cs="Times New Roman"/>
          <w:b/>
          <w:bCs/>
          <w:sz w:val="24"/>
        </w:rPr>
        <w:fldChar w:fldCharType="end"/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>(A) Statistical graph of forelimb g</w:t>
      </w:r>
      <w:r>
        <w:rPr>
          <w:rFonts w:hint="default" w:ascii="Times New Roman" w:hAnsi="Times New Roman" w:cs="Times New Roman"/>
          <w:sz w:val="24"/>
          <w:lang w:val="en-US" w:eastAsia="zh-CN"/>
        </w:rPr>
        <w:t>rip strength assessment in mice (n=5). (B) Statistical graph of thermal pain latency assessment in mice (n=5). (C) Statistical graph of exhaustive swimming time assessment in mice (n=5). (D) Schematic diagram of gait analysis in mice. (E) Statistical graph of stride leng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th, stance time, and footprint area assessment in mice (n=5). (F) Open field test in mice. (G) Statistical graph of total distance traveled and mean speed in mice (n=5).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Between-group differences were assessed using one-way ANOVA followed by Tukey’s post hoc test. Asterisks denote significance levels as follows: ns, no significant; *P &lt; 0.05; **P &lt; 0.01; ***P &lt; 0.001.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</w:p>
    <w:p w14:paraId="382657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eastAsia="zh-CN"/>
        </w:rPr>
        <w:drawing>
          <wp:inline distT="0" distB="0" distL="114300" distR="114300">
            <wp:extent cx="4561840" cy="4340860"/>
            <wp:effectExtent l="0" t="0" r="0" b="0"/>
            <wp:docPr id="7" name="图片 7" descr="fig2_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2_s2"/>
                    <pic:cNvPicPr>
                      <a:picLocks noChangeAspect="1"/>
                    </pic:cNvPicPr>
                  </pic:nvPicPr>
                  <pic:blipFill>
                    <a:blip r:embed="rId4"/>
                    <a:srcRect l="9817" t="2948" r="22841" b="49317"/>
                    <a:stretch>
                      <a:fillRect/>
                    </a:stretch>
                  </pic:blipFill>
                  <pic:spPr>
                    <a:xfrm>
                      <a:off x="0" y="0"/>
                      <a:ext cx="4561840" cy="434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DF7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eastAsia="zh-CN"/>
        </w:rPr>
      </w:pPr>
    </w:p>
    <w:p w14:paraId="1C5AE6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 S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2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default" w:ascii="Times New Roman" w:hAnsi="Times New Roman" w:cs="Times New Roman"/>
          <w:sz w:val="24"/>
          <w:lang w:eastAsia="zh-CN"/>
        </w:rPr>
        <w:t>Histological sections of major organs, including the heart, liver, spleen, lung, and kidney, were stained with hematoxylin and eosin (H&amp;E). Scale bar, 100 μm</w:t>
      </w:r>
      <w:r>
        <w:rPr>
          <w:rFonts w:hint="eastAsia" w:ascii="Times New Roman" w:hAnsi="Times New Roman" w:cs="Times New Roman"/>
          <w:sz w:val="24"/>
          <w:lang w:val="en-US" w:eastAsia="zh-CN"/>
        </w:rPr>
        <w:t>.</w:t>
      </w:r>
    </w:p>
    <w:p w14:paraId="5EBC56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eastAsia="zh-CN"/>
        </w:rPr>
        <w:drawing>
          <wp:inline distT="0" distB="0" distL="114300" distR="114300">
            <wp:extent cx="4721225" cy="3300730"/>
            <wp:effectExtent l="0" t="0" r="0" b="0"/>
            <wp:docPr id="3" name="图片 3" descr="fig2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2-04"/>
                    <pic:cNvPicPr>
                      <a:picLocks noChangeAspect="1"/>
                    </pic:cNvPicPr>
                  </pic:nvPicPr>
                  <pic:blipFill>
                    <a:blip r:embed="rId5"/>
                    <a:srcRect l="3123" t="5625" r="1290" b="44581"/>
                    <a:stretch>
                      <a:fillRect/>
                    </a:stretch>
                  </pic:blipFill>
                  <pic:spPr>
                    <a:xfrm>
                      <a:off x="0" y="0"/>
                      <a:ext cx="4721225" cy="330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E1D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eastAsia="zh-CN"/>
        </w:rPr>
      </w:pPr>
    </w:p>
    <w:p w14:paraId="38D42E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 w:eastAsiaTheme="minorEastAsia"/>
          <w:b/>
          <w:bCs/>
          <w:sz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 S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3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Representative Western blot expression images of HSP 70 proteins in As-EVs and An-EVs.</w:t>
      </w:r>
    </w:p>
    <w:p w14:paraId="4BC187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eastAsia="zh-CN"/>
        </w:rPr>
        <w:drawing>
          <wp:inline distT="0" distB="0" distL="114300" distR="114300">
            <wp:extent cx="4463415" cy="2257425"/>
            <wp:effectExtent l="0" t="0" r="0" b="0"/>
            <wp:docPr id="4" name="图片 4" descr="fig3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3-07"/>
                    <pic:cNvPicPr>
                      <a:picLocks noChangeAspect="1"/>
                    </pic:cNvPicPr>
                  </pic:nvPicPr>
                  <pic:blipFill>
                    <a:blip r:embed="rId6"/>
                    <a:srcRect l="18346" t="4396" r="51257" b="84611"/>
                    <a:stretch>
                      <a:fillRect/>
                    </a:stretch>
                  </pic:blipFill>
                  <pic:spPr>
                    <a:xfrm>
                      <a:off x="0" y="0"/>
                      <a:ext cx="446341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59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eastAsia="zh-CN"/>
        </w:rPr>
      </w:pPr>
    </w:p>
    <w:p w14:paraId="6F47D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 S</w:t>
      </w:r>
      <w:r>
        <w:rPr>
          <w:rFonts w:hint="default" w:ascii="Times New Roman" w:hAnsi="Times New Roman" w:cs="Times New Roman"/>
          <w:b/>
          <w:bCs/>
          <w:sz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sz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</w:rPr>
        <w:t>Compounds in A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s</w:t>
      </w:r>
      <w:r>
        <w:rPr>
          <w:rFonts w:hint="default" w:ascii="Times New Roman" w:hAnsi="Times New Roman" w:cs="Times New Roman"/>
          <w:b w:val="0"/>
          <w:bCs w:val="0"/>
          <w:sz w:val="24"/>
        </w:rPr>
        <w:t>-EVs identified by LC/MS analyses in negative and positive modes.</w:t>
      </w:r>
    </w:p>
    <w:p w14:paraId="013440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 w:eastAsiaTheme="minorEastAsia"/>
          <w:b w:val="0"/>
          <w:bCs w:val="0"/>
          <w:sz w:val="24"/>
          <w:lang w:eastAsia="zh-CN"/>
        </w:rPr>
      </w:pPr>
      <w:r>
        <w:rPr>
          <w:rFonts w:hint="eastAsia" w:ascii="Times New Roman" w:hAnsi="Times New Roman" w:cs="Times New Roman" w:eastAsiaTheme="minorEastAsia"/>
          <w:b w:val="0"/>
          <w:bCs w:val="0"/>
          <w:sz w:val="24"/>
          <w:lang w:eastAsia="zh-CN"/>
        </w:rPr>
        <w:drawing>
          <wp:inline distT="0" distB="0" distL="114300" distR="114300">
            <wp:extent cx="4882515" cy="4425315"/>
            <wp:effectExtent l="0" t="0" r="3810" b="3810"/>
            <wp:docPr id="21" name="图片 21" descr="微信图片_20260602151601_1437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微信图片_20260602151601_1437_1"/>
                    <pic:cNvPicPr>
                      <a:picLocks noChangeAspect="1"/>
                    </pic:cNvPicPr>
                  </pic:nvPicPr>
                  <pic:blipFill>
                    <a:blip r:embed="rId7"/>
                    <a:srcRect l="2976" t="9194" r="3277" b="30717"/>
                    <a:stretch>
                      <a:fillRect/>
                    </a:stretch>
                  </pic:blipFill>
                  <pic:spPr>
                    <a:xfrm>
                      <a:off x="0" y="0"/>
                      <a:ext cx="4882515" cy="442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7A6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 w:eastAsiaTheme="minorEastAsia"/>
          <w:b w:val="0"/>
          <w:bCs w:val="0"/>
          <w:sz w:val="24"/>
          <w:lang w:eastAsia="zh-CN"/>
        </w:rPr>
      </w:pPr>
    </w:p>
    <w:p w14:paraId="620DC1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 S</w:t>
      </w:r>
      <w:r>
        <w:rPr>
          <w:rFonts w:hint="default" w:ascii="Times New Roman" w:hAnsi="Times New Roman" w:cs="Times New Roman"/>
          <w:b/>
          <w:bCs/>
          <w:sz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5</w:t>
      </w:r>
      <w:r>
        <w:rPr>
          <w:rFonts w:hint="default" w:ascii="Times New Roman" w:hAnsi="Times New Roman" w:cs="Times New Roman"/>
          <w:b/>
          <w:bCs/>
          <w:sz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</w:rPr>
        <w:t>Compounds in A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n</w:t>
      </w:r>
      <w:r>
        <w:rPr>
          <w:rFonts w:hint="default" w:ascii="Times New Roman" w:hAnsi="Times New Roman" w:cs="Times New Roman"/>
          <w:b w:val="0"/>
          <w:bCs w:val="0"/>
          <w:sz w:val="24"/>
        </w:rPr>
        <w:t>-EVs identified by LC/MS analyses in negative and positive modes.</w:t>
      </w:r>
    </w:p>
    <w:p w14:paraId="7D4228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eastAsia="zh-CN"/>
        </w:rPr>
        <w:drawing>
          <wp:inline distT="0" distB="0" distL="114300" distR="114300">
            <wp:extent cx="4853940" cy="4429125"/>
            <wp:effectExtent l="0" t="0" r="0" b="0"/>
            <wp:docPr id="22" name="图片 22" descr="微信图片_20260602151600_1436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微信图片_20260602151600_1436_1"/>
                    <pic:cNvPicPr>
                      <a:picLocks noChangeAspect="1"/>
                    </pic:cNvPicPr>
                  </pic:nvPicPr>
                  <pic:blipFill>
                    <a:blip r:embed="rId8"/>
                    <a:srcRect l="3506" t="8921" r="4409" b="31646"/>
                    <a:stretch>
                      <a:fillRect/>
                    </a:stretch>
                  </pic:blipFill>
                  <pic:spPr>
                    <a:xfrm>
                      <a:off x="0" y="0"/>
                      <a:ext cx="485394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8C6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eastAsia="zh-CN"/>
        </w:rPr>
      </w:pPr>
    </w:p>
    <w:p w14:paraId="66BEC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b w:val="0"/>
          <w:bCs w:val="0"/>
          <w:sz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</w:rPr>
        <w:t>Fig S</w:t>
      </w:r>
      <w:r>
        <w:rPr>
          <w:rFonts w:hint="default" w:ascii="Times New Roman" w:hAnsi="Times New Roman" w:cs="Times New Roman"/>
          <w:b/>
          <w:bCs/>
          <w:sz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  <w:sz w:val="24"/>
        </w:rPr>
        <w:t>.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lang w:val="en-US" w:eastAsia="zh-CN"/>
        </w:rPr>
        <w:t>(A)Effect of AA-EVs intervention concentrations on C2C12 cell viability. (B) Effects of TNF-α alone and TNF-α combined with AA-EVs intervention on C2C12 cell viability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lang w:val="en-US" w:eastAsia="zh-CN"/>
        </w:rPr>
        <w:t>(n=6)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Between-group differences were assessed using one-way ANOVA followed by Tukey’s post hoc test. Asterisks denote significance levels as follows: ns, no significant; *P &lt; 0.05; **P &lt; 0.01; ***P &lt; 0.001.</w:t>
      </w:r>
    </w:p>
    <w:p w14:paraId="29625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  <w:lang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eastAsia="zh-CN"/>
        </w:rPr>
        <w:drawing>
          <wp:inline distT="0" distB="0" distL="114300" distR="114300">
            <wp:extent cx="4759960" cy="2229485"/>
            <wp:effectExtent l="0" t="0" r="0" b="0"/>
            <wp:docPr id="11" name="图片 11" descr="fig4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ig4-04"/>
                    <pic:cNvPicPr>
                      <a:picLocks noChangeAspect="1"/>
                    </pic:cNvPicPr>
                  </pic:nvPicPr>
                  <pic:blipFill>
                    <a:blip r:embed="rId9"/>
                    <a:srcRect l="5529" t="2531" r="43224" b="80496"/>
                    <a:stretch>
                      <a:fillRect/>
                    </a:stretch>
                  </pic:blipFill>
                  <pic:spPr>
                    <a:xfrm>
                      <a:off x="0" y="0"/>
                      <a:ext cx="4759960" cy="222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FFC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  <w:lang w:eastAsia="zh-CN"/>
        </w:rPr>
      </w:pPr>
    </w:p>
    <w:p w14:paraId="367BFC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 w:val="0"/>
          <w:bCs w:val="0"/>
          <w:sz w:val="24"/>
          <w:lang w:eastAsia="zh-CN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 S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7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 xml:space="preserve">(A) Statistical chart of dynamic body weight changes of mice over 4 weeks. </w:t>
      </w:r>
      <w:r>
        <w:rPr>
          <w:rFonts w:hint="eastAsia" w:ascii="Times New Roman" w:hAnsi="Times New Roman" w:cs="Times New Roman"/>
          <w:b w:val="0"/>
          <w:bCs w:val="0"/>
          <w:sz w:val="24"/>
          <w:lang w:eastAsia="zh-CN"/>
        </w:rPr>
        <w:t>(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B</w:t>
      </w:r>
      <w:r>
        <w:rPr>
          <w:rFonts w:hint="eastAsia" w:ascii="Times New Roman" w:hAnsi="Times New Roman" w:cs="Times New Roman"/>
          <w:b w:val="0"/>
          <w:bCs w:val="0"/>
          <w:sz w:val="24"/>
          <w:lang w:eastAsia="zh-CN"/>
        </w:rPr>
        <w:t>) Statistical graph of forelimb grip strength assessment in mice (n=5). (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C</w:t>
      </w:r>
      <w:r>
        <w:rPr>
          <w:rFonts w:hint="eastAsia" w:ascii="Times New Roman" w:hAnsi="Times New Roman" w:cs="Times New Roman"/>
          <w:b w:val="0"/>
          <w:bCs w:val="0"/>
          <w:sz w:val="24"/>
          <w:lang w:eastAsia="zh-CN"/>
        </w:rPr>
        <w:t>) Statistical graph of thermal pain latency assessment in mice (n=5). (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D</w:t>
      </w:r>
      <w:r>
        <w:rPr>
          <w:rFonts w:hint="eastAsia" w:ascii="Times New Roman" w:hAnsi="Times New Roman" w:cs="Times New Roman"/>
          <w:b w:val="0"/>
          <w:bCs w:val="0"/>
          <w:sz w:val="24"/>
          <w:lang w:eastAsia="zh-CN"/>
        </w:rPr>
        <w:t>) Statistical graph of exhaustive swimming time assessment in mice (n=5). (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E</w:t>
      </w:r>
      <w:r>
        <w:rPr>
          <w:rFonts w:hint="eastAsia" w:ascii="Times New Roman" w:hAnsi="Times New Roman" w:cs="Times New Roman"/>
          <w:b w:val="0"/>
          <w:bCs w:val="0"/>
          <w:sz w:val="24"/>
          <w:lang w:eastAsia="zh-CN"/>
        </w:rPr>
        <w:t>) Schematic diagram of gait analysis in mice. (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F</w:t>
      </w:r>
      <w:r>
        <w:rPr>
          <w:rFonts w:hint="eastAsia" w:ascii="Times New Roman" w:hAnsi="Times New Roman" w:cs="Times New Roman"/>
          <w:b w:val="0"/>
          <w:bCs w:val="0"/>
          <w:sz w:val="24"/>
          <w:lang w:eastAsia="zh-CN"/>
        </w:rPr>
        <w:t>) Statistical graph of stride length, stance time, and footprint area assessment in mice (n=5). (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G</w:t>
      </w:r>
      <w:r>
        <w:rPr>
          <w:rFonts w:hint="eastAsia" w:ascii="Times New Roman" w:hAnsi="Times New Roman" w:cs="Times New Roman"/>
          <w:b w:val="0"/>
          <w:bCs w:val="0"/>
          <w:sz w:val="24"/>
          <w:lang w:eastAsia="zh-CN"/>
        </w:rPr>
        <w:t>) Open field test in mice. (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H</w:t>
      </w:r>
      <w:r>
        <w:rPr>
          <w:rFonts w:hint="eastAsia" w:ascii="Times New Roman" w:hAnsi="Times New Roman" w:cs="Times New Roman"/>
          <w:b w:val="0"/>
          <w:bCs w:val="0"/>
          <w:sz w:val="24"/>
          <w:lang w:eastAsia="zh-CN"/>
        </w:rPr>
        <w:t xml:space="preserve">) Statistical graph of total distance traveled and mean speed in mice (n=5).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Between-group differences were assessed using one-way ANOVA followed by Tukey’s post hoc test. Asterisks denote significance levels as follows: ns, no significant; *P &lt; 0.05; **P &lt; 0.01; ***P &lt; 0.001.</w:t>
      </w:r>
    </w:p>
    <w:p w14:paraId="4B42CB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  <w:lang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eastAsia="zh-CN"/>
        </w:rPr>
        <w:drawing>
          <wp:inline distT="0" distB="0" distL="114300" distR="114300">
            <wp:extent cx="4720590" cy="5120005"/>
            <wp:effectExtent l="0" t="0" r="0" b="0"/>
            <wp:docPr id="12" name="图片 12" descr="fig4_fig4-supp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fig4_fig4-supply"/>
                    <pic:cNvPicPr>
                      <a:picLocks noChangeAspect="1"/>
                    </pic:cNvPicPr>
                  </pic:nvPicPr>
                  <pic:blipFill>
                    <a:blip r:embed="rId10"/>
                    <a:srcRect l="8601" t="469" r="9372" b="36631"/>
                    <a:stretch>
                      <a:fillRect/>
                    </a:stretch>
                  </pic:blipFill>
                  <pic:spPr>
                    <a:xfrm>
                      <a:off x="0" y="0"/>
                      <a:ext cx="4720590" cy="512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00F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  <w:lang w:eastAsia="zh-CN"/>
        </w:rPr>
      </w:pPr>
    </w:p>
    <w:p w14:paraId="648ADF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b w:val="0"/>
          <w:bCs w:val="0"/>
          <w:sz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 S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8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lang w:val="en-US" w:eastAsia="zh-CN"/>
        </w:rPr>
        <w:t>Histological sections of major organs, including the heart, liver, spleen, lung, and kidney, were stained with hematoxylin and eosin (H&amp;E). Scale bar, 100 μm.</w:t>
      </w:r>
    </w:p>
    <w:p w14:paraId="7A990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  <w:lang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eastAsia="zh-CN"/>
        </w:rPr>
        <w:drawing>
          <wp:inline distT="0" distB="0" distL="114300" distR="114300">
            <wp:extent cx="4537710" cy="2594610"/>
            <wp:effectExtent l="0" t="0" r="0" b="0"/>
            <wp:docPr id="13" name="图片 13" descr="fig4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ig4-05"/>
                    <pic:cNvPicPr>
                      <a:picLocks noChangeAspect="1"/>
                    </pic:cNvPicPr>
                  </pic:nvPicPr>
                  <pic:blipFill>
                    <a:blip r:embed="rId11"/>
                    <a:srcRect l="2759" t="3016" r="1711" b="58350"/>
                    <a:stretch>
                      <a:fillRect/>
                    </a:stretch>
                  </pic:blipFill>
                  <pic:spPr>
                    <a:xfrm>
                      <a:off x="0" y="0"/>
                      <a:ext cx="4537710" cy="259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137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  <w:lang w:eastAsia="zh-CN"/>
        </w:rPr>
      </w:pPr>
    </w:p>
    <w:p w14:paraId="533DA5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 w:eastAsiaTheme="minorEastAsia"/>
          <w:b/>
          <w:bCs/>
          <w:sz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 S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9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lang w:val="en-US" w:eastAsia="zh-CN"/>
        </w:rPr>
        <w:t>H&amp;E staining of the cross-sectional area of the tibialis anterior, quadriceps, and gastrocnemius muscles. Scale bar, 100 μm.</w:t>
      </w:r>
    </w:p>
    <w:p w14:paraId="52110A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  <w:lang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eastAsia="zh-CN"/>
        </w:rPr>
        <w:drawing>
          <wp:inline distT="0" distB="0" distL="114300" distR="114300">
            <wp:extent cx="5583555" cy="2003425"/>
            <wp:effectExtent l="0" t="0" r="0" b="0"/>
            <wp:docPr id="14" name="图片 14" descr="fig4-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fig4-06"/>
                    <pic:cNvPicPr>
                      <a:picLocks noChangeAspect="1"/>
                    </pic:cNvPicPr>
                  </pic:nvPicPr>
                  <pic:blipFill>
                    <a:blip r:embed="rId12"/>
                    <a:srcRect l="6252" t="4286" r="23588" b="77914"/>
                    <a:stretch>
                      <a:fillRect/>
                    </a:stretch>
                  </pic:blipFill>
                  <pic:spPr>
                    <a:xfrm>
                      <a:off x="0" y="0"/>
                      <a:ext cx="5583555" cy="200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06C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  <w:lang w:eastAsia="zh-CN"/>
        </w:rPr>
      </w:pPr>
    </w:p>
    <w:p w14:paraId="61F3CF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  <w:lang w:eastAsia="zh-CN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 S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10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 xml:space="preserve">(A) Statistical graph of MyoG fluorescence intensity in quadriceps muscle cross sections (n=3). (B) Statistical graph of Murf-1 fluorescence intensity in quadriceps muscle cross sections (n=3).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Between-group differences were assessed using one-way ANOVA followed by Tukey’s post hoc test. Asterisks denote significance levels as follows: ns, no significant; *P &lt; 0.05; **P &lt; 0.01; ***P &lt; 0.001.</w:t>
      </w:r>
    </w:p>
    <w:p w14:paraId="32D64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  <w:lang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eastAsia="zh-CN"/>
        </w:rPr>
        <w:drawing>
          <wp:inline distT="0" distB="0" distL="114300" distR="114300">
            <wp:extent cx="5376545" cy="1362075"/>
            <wp:effectExtent l="0" t="0" r="0" b="0"/>
            <wp:docPr id="6" name="图片 6" descr="fig4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4-07"/>
                    <pic:cNvPicPr>
                      <a:picLocks noChangeAspect="1"/>
                    </pic:cNvPicPr>
                  </pic:nvPicPr>
                  <pic:blipFill>
                    <a:blip r:embed="rId13"/>
                    <a:srcRect l="7710" t="5138" r="18094" b="81570"/>
                    <a:stretch>
                      <a:fillRect/>
                    </a:stretch>
                  </pic:blipFill>
                  <pic:spPr>
                    <a:xfrm>
                      <a:off x="0" y="0"/>
                      <a:ext cx="537654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CF5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  <w:lang w:eastAsia="zh-CN"/>
        </w:rPr>
      </w:pPr>
    </w:p>
    <w:p w14:paraId="0A0ADC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 w:val="0"/>
          <w:bCs w:val="0"/>
          <w:sz w:val="24"/>
          <w:lang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eastAsia="zh-CN"/>
        </w:rPr>
        <w:t>Fig S 1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4"/>
          <w:lang w:eastAsia="zh-CN"/>
        </w:rPr>
        <w:t>.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lang w:eastAsia="zh-CN"/>
        </w:rPr>
        <w:t xml:space="preserve">Hierarchical clustering heatmap of DEGs in the 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ACLT</w:t>
      </w:r>
      <w:r>
        <w:rPr>
          <w:rFonts w:hint="eastAsia" w:ascii="Times New Roman" w:hAnsi="Times New Roman" w:cs="Times New Roman"/>
          <w:b w:val="0"/>
          <w:bCs w:val="0"/>
          <w:sz w:val="24"/>
          <w:lang w:eastAsia="zh-CN"/>
        </w:rPr>
        <w:t xml:space="preserve"> vs. 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Sham and AA-EVs vs. ACLT</w:t>
      </w:r>
      <w:r>
        <w:rPr>
          <w:rFonts w:hint="eastAsia" w:ascii="Times New Roman" w:hAnsi="Times New Roman" w:cs="Times New Roman"/>
          <w:b w:val="0"/>
          <w:bCs w:val="0"/>
          <w:sz w:val="24"/>
          <w:lang w:eastAsia="zh-CN"/>
        </w:rPr>
        <w:t xml:space="preserve"> comparison.</w:t>
      </w:r>
    </w:p>
    <w:p w14:paraId="7E05D4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  <w:lang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eastAsia="zh-CN"/>
        </w:rPr>
        <w:drawing>
          <wp:inline distT="0" distB="0" distL="114300" distR="114300">
            <wp:extent cx="5191760" cy="4260850"/>
            <wp:effectExtent l="0" t="0" r="0" b="0"/>
            <wp:docPr id="2" name="图片 2" descr="fig5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5-04"/>
                    <pic:cNvPicPr>
                      <a:picLocks noChangeAspect="1"/>
                    </pic:cNvPicPr>
                  </pic:nvPicPr>
                  <pic:blipFill>
                    <a:blip r:embed="rId14"/>
                    <a:srcRect l="2324" t="4567" r="3047" b="41303"/>
                    <a:stretch>
                      <a:fillRect/>
                    </a:stretch>
                  </pic:blipFill>
                  <pic:spPr>
                    <a:xfrm>
                      <a:off x="0" y="0"/>
                      <a:ext cx="5191760" cy="426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33B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  <w:lang w:eastAsia="zh-CN"/>
        </w:rPr>
      </w:pPr>
    </w:p>
    <w:p w14:paraId="003F65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  <w:lang w:eastAsia="zh-CN"/>
        </w:rPr>
      </w:pPr>
      <w:r>
        <w:rPr>
          <w:rFonts w:ascii="Times New Roman" w:hAnsi="Times New Roman" w:cs="Times New Roman"/>
          <w:b/>
          <w:bCs/>
          <w:sz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 xml:space="preserve">S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12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 xml:space="preserve">Metabolomic profiling and bioinformatics analysis of quadriceps femoris muscles from ACLT-induced and AA-EVs-treated mice. (A) Volcano plots of differentially abundant metabolites in the ACLT vs Sham and AA-EVs vs. ACLT comparisons. (B) Overview of regulatory metabolites reversed by AA-EVs treatment in ACLT-induced muscle atrophy. (C) KEGG pathway enrichment analysis for the ACLT vs. Sham and AA-EVs vs. ACLT comparisons. (D) Hierarchical clustering heatmap of 61 pathway-associated metabolites between the ACLT and AA-EVs groups. </w:t>
      </w:r>
    </w:p>
    <w:p w14:paraId="4C195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  <w:lang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eastAsia="zh-CN"/>
        </w:rPr>
        <w:drawing>
          <wp:inline distT="0" distB="0" distL="114300" distR="114300">
            <wp:extent cx="5271135" cy="4846320"/>
            <wp:effectExtent l="0" t="0" r="0" b="0"/>
            <wp:docPr id="5" name="图片 5" descr="组学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组学_画板 1"/>
                    <pic:cNvPicPr>
                      <a:picLocks noChangeAspect="1"/>
                    </pic:cNvPicPr>
                  </pic:nvPicPr>
                  <pic:blipFill>
                    <a:blip r:embed="rId15"/>
                    <a:srcRect t="1896" b="226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471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  <w:lang w:eastAsia="zh-CN"/>
        </w:rPr>
      </w:pPr>
    </w:p>
    <w:p w14:paraId="02398B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  <w:lang w:eastAsia="zh-CN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 S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13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lang w:val="en-US" w:eastAsia="zh-CN"/>
        </w:rPr>
        <w:t>qPCR analysis of PPARα and PPARβ gene (n=6).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Between-group differences were assessed using one-way ANOVA followed by Tukey’s post hoc test. Asterisks denote significance levels as follows: ns, no significant; *P &lt; 0.05; **P &lt; 0.01; ***P &lt; 0.001.</w:t>
      </w:r>
    </w:p>
    <w:p w14:paraId="63B8E4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  <w:lang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eastAsia="zh-CN"/>
        </w:rPr>
        <w:drawing>
          <wp:inline distT="0" distB="0" distL="114300" distR="114300">
            <wp:extent cx="5005070" cy="1910080"/>
            <wp:effectExtent l="0" t="0" r="0" b="0"/>
            <wp:docPr id="8" name="图片 8" descr="fig6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6-03"/>
                    <pic:cNvPicPr>
                      <a:picLocks noChangeAspect="1"/>
                    </pic:cNvPicPr>
                  </pic:nvPicPr>
                  <pic:blipFill>
                    <a:blip r:embed="rId16"/>
                    <a:srcRect l="4999" t="9202" r="34165" b="74378"/>
                    <a:stretch>
                      <a:fillRect/>
                    </a:stretch>
                  </pic:blipFill>
                  <pic:spPr>
                    <a:xfrm>
                      <a:off x="0" y="0"/>
                      <a:ext cx="5005070" cy="191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99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  <w:lang w:eastAsia="zh-CN"/>
        </w:rPr>
      </w:pPr>
    </w:p>
    <w:p w14:paraId="6C00D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b/>
          <w:bCs/>
          <w:sz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 S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14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lang w:val="en-US" w:eastAsia="zh-CN"/>
        </w:rPr>
        <w:t xml:space="preserve">qPCR analysis of PPARγ gene (n=6).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Between-group differences were assessed using one-way ANOVA followed by Tukey’s post hoc test. Asterisks denote significance levels as follows: ns, no significant; *P &lt; 0.05; **P &lt; 0.01; ***P &lt; 0.001.</w:t>
      </w:r>
    </w:p>
    <w:p w14:paraId="60ADCF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 w:eastAsiaTheme="minorEastAsia"/>
          <w:b/>
          <w:bCs/>
          <w:sz w:val="24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lang w:eastAsia="zh-CN"/>
        </w:rPr>
        <w:drawing>
          <wp:inline distT="0" distB="0" distL="114300" distR="114300">
            <wp:extent cx="2395220" cy="1987550"/>
            <wp:effectExtent l="0" t="0" r="0" b="3175"/>
            <wp:docPr id="9" name="图片 9" descr="fig7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7-02"/>
                    <pic:cNvPicPr>
                      <a:picLocks noChangeAspect="1"/>
                    </pic:cNvPicPr>
                  </pic:nvPicPr>
                  <pic:blipFill>
                    <a:blip r:embed="rId17"/>
                    <a:srcRect l="11508" t="10831" r="3954" b="10434"/>
                    <a:stretch>
                      <a:fillRect/>
                    </a:stretch>
                  </pic:blipFill>
                  <pic:spPr>
                    <a:xfrm>
                      <a:off x="0" y="0"/>
                      <a:ext cx="2395220" cy="198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9BA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 w:eastAsiaTheme="minorEastAsia"/>
          <w:b/>
          <w:bCs/>
          <w:sz w:val="24"/>
          <w:lang w:eastAsia="zh-CN"/>
        </w:rPr>
      </w:pPr>
    </w:p>
    <w:p w14:paraId="6E82B9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  <w:lang w:eastAsia="zh-CN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 S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15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(A)</w:t>
      </w:r>
      <w:r>
        <w:rPr>
          <w:rFonts w:hint="default" w:ascii="Times New Roman" w:hAnsi="Times New Roman" w:cs="Times New Roman"/>
          <w:b w:val="0"/>
          <w:bCs w:val="0"/>
          <w:sz w:val="24"/>
        </w:rPr>
        <w:t xml:space="preserve">Western blot analysis of </w:t>
      </w:r>
      <w:r>
        <w:rPr>
          <w:rFonts w:hint="default" w:ascii="Times New Roman" w:hAnsi="Times New Roman" w:cs="Times New Roman"/>
          <w:b w:val="0"/>
          <w:bCs w:val="0"/>
          <w:sz w:val="24"/>
          <w:lang w:val="en-US" w:eastAsia="zh-CN"/>
        </w:rPr>
        <w:t>PPARγ</w:t>
      </w:r>
      <w:r>
        <w:rPr>
          <w:rFonts w:hint="default" w:ascii="Times New Roman" w:hAnsi="Times New Roman" w:cs="Times New Roman"/>
          <w:b w:val="0"/>
          <w:bCs w:val="0"/>
          <w:sz w:val="24"/>
        </w:rPr>
        <w:t>. (</w:t>
      </w:r>
      <w:r>
        <w:rPr>
          <w:rFonts w:hint="default" w:ascii="Times New Roman" w:hAnsi="Times New Roman" w:cs="Times New Roman"/>
          <w:b w:val="0"/>
          <w:bCs w:val="0"/>
          <w:sz w:val="24"/>
          <w:lang w:val="en-US" w:eastAsia="zh-CN"/>
        </w:rPr>
        <w:t>B</w:t>
      </w:r>
      <w:r>
        <w:rPr>
          <w:rFonts w:hint="default" w:ascii="Times New Roman" w:hAnsi="Times New Roman" w:cs="Times New Roman"/>
          <w:b w:val="0"/>
          <w:bCs w:val="0"/>
          <w:sz w:val="24"/>
        </w:rPr>
        <w:t xml:space="preserve">) Quantitative analysis of </w:t>
      </w:r>
      <w:r>
        <w:rPr>
          <w:rFonts w:hint="default" w:ascii="Times New Roman" w:hAnsi="Times New Roman" w:cs="Times New Roman"/>
          <w:b w:val="0"/>
          <w:bCs w:val="0"/>
          <w:sz w:val="24"/>
          <w:lang w:val="en-US" w:eastAsia="zh-CN"/>
        </w:rPr>
        <w:t>PPARγ</w:t>
      </w:r>
      <w:r>
        <w:rPr>
          <w:rFonts w:hint="default" w:ascii="Times New Roman" w:hAnsi="Times New Roman" w:cs="Times New Roman"/>
          <w:b w:val="0"/>
          <w:bCs w:val="0"/>
          <w:sz w:val="24"/>
        </w:rPr>
        <w:t xml:space="preserve"> protein expression (n=3).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Between-group differences were assessed using one-way ANOVA followed by Tukey’s post hoc test. Asterisks denote significance levels as follows: ns, no significant; *P &lt; 0.05; **P &lt; 0.01; ***P &lt; 0.001.</w:t>
      </w:r>
    </w:p>
    <w:p w14:paraId="379AD1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  <w:lang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eastAsia="zh-CN"/>
        </w:rPr>
        <w:drawing>
          <wp:inline distT="0" distB="0" distL="114300" distR="114300">
            <wp:extent cx="5408930" cy="1532255"/>
            <wp:effectExtent l="0" t="0" r="0" b="0"/>
            <wp:docPr id="1" name="图片 1" descr="fig7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7-03"/>
                    <pic:cNvPicPr>
                      <a:picLocks noChangeAspect="1"/>
                    </pic:cNvPicPr>
                  </pic:nvPicPr>
                  <pic:blipFill>
                    <a:blip r:embed="rId18"/>
                    <a:srcRect l="1494" t="3620" r="2229" b="11011"/>
                    <a:stretch>
                      <a:fillRect/>
                    </a:stretch>
                  </pic:blipFill>
                  <pic:spPr>
                    <a:xfrm>
                      <a:off x="0" y="0"/>
                      <a:ext cx="5408930" cy="153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3C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  <w:lang w:eastAsia="zh-CN"/>
        </w:rPr>
      </w:pPr>
    </w:p>
    <w:p w14:paraId="3FDDE1E5">
      <w:pPr>
        <w:spacing w:line="360" w:lineRule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  <w:sz w:val="24"/>
        </w:rPr>
        <w:t>Table S1.</w:t>
      </w:r>
      <w:r>
        <w:rPr>
          <w:rFonts w:hint="eastAsia"/>
        </w:rPr>
        <w:t xml:space="preserve"> </w:t>
      </w:r>
      <w:r>
        <w:rPr>
          <w:rFonts w:hint="default" w:ascii="Times New Roman" w:hAnsi="Times New Roman" w:cs="Times New Roman"/>
        </w:rPr>
        <w:t xml:space="preserve">LC/MS analytical data characterizing </w:t>
      </w:r>
      <w:r>
        <w:rPr>
          <w:rFonts w:hint="eastAsia" w:ascii="Times New Roman" w:hAnsi="Times New Roman" w:cs="Times New Roman"/>
          <w:lang w:val="en-US" w:eastAsia="zh-CN"/>
        </w:rPr>
        <w:t>As</w:t>
      </w:r>
      <w:r>
        <w:rPr>
          <w:rFonts w:hint="default" w:ascii="Times New Roman" w:hAnsi="Times New Roman" w:cs="Times New Roman"/>
        </w:rPr>
        <w:t>-EV</w:t>
      </w:r>
      <w:r>
        <w:rPr>
          <w:rFonts w:hint="eastAsia" w:ascii="Times New Roman" w:hAnsi="Times New Roman" w:cs="Times New Roman"/>
          <w:lang w:val="en-US" w:eastAsia="zh-CN"/>
        </w:rPr>
        <w:t>s</w:t>
      </w:r>
      <w:r>
        <w:rPr>
          <w:rFonts w:hint="default" w:ascii="Times New Roman" w:hAnsi="Times New Roman" w:cs="Times New Roman"/>
        </w:rPr>
        <w:t xml:space="preserve"> components, detailing retention times, ionization modes, adduct formations, molecular formulas, and precise m/z values.</w:t>
      </w:r>
    </w:p>
    <w:tbl>
      <w:tblPr>
        <w:tblStyle w:val="2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3580"/>
        <w:gridCol w:w="970"/>
        <w:gridCol w:w="630"/>
        <w:gridCol w:w="1065"/>
        <w:gridCol w:w="1220"/>
        <w:gridCol w:w="558"/>
      </w:tblGrid>
      <w:tr w14:paraId="24988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499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E6F6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NO</w:t>
            </w:r>
          </w:p>
        </w:tc>
        <w:tc>
          <w:tcPr>
            <w:tcW w:w="358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24FE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Component name</w:t>
            </w:r>
          </w:p>
        </w:tc>
        <w:tc>
          <w:tcPr>
            <w:tcW w:w="97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4EDA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Retention time</w:t>
            </w:r>
          </w:p>
          <w:p w14:paraId="3C04BE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(min)</w:t>
            </w:r>
          </w:p>
        </w:tc>
        <w:tc>
          <w:tcPr>
            <w:tcW w:w="63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6AD0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E278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Adducts</w:t>
            </w:r>
          </w:p>
        </w:tc>
        <w:tc>
          <w:tcPr>
            <w:tcW w:w="122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6D7D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Molecular formula</w:t>
            </w:r>
          </w:p>
        </w:tc>
        <w:tc>
          <w:tcPr>
            <w:tcW w:w="55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05C0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m/z</w:t>
            </w:r>
          </w:p>
        </w:tc>
      </w:tr>
      <w:tr w14:paraId="2F5C7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CE10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5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6F57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L-Arginine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3A1E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173.1039</w:t>
            </w:r>
          </w:p>
        </w:tc>
        <w:tc>
          <w:tcPr>
            <w:tcW w:w="63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85CD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0.72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D983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-H</w:t>
            </w: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E54F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C6H14N4O2</w:t>
            </w:r>
          </w:p>
        </w:tc>
        <w:tc>
          <w:tcPr>
            <w:tcW w:w="55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1FD2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NEG</w:t>
            </w:r>
          </w:p>
        </w:tc>
      </w:tr>
      <w:tr w14:paraId="2739A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5F47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D82A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Glycogen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3E01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689.2112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65AB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D973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+Na, +H, +K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F269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C24H42O21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1668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POS</w:t>
            </w:r>
          </w:p>
        </w:tc>
      </w:tr>
      <w:tr w14:paraId="59BF7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1CE8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8D58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Adenine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5551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136.0613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1B8D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86C9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+H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5E8D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C5H5N5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F756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POS</w:t>
            </w:r>
          </w:p>
        </w:tc>
      </w:tr>
      <w:tr w14:paraId="63B0E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7CD4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2417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Guanosine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56EE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284.0994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6C73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68FC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+H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7290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C10H13N5O5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563B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POS</w:t>
            </w:r>
          </w:p>
        </w:tc>
      </w:tr>
      <w:tr w14:paraId="00ACC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466E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541A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Riboflavin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F55E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377.1425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25D2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560B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+H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39E4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C17H20N4O6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FE82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POS</w:t>
            </w:r>
          </w:p>
        </w:tc>
      </w:tr>
      <w:tr w14:paraId="057CC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E668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B179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Isococculidine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E7BC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330.1686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1A96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2.65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94F1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+HCOO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4972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C18H23NO2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137C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NEG</w:t>
            </w:r>
          </w:p>
        </w:tc>
      </w:tr>
      <w:tr w14:paraId="3AD33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1FD5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1B9A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4-Hydroxy-3-methoxycinnamic acid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D4B1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193.0501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6583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5.12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D373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-H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D2CE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C10H10O4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78BB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NEG</w:t>
            </w:r>
          </w:p>
        </w:tc>
      </w:tr>
      <w:tr w14:paraId="3D253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2F98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8E23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7,2’-Dihydroxy-3’,4’,6’-trimethoxyisoflavan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8EA3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355.1179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D2F0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6.17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648E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+Na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C3B8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C18H20O6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70ED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POS</w:t>
            </w:r>
          </w:p>
        </w:tc>
      </w:tr>
      <w:tr w14:paraId="1843B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0A35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E8C4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2-Hydroxy-4-allylphenyl 6-O-alpha-L-rhamnopyranosyl-beta-D-glucopyranoside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142F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503.1772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0B19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6.43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CAA3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+HCOO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5ACC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C21H30O11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6421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NEG</w:t>
            </w:r>
          </w:p>
        </w:tc>
      </w:tr>
      <w:tr w14:paraId="6DB82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35E9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3628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Phellatin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E97F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533.1667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2B6D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7.94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607F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-H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6D76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C26H30O12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E75F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POS</w:t>
            </w:r>
          </w:p>
        </w:tc>
      </w:tr>
      <w:tr w14:paraId="7FF9A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DCFB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1555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Azelaic acid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CD5A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187.0971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996C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8.73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961F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-H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DA29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C9H16O4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F8CE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NEG</w:t>
            </w:r>
          </w:p>
        </w:tc>
      </w:tr>
      <w:tr w14:paraId="411BB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61DC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0F49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Senkyunolide D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D72D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221.0829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6426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13.2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C737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-H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CF9F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C12H14O4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D589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NEG</w:t>
            </w:r>
          </w:p>
        </w:tc>
      </w:tr>
      <w:tr w14:paraId="1F75D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994A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D742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Carvacryl acetate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564B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193.1222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A8F0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14.03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2516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+H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17C2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C12H16O2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1777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POS</w:t>
            </w:r>
          </w:p>
        </w:tc>
      </w:tr>
      <w:tr w14:paraId="7F938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4EE6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ABAA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Acetylastragaloside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A3B3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955.4949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0DB6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15.18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0708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+HCOO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FE9A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C47H74O17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F310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NEG</w:t>
            </w:r>
          </w:p>
        </w:tc>
      </w:tr>
      <w:tr w14:paraId="1552A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0109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493F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Suchilactone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D1CF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369.1335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FBEC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16.67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D680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+H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2A1F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C21H20O6</w:t>
            </w:r>
          </w:p>
        </w:tc>
        <w:tc>
          <w:tcPr>
            <w:tcW w:w="55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4ADF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POS</w:t>
            </w:r>
          </w:p>
        </w:tc>
      </w:tr>
    </w:tbl>
    <w:p w14:paraId="15157727">
      <w:pPr>
        <w:spacing w:line="360" w:lineRule="auto"/>
        <w:rPr>
          <w:rFonts w:hint="default" w:ascii="Times New Roman" w:hAnsi="Times New Roman" w:cs="Times New Roman"/>
        </w:rPr>
      </w:pPr>
    </w:p>
    <w:p w14:paraId="225C2C8A">
      <w:pPr>
        <w:spacing w:line="360" w:lineRule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  <w:sz w:val="24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2</w:t>
      </w:r>
      <w:r>
        <w:rPr>
          <w:rFonts w:hint="eastAsia" w:ascii="Times New Roman" w:hAnsi="Times New Roman" w:cs="Times New Roman"/>
          <w:b/>
          <w:bCs/>
          <w:sz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 xml:space="preserve">LC/MS analytical data characterizing </w:t>
      </w:r>
      <w:r>
        <w:rPr>
          <w:rFonts w:hint="eastAsia" w:ascii="Times New Roman" w:hAnsi="Times New Roman" w:cs="Times New Roman"/>
          <w:lang w:val="en-US" w:eastAsia="zh-CN"/>
        </w:rPr>
        <w:t>An</w:t>
      </w:r>
      <w:r>
        <w:rPr>
          <w:rFonts w:hint="default" w:ascii="Times New Roman" w:hAnsi="Times New Roman" w:cs="Times New Roman"/>
        </w:rPr>
        <w:t>-EV</w:t>
      </w:r>
      <w:r>
        <w:rPr>
          <w:rFonts w:hint="eastAsia" w:ascii="Times New Roman" w:hAnsi="Times New Roman" w:cs="Times New Roman"/>
          <w:lang w:val="en-US" w:eastAsia="zh-CN"/>
        </w:rPr>
        <w:t>s</w:t>
      </w:r>
      <w:r>
        <w:rPr>
          <w:rFonts w:hint="default" w:ascii="Times New Roman" w:hAnsi="Times New Roman" w:cs="Times New Roman"/>
        </w:rPr>
        <w:t xml:space="preserve"> components, detailing retention times, ionization modes, adduct formations, molecular formulas, and precise m/z values.</w:t>
      </w:r>
    </w:p>
    <w:tbl>
      <w:tblPr>
        <w:tblStyle w:val="2"/>
        <w:tblW w:w="859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2361"/>
        <w:gridCol w:w="1385"/>
        <w:gridCol w:w="765"/>
        <w:gridCol w:w="1225"/>
        <w:gridCol w:w="1623"/>
        <w:gridCol w:w="728"/>
      </w:tblGrid>
      <w:tr w14:paraId="7AE0B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3FF6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NO</w:t>
            </w:r>
          </w:p>
        </w:tc>
        <w:tc>
          <w:tcPr>
            <w:tcW w:w="2361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18D1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Component name</w:t>
            </w:r>
          </w:p>
        </w:tc>
        <w:tc>
          <w:tcPr>
            <w:tcW w:w="138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C0AE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Retention time</w:t>
            </w:r>
          </w:p>
          <w:p w14:paraId="054BDB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(min)</w:t>
            </w:r>
          </w:p>
        </w:tc>
        <w:tc>
          <w:tcPr>
            <w:tcW w:w="76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FA0B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</w:t>
            </w:r>
          </w:p>
        </w:tc>
        <w:tc>
          <w:tcPr>
            <w:tcW w:w="122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6C6B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Adducts</w:t>
            </w:r>
          </w:p>
        </w:tc>
        <w:tc>
          <w:tcPr>
            <w:tcW w:w="162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DCC4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Molecular formula</w:t>
            </w:r>
          </w:p>
        </w:tc>
        <w:tc>
          <w:tcPr>
            <w:tcW w:w="72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A154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m/z</w:t>
            </w:r>
          </w:p>
        </w:tc>
      </w:tr>
      <w:tr w14:paraId="3D6B3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C095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36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4001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Glycogen</w:t>
            </w:r>
          </w:p>
        </w:tc>
        <w:tc>
          <w:tcPr>
            <w:tcW w:w="138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7D75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689.2103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3E68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0.81</w:t>
            </w:r>
          </w:p>
        </w:tc>
        <w:tc>
          <w:tcPr>
            <w:tcW w:w="12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C88A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+Na</w:t>
            </w:r>
          </w:p>
        </w:tc>
        <w:tc>
          <w:tcPr>
            <w:tcW w:w="162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54ED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C24H42O21</w:t>
            </w:r>
          </w:p>
        </w:tc>
        <w:tc>
          <w:tcPr>
            <w:tcW w:w="7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9903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POS</w:t>
            </w:r>
          </w:p>
        </w:tc>
      </w:tr>
      <w:tr w14:paraId="7D0C6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F1C6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9868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Adenine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0C75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136.0613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63FD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0.86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91B0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+H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8579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C5H5N5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4740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POS</w:t>
            </w:r>
          </w:p>
        </w:tc>
      </w:tr>
      <w:tr w14:paraId="044DF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7DE4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3C8F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Guanosine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ABC1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284.0994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B976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1962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+H, +Na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21CB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C10H13N5O5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197D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POS</w:t>
            </w:r>
          </w:p>
        </w:tc>
      </w:tr>
      <w:tr w14:paraId="0635E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D782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7B3E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4-Hydroxy-3-methoxycinnamic acid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73DB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193.0501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D0D7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5.09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2D0D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+HCOO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C5C3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C10H10O4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2121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NEG</w:t>
            </w:r>
          </w:p>
        </w:tc>
      </w:tr>
      <w:tr w14:paraId="3CFDF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2072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DD6F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Rosifoliol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5187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245.1861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1054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5.54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0BD8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+Na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A6DD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C15H26O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C985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POS</w:t>
            </w:r>
          </w:p>
        </w:tc>
      </w:tr>
      <w:tr w14:paraId="27723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397E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4C27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Phellatin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0316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557.1638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F878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7.94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1165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+Na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E3EA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C26H30O12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B857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POS</w:t>
            </w:r>
          </w:p>
        </w:tc>
      </w:tr>
      <w:tr w14:paraId="79AC5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CC5E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C8EA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Azelaic acid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CB17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187.0972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ECE3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8.73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AFB1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-H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0DFD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C9H16O4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FA5D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NEG</w:t>
            </w:r>
          </w:p>
        </w:tc>
      </w:tr>
      <w:tr w14:paraId="0A9D6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28E2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A141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Astragaloside VII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3C35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945.5108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08F2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11.89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5B3D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-H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270E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C47H78O19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04EA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NEG</w:t>
            </w:r>
          </w:p>
        </w:tc>
      </w:tr>
      <w:tr w14:paraId="37239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6BBB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1BF4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Prostaglandin E2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BE69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353.2303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7D84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12.87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B2BB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+H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4D59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C20H32O5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D6D1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POS</w:t>
            </w:r>
          </w:p>
        </w:tc>
      </w:tr>
      <w:tr w14:paraId="0954F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B3F9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F3A2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Senkyunolide D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D3FE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221.0826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83E5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13.2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E336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-H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8121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C12H14O4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91B5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NEG</w:t>
            </w:r>
          </w:p>
        </w:tc>
      </w:tr>
      <w:tr w14:paraId="5B86C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CEC4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08C4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Astragaloside III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D130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829.4571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0C4A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13.61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BDD1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+HCOO, -H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5004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C41H68O14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0FC4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NEG</w:t>
            </w:r>
          </w:p>
        </w:tc>
      </w:tr>
      <w:tr w14:paraId="177C2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6F20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0BFA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Acetylastragaloside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EEC1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955.4985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0FCA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14.5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772F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+HCOO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547B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C47H74O17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B53C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NEG</w:t>
            </w:r>
          </w:p>
        </w:tc>
      </w:tr>
      <w:tr w14:paraId="4BE8D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705F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975A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Isoastragaloside II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774F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871.4688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83A3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14.66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03C1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+HCOO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D5BD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C43H70O15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1240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NEG</w:t>
            </w:r>
          </w:p>
        </w:tc>
      </w:tr>
      <w:tr w14:paraId="25C1E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61E8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</w:p>
        </w:tc>
        <w:tc>
          <w:tcPr>
            <w:tcW w:w="236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CAC3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Suchilactone</w:t>
            </w:r>
          </w:p>
        </w:tc>
        <w:tc>
          <w:tcPr>
            <w:tcW w:w="138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D0D3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369.1337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810D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16.66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810F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+H, +Na</w:t>
            </w:r>
          </w:p>
        </w:tc>
        <w:tc>
          <w:tcPr>
            <w:tcW w:w="162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5CA8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C21H20O6</w:t>
            </w:r>
          </w:p>
        </w:tc>
        <w:tc>
          <w:tcPr>
            <w:tcW w:w="72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4FBF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POS</w:t>
            </w:r>
          </w:p>
        </w:tc>
      </w:tr>
    </w:tbl>
    <w:p w14:paraId="127EF1FC">
      <w:pPr>
        <w:spacing w:line="360" w:lineRule="auto"/>
        <w:rPr>
          <w:rFonts w:hint="eastAsia" w:ascii="Times New Roman" w:hAnsi="Times New Roman" w:cs="Times New Roman"/>
          <w:lang w:val="en-US" w:eastAsia="zh-CN"/>
        </w:rPr>
      </w:pPr>
    </w:p>
    <w:p w14:paraId="40F8AC32">
      <w:pPr>
        <w:spacing w:line="360" w:lineRule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  <w:sz w:val="24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 xml:space="preserve">LC/MS analytical data characterizing </w:t>
      </w:r>
      <w:r>
        <w:rPr>
          <w:rFonts w:hint="eastAsia" w:ascii="Times New Roman" w:hAnsi="Times New Roman" w:cs="Times New Roman"/>
          <w:lang w:val="en-US" w:eastAsia="zh-CN"/>
        </w:rPr>
        <w:t>AA</w:t>
      </w:r>
      <w:r>
        <w:rPr>
          <w:rFonts w:hint="default" w:ascii="Times New Roman" w:hAnsi="Times New Roman" w:cs="Times New Roman"/>
        </w:rPr>
        <w:t>-EV</w:t>
      </w:r>
      <w:r>
        <w:rPr>
          <w:rFonts w:hint="eastAsia" w:ascii="Times New Roman" w:hAnsi="Times New Roman" w:cs="Times New Roman"/>
          <w:lang w:val="en-US" w:eastAsia="zh-CN"/>
        </w:rPr>
        <w:t>s</w:t>
      </w:r>
      <w:r>
        <w:rPr>
          <w:rFonts w:hint="default" w:ascii="Times New Roman" w:hAnsi="Times New Roman" w:cs="Times New Roman"/>
        </w:rPr>
        <w:t xml:space="preserve"> components, detailing retention times, ionization modes, adduct formations, molecular formulas, and precise m/z values.</w:t>
      </w:r>
    </w:p>
    <w:tbl>
      <w:tblPr>
        <w:tblStyle w:val="2"/>
        <w:tblW w:w="88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8"/>
        <w:gridCol w:w="3565"/>
        <w:gridCol w:w="1168"/>
        <w:gridCol w:w="672"/>
        <w:gridCol w:w="988"/>
        <w:gridCol w:w="1370"/>
        <w:gridCol w:w="614"/>
      </w:tblGrid>
      <w:tr w14:paraId="554A8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D50B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NO</w:t>
            </w:r>
          </w:p>
        </w:tc>
        <w:tc>
          <w:tcPr>
            <w:tcW w:w="356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4E14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Component name</w:t>
            </w:r>
          </w:p>
        </w:tc>
        <w:tc>
          <w:tcPr>
            <w:tcW w:w="116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AC25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Retention time</w:t>
            </w:r>
          </w:p>
          <w:p w14:paraId="41AFFB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(min)</w:t>
            </w:r>
          </w:p>
        </w:tc>
        <w:tc>
          <w:tcPr>
            <w:tcW w:w="67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B61C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</w:t>
            </w:r>
          </w:p>
        </w:tc>
        <w:tc>
          <w:tcPr>
            <w:tcW w:w="98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5A0B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Adducts</w:t>
            </w:r>
          </w:p>
        </w:tc>
        <w:tc>
          <w:tcPr>
            <w:tcW w:w="137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4B9A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Molecular formula</w:t>
            </w:r>
          </w:p>
        </w:tc>
        <w:tc>
          <w:tcPr>
            <w:tcW w:w="61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9BCE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m/z</w:t>
            </w:r>
          </w:p>
        </w:tc>
      </w:tr>
      <w:tr w14:paraId="3CFCF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A06F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56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3B75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L-Arginine</w:t>
            </w:r>
          </w:p>
        </w:tc>
        <w:tc>
          <w:tcPr>
            <w:tcW w:w="116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805D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173.1039</w:t>
            </w:r>
          </w:p>
        </w:tc>
        <w:tc>
          <w:tcPr>
            <w:tcW w:w="67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3CAB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0.72</w:t>
            </w:r>
          </w:p>
        </w:tc>
        <w:tc>
          <w:tcPr>
            <w:tcW w:w="98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D374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-H</w:t>
            </w:r>
          </w:p>
        </w:tc>
        <w:tc>
          <w:tcPr>
            <w:tcW w:w="137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5B95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C6H14N4O2</w:t>
            </w:r>
          </w:p>
        </w:tc>
        <w:tc>
          <w:tcPr>
            <w:tcW w:w="61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9918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NEG</w:t>
            </w:r>
          </w:p>
        </w:tc>
      </w:tr>
      <w:tr w14:paraId="37C42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7C53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3387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Glycogen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C725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689.2103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909B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0A60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+Na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41DF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C24H42O21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AD0E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POS</w:t>
            </w:r>
          </w:p>
        </w:tc>
      </w:tr>
      <w:tr w14:paraId="35E22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E804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54B4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Adenine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FB2D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136.0613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D418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CA81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+H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B068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C5H5N5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2025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POS</w:t>
            </w:r>
          </w:p>
        </w:tc>
      </w:tr>
      <w:tr w14:paraId="28CF2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D5A6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2250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Guanosine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C9E7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284.0994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E014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7A43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+H, +Na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B81B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C10H13N5O5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466B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POS</w:t>
            </w:r>
          </w:p>
        </w:tc>
      </w:tr>
      <w:tr w14:paraId="49706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83F1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E47B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Riboflavin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D3C7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377.1425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EF16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D6EA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+H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A1A8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C17H20N4O6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4399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POS</w:t>
            </w:r>
          </w:p>
        </w:tc>
      </w:tr>
      <w:tr w14:paraId="44CF5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9DAF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ED2C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Isococculidine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9BB1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330.1686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5556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2.65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39D2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+HCOO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3475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C18H23NO2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E2BC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NEG</w:t>
            </w:r>
          </w:p>
        </w:tc>
      </w:tr>
      <w:tr w14:paraId="31ACC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A756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BA62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4-Hydroxy-3-methoxycinnamic acid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AA18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239.0564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838E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5.09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93C3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+HCOO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8AD5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C10H10O4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2A75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NEG</w:t>
            </w:r>
          </w:p>
        </w:tc>
      </w:tr>
      <w:tr w14:paraId="474D9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3F14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299C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Rosifoliol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7BA2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245.1861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8FD0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5.54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919E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+Na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0542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C15H26O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3F73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POS</w:t>
            </w:r>
          </w:p>
        </w:tc>
      </w:tr>
      <w:tr w14:paraId="6D3C5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E64F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82FC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7,2’-Dihydroxy-3’,4’,6’-trimethoxyisoflavan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5A63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355.1179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BE09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6.17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95AC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+Na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60CC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C18H20O6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C70F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POS</w:t>
            </w:r>
          </w:p>
        </w:tc>
      </w:tr>
      <w:tr w14:paraId="68C73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8356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5206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2-Hydroxy-4-allylphenyl 6-O-alpha-L-rhamnopyranosyl-beta-D-glucopyranoside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9719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503.1772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87A8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6.43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A2AB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+HCOO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7B89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C21H30O11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3E67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NEG</w:t>
            </w:r>
          </w:p>
        </w:tc>
      </w:tr>
      <w:tr w14:paraId="287F2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1E34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2515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Phellatin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CF6F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557.1638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37FA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7.94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35F6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+Na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87D0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C26H30O12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26A3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POS</w:t>
            </w:r>
          </w:p>
        </w:tc>
      </w:tr>
      <w:tr w14:paraId="73863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4F21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9A3E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Azelaic acid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E402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187.0972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2F9E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8.73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38AC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-H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0440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C9H16O4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8E5D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NEG</w:t>
            </w:r>
          </w:p>
        </w:tc>
      </w:tr>
      <w:tr w14:paraId="72EC0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BE73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F0DC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Astragaloside VII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92ED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945.5108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6D0F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11.89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1518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-H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2201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C47H78O19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5911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NEG</w:t>
            </w:r>
          </w:p>
        </w:tc>
      </w:tr>
      <w:tr w14:paraId="12F7C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64F0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C2C7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Prostaglandin E2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C564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353.2303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D315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12.87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47CD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+H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D64B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C20H32O5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1A3E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POS</w:t>
            </w:r>
          </w:p>
        </w:tc>
      </w:tr>
      <w:tr w14:paraId="294F3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A7F1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2743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Senkyunolide D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DBB2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221.0826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09B9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13.2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738D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-H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0986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C12H14O4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7389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NEG</w:t>
            </w:r>
          </w:p>
        </w:tc>
      </w:tr>
      <w:tr w14:paraId="14145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8863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F5A1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Astragaloside III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E341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829.4571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A68E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13.61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55AB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+HCOO, -H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5652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C41H68O14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1AC4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NEG</w:t>
            </w:r>
          </w:p>
        </w:tc>
      </w:tr>
      <w:tr w14:paraId="6AEFF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C774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84E9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Carvacryl acetate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BC4C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193.1222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0F5D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14.03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8319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+H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8456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C12H16O2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5300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POS</w:t>
            </w:r>
          </w:p>
        </w:tc>
      </w:tr>
      <w:tr w14:paraId="0821A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D034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1042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Acetylastragaloside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FE97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955.4985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E5BD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B5DB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+HCOO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3B75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C47H74O17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02D5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NEG</w:t>
            </w:r>
          </w:p>
        </w:tc>
      </w:tr>
      <w:tr w14:paraId="3A2E5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52EE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DBB9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Isoastragaloside II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2F9C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871.4688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D980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14.66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0580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+HCOO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F069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C43H70O15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70D9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NEG</w:t>
            </w:r>
          </w:p>
        </w:tc>
      </w:tr>
      <w:tr w14:paraId="7A6AE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2992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56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0BA4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Suchilactone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2780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369.1337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018C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16.66</w:t>
            </w:r>
          </w:p>
        </w:tc>
        <w:tc>
          <w:tcPr>
            <w:tcW w:w="98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CC92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+H, +Na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7292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C21H20O6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D18D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POS</w:t>
            </w:r>
          </w:p>
        </w:tc>
      </w:tr>
    </w:tbl>
    <w:p w14:paraId="445B2CE9">
      <w:pPr>
        <w:spacing w:line="360" w:lineRule="auto"/>
        <w:jc w:val="both"/>
        <w:rPr>
          <w:rFonts w:hint="default" w:ascii="Times New Roman" w:hAnsi="Times New Roman" w:cs="Times New Roman"/>
          <w:sz w:val="15"/>
          <w:szCs w:val="15"/>
        </w:rPr>
      </w:pPr>
    </w:p>
    <w:p w14:paraId="04A0C3A2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4</w:t>
      </w:r>
      <w:r>
        <w:rPr>
          <w:rFonts w:hint="eastAsia" w:ascii="Times New Roman" w:hAnsi="Times New Roman" w:cs="Times New Roman"/>
          <w:b/>
          <w:bCs/>
          <w:sz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The primer sequence of target genes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283CD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tbl>
            <w:tblPr>
              <w:tblStyle w:val="3"/>
              <w:tblpPr w:leftFromText="180" w:rightFromText="180" w:vertAnchor="page" w:horzAnchor="margin" w:tblpY="185"/>
              <w:tblOverlap w:val="never"/>
              <w:tblW w:w="8364" w:type="dxa"/>
              <w:tblInd w:w="0" w:type="dxa"/>
              <w:tblBorders>
                <w:top w:val="single" w:color="auto" w:sz="12" w:space="0"/>
                <w:left w:val="none" w:color="auto" w:sz="0" w:space="0"/>
                <w:bottom w:val="single" w:color="auto" w:sz="12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34"/>
              <w:gridCol w:w="3544"/>
              <w:gridCol w:w="3686"/>
            </w:tblGrid>
            <w:tr w14:paraId="495CF31D">
              <w:tblPrEx>
                <w:tblBorders>
                  <w:top w:val="single" w:color="auto" w:sz="12" w:space="0"/>
                  <w:left w:val="none" w:color="auto" w:sz="0" w:space="0"/>
                  <w:bottom w:val="single" w:color="auto" w:sz="12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7" w:hRule="atLeast"/>
              </w:trPr>
              <w:tc>
                <w:tcPr>
                  <w:tcW w:w="1134" w:type="dxa"/>
                  <w:tcBorders>
                    <w:top w:val="single" w:color="000000" w:sz="12" w:space="0"/>
                    <w:bottom w:val="single" w:color="000000" w:sz="4" w:space="0"/>
                    <w:tl2br w:val="nil"/>
                  </w:tcBorders>
                  <w:shd w:val="clear" w:color="auto" w:fill="FFFFFF"/>
                </w:tcPr>
                <w:p w14:paraId="58E86973">
                  <w:pPr>
                    <w:widowControl/>
                    <w:jc w:val="left"/>
                    <w:rPr>
                      <w:rFonts w:hint="default" w:ascii="Times New Roman" w:hAnsi="Times New Roman" w:cs="Times New Roman"/>
                      <w:color w:val="000000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20"/>
                      <w:szCs w:val="20"/>
                      <w:lang w:bidi="ar"/>
                    </w:rPr>
                    <w:t>Genes</w:t>
                  </w:r>
                </w:p>
              </w:tc>
              <w:tc>
                <w:tcPr>
                  <w:tcW w:w="3544" w:type="dxa"/>
                  <w:tcBorders>
                    <w:top w:val="single" w:color="000000" w:sz="12" w:space="0"/>
                    <w:bottom w:val="single" w:color="000000" w:sz="4" w:space="0"/>
                  </w:tcBorders>
                  <w:shd w:val="clear" w:color="auto" w:fill="FFFFFF"/>
                </w:tcPr>
                <w:p w14:paraId="6722391E">
                  <w:pPr>
                    <w:widowControl/>
                    <w:jc w:val="center"/>
                    <w:rPr>
                      <w:rFonts w:hint="default" w:ascii="Times New Roman" w:hAnsi="Times New Roman" w:cs="Times New Roman"/>
                      <w:color w:val="000000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20"/>
                      <w:szCs w:val="20"/>
                      <w:lang w:bidi="ar"/>
                    </w:rPr>
                    <w:t>Forward primer sequence</w:t>
                  </w:r>
                </w:p>
              </w:tc>
              <w:tc>
                <w:tcPr>
                  <w:tcW w:w="3686" w:type="dxa"/>
                  <w:tcBorders>
                    <w:top w:val="single" w:color="000000" w:sz="12" w:space="0"/>
                    <w:bottom w:val="single" w:color="000000" w:sz="4" w:space="0"/>
                  </w:tcBorders>
                  <w:shd w:val="clear" w:color="auto" w:fill="FFFFFF"/>
                </w:tcPr>
                <w:p w14:paraId="26F613A9">
                  <w:pPr>
                    <w:widowControl/>
                    <w:jc w:val="center"/>
                    <w:rPr>
                      <w:rFonts w:hint="default" w:ascii="Times New Roman" w:hAnsi="Times New Roman" w:cs="Times New Roman"/>
                      <w:color w:val="000000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20"/>
                      <w:szCs w:val="20"/>
                      <w:lang w:bidi="ar"/>
                    </w:rPr>
                    <w:t>Reverse primer sequence</w:t>
                  </w:r>
                </w:p>
              </w:tc>
            </w:tr>
            <w:tr w14:paraId="4C421E96">
              <w:tblPrEx>
                <w:tblBorders>
                  <w:top w:val="single" w:color="auto" w:sz="12" w:space="0"/>
                  <w:left w:val="none" w:color="auto" w:sz="0" w:space="0"/>
                  <w:bottom w:val="single" w:color="auto" w:sz="12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34" w:type="dxa"/>
                  <w:tcBorders>
                    <w:top w:val="single" w:color="000000" w:sz="4" w:space="0"/>
                    <w:tl2br w:val="nil"/>
                    <w:tr2bl w:val="nil"/>
                  </w:tcBorders>
                  <w:shd w:val="clear" w:color="auto" w:fill="FFFFFF"/>
                </w:tcPr>
                <w:p w14:paraId="0DE78CA2">
                  <w:pPr>
                    <w:widowControl/>
                    <w:jc w:val="left"/>
                    <w:rPr>
                      <w:rFonts w:hint="default" w:ascii="Times New Roman" w:hAnsi="Times New Roman" w:cs="Times New Roman" w:eastAsiaTheme="minorEastAsia"/>
                      <w:color w:val="000000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lang w:val="en-US" w:eastAsia="zh-CN"/>
                    </w:rPr>
                    <w:t>Actin</w:t>
                  </w:r>
                </w:p>
              </w:tc>
              <w:tc>
                <w:tcPr>
                  <w:tcW w:w="3544" w:type="dxa"/>
                  <w:tcBorders>
                    <w:top w:val="single" w:color="000000" w:sz="4" w:space="0"/>
                    <w:tl2br w:val="nil"/>
                    <w:tr2bl w:val="nil"/>
                  </w:tcBorders>
                  <w:shd w:val="clear" w:color="auto" w:fill="FFFFFF"/>
                </w:tcPr>
                <w:p w14:paraId="070AE850">
                  <w:pPr>
                    <w:jc w:val="center"/>
                    <w:rPr>
                      <w:rFonts w:hint="default" w:ascii="Times New Roman" w:hAnsi="Times New Roman" w:cs="Times New Roman"/>
                      <w:color w:val="00000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</w:rPr>
                    <w:t>CATCACTGCCACCCAGAAGACTG</w:t>
                  </w:r>
                </w:p>
              </w:tc>
              <w:tc>
                <w:tcPr>
                  <w:tcW w:w="3686" w:type="dxa"/>
                  <w:tcBorders>
                    <w:top w:val="single" w:color="000000" w:sz="4" w:space="0"/>
                    <w:tl2br w:val="nil"/>
                    <w:tr2bl w:val="nil"/>
                  </w:tcBorders>
                  <w:shd w:val="clear" w:color="auto" w:fill="FFFFFF"/>
                </w:tcPr>
                <w:p w14:paraId="487F0726">
                  <w:pPr>
                    <w:jc w:val="center"/>
                    <w:rPr>
                      <w:rFonts w:hint="default" w:ascii="Times New Roman" w:hAnsi="Times New Roman" w:cs="Times New Roman"/>
                      <w:color w:val="00000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</w:rPr>
                    <w:t>ATGCCAGTGAGCTTCCCGTTCAG</w:t>
                  </w:r>
                </w:p>
              </w:tc>
            </w:tr>
            <w:tr w14:paraId="571E5B84">
              <w:tblPrEx>
                <w:tblBorders>
                  <w:top w:val="single" w:color="auto" w:sz="12" w:space="0"/>
                  <w:left w:val="none" w:color="auto" w:sz="0" w:space="0"/>
                  <w:bottom w:val="single" w:color="auto" w:sz="12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34" w:type="dxa"/>
                  <w:tcBorders>
                    <w:tl2br w:val="nil"/>
                    <w:tr2bl w:val="nil"/>
                  </w:tcBorders>
                  <w:shd w:val="clear" w:color="auto" w:fill="FFFFFF"/>
                </w:tcPr>
                <w:p w14:paraId="1F9C3BE8">
                  <w:pPr>
                    <w:widowControl/>
                    <w:jc w:val="left"/>
                    <w:rPr>
                      <w:rFonts w:hint="default" w:ascii="Times New Roman" w:hAnsi="Times New Roman" w:cs="Times New Roman"/>
                      <w:color w:val="000000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20"/>
                      <w:szCs w:val="20"/>
                      <w:lang w:bidi="ar"/>
                    </w:rPr>
                    <w:t>MyoG</w:t>
                  </w:r>
                </w:p>
              </w:tc>
              <w:tc>
                <w:tcPr>
                  <w:tcW w:w="3544" w:type="dxa"/>
                  <w:tcBorders>
                    <w:tl2br w:val="nil"/>
                    <w:tr2bl w:val="nil"/>
                  </w:tcBorders>
                  <w:shd w:val="clear" w:color="auto" w:fill="FFFFFF"/>
                </w:tcPr>
                <w:p w14:paraId="47B2FDD6">
                  <w:pPr>
                    <w:jc w:val="center"/>
                    <w:rPr>
                      <w:rFonts w:hint="default" w:ascii="Times New Roman" w:hAnsi="Times New Roman" w:cs="Times New Roman"/>
                      <w:color w:val="00000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</w:rPr>
                    <w:t>CCATCCAGTACATTGAGCGCCT</w:t>
                  </w:r>
                </w:p>
              </w:tc>
              <w:tc>
                <w:tcPr>
                  <w:tcW w:w="3686" w:type="dxa"/>
                  <w:tcBorders>
                    <w:tl2br w:val="nil"/>
                    <w:tr2bl w:val="nil"/>
                  </w:tcBorders>
                  <w:shd w:val="clear" w:color="auto" w:fill="FFFFFF"/>
                </w:tcPr>
                <w:p w14:paraId="38C0CA51">
                  <w:pPr>
                    <w:jc w:val="center"/>
                    <w:rPr>
                      <w:rFonts w:hint="default" w:ascii="Times New Roman" w:hAnsi="Times New Roman" w:cs="Times New Roman"/>
                      <w:color w:val="00000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</w:rPr>
                    <w:t>CTGTGGGAGTTGCATTCACTGG</w:t>
                  </w:r>
                </w:p>
              </w:tc>
            </w:tr>
            <w:tr w14:paraId="178A60C4">
              <w:tblPrEx>
                <w:tblBorders>
                  <w:top w:val="single" w:color="auto" w:sz="12" w:space="0"/>
                  <w:left w:val="none" w:color="auto" w:sz="0" w:space="0"/>
                  <w:bottom w:val="single" w:color="auto" w:sz="12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34" w:type="dxa"/>
                  <w:tcBorders>
                    <w:tl2br w:val="nil"/>
                    <w:tr2bl w:val="nil"/>
                  </w:tcBorders>
                  <w:shd w:val="clear" w:color="auto" w:fill="FFFFFF"/>
                </w:tcPr>
                <w:p w14:paraId="42A9CBD7">
                  <w:pPr>
                    <w:widowControl/>
                    <w:jc w:val="left"/>
                    <w:rPr>
                      <w:rFonts w:hint="default" w:ascii="Times New Roman" w:hAnsi="Times New Roman" w:cs="Times New Roman"/>
                      <w:color w:val="000000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20"/>
                      <w:szCs w:val="20"/>
                      <w:lang w:bidi="ar"/>
                    </w:rPr>
                    <w:t>MyoD</w:t>
                  </w:r>
                </w:p>
              </w:tc>
              <w:tc>
                <w:tcPr>
                  <w:tcW w:w="3544" w:type="dxa"/>
                  <w:tcBorders>
                    <w:tl2br w:val="nil"/>
                    <w:tr2bl w:val="nil"/>
                  </w:tcBorders>
                  <w:shd w:val="clear" w:color="auto" w:fill="FFFFFF"/>
                </w:tcPr>
                <w:p w14:paraId="06FDDEBC">
                  <w:pPr>
                    <w:jc w:val="center"/>
                    <w:rPr>
                      <w:rFonts w:hint="default" w:ascii="Times New Roman" w:hAnsi="Times New Roman" w:cs="Times New Roman"/>
                      <w:color w:val="00000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</w:rPr>
                    <w:t>GCACTACAGTGGCGACTCAGAT</w:t>
                  </w:r>
                </w:p>
              </w:tc>
              <w:tc>
                <w:tcPr>
                  <w:tcW w:w="3686" w:type="dxa"/>
                  <w:tcBorders>
                    <w:tl2br w:val="nil"/>
                    <w:tr2bl w:val="nil"/>
                  </w:tcBorders>
                  <w:shd w:val="clear" w:color="auto" w:fill="FFFFFF"/>
                </w:tcPr>
                <w:p w14:paraId="54568DCA">
                  <w:pPr>
                    <w:jc w:val="center"/>
                    <w:rPr>
                      <w:rFonts w:hint="default" w:ascii="Times New Roman" w:hAnsi="Times New Roman" w:cs="Times New Roman"/>
                      <w:color w:val="00000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</w:rPr>
                    <w:t>TAGTAGGCGGTGTCGTAGCCAT</w:t>
                  </w:r>
                </w:p>
              </w:tc>
            </w:tr>
            <w:tr w14:paraId="71052C72">
              <w:tblPrEx>
                <w:tblBorders>
                  <w:top w:val="single" w:color="auto" w:sz="12" w:space="0"/>
                  <w:left w:val="none" w:color="auto" w:sz="0" w:space="0"/>
                  <w:bottom w:val="single" w:color="auto" w:sz="12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34" w:type="dxa"/>
                  <w:tcBorders>
                    <w:tl2br w:val="nil"/>
                    <w:tr2bl w:val="nil"/>
                  </w:tcBorders>
                  <w:shd w:val="clear" w:color="auto" w:fill="FFFFFF"/>
                </w:tcPr>
                <w:p w14:paraId="32AF05A3">
                  <w:pPr>
                    <w:widowControl/>
                    <w:jc w:val="left"/>
                    <w:rPr>
                      <w:rFonts w:hint="default" w:ascii="Times New Roman" w:hAnsi="Times New Roman" w:cs="Times New Roman"/>
                      <w:color w:val="000000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20"/>
                      <w:szCs w:val="20"/>
                      <w:lang w:bidi="ar"/>
                    </w:rPr>
                    <w:t>MuRF1</w:t>
                  </w:r>
                </w:p>
              </w:tc>
              <w:tc>
                <w:tcPr>
                  <w:tcW w:w="3544" w:type="dxa"/>
                  <w:tcBorders>
                    <w:tl2br w:val="nil"/>
                    <w:tr2bl w:val="nil"/>
                  </w:tcBorders>
                  <w:shd w:val="clear" w:color="auto" w:fill="FFFFFF"/>
                </w:tcPr>
                <w:p w14:paraId="7F780E29">
                  <w:pPr>
                    <w:jc w:val="center"/>
                    <w:rPr>
                      <w:rFonts w:hint="default" w:ascii="Times New Roman" w:hAnsi="Times New Roman" w:cs="Times New Roman"/>
                      <w:color w:val="00000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</w:rPr>
                    <w:t>TACCAAGCCTGTGGTCATCCTG</w:t>
                  </w:r>
                </w:p>
              </w:tc>
              <w:tc>
                <w:tcPr>
                  <w:tcW w:w="3686" w:type="dxa"/>
                  <w:tcBorders>
                    <w:tl2br w:val="nil"/>
                    <w:tr2bl w:val="nil"/>
                  </w:tcBorders>
                  <w:shd w:val="clear" w:color="auto" w:fill="FFFFFF"/>
                </w:tcPr>
                <w:p w14:paraId="3BC433D4">
                  <w:pPr>
                    <w:jc w:val="center"/>
                    <w:rPr>
                      <w:rFonts w:hint="default" w:ascii="Times New Roman" w:hAnsi="Times New Roman" w:cs="Times New Roman"/>
                      <w:color w:val="00000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</w:rPr>
                    <w:t>ACGGAAACGACCTCCAGACATG</w:t>
                  </w:r>
                </w:p>
              </w:tc>
            </w:tr>
            <w:tr w14:paraId="4C7D0F9D">
              <w:tblPrEx>
                <w:tblBorders>
                  <w:top w:val="single" w:color="auto" w:sz="12" w:space="0"/>
                  <w:left w:val="none" w:color="auto" w:sz="0" w:space="0"/>
                  <w:bottom w:val="single" w:color="auto" w:sz="12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34" w:type="dxa"/>
                  <w:tcBorders>
                    <w:tl2br w:val="nil"/>
                    <w:tr2bl w:val="nil"/>
                  </w:tcBorders>
                  <w:shd w:val="clear" w:color="auto" w:fill="FFFFFF"/>
                </w:tcPr>
                <w:p w14:paraId="6E8708D9">
                  <w:pPr>
                    <w:widowControl/>
                    <w:jc w:val="left"/>
                    <w:rPr>
                      <w:rFonts w:hint="default" w:ascii="Times New Roman" w:hAnsi="Times New Roman" w:cs="Times New Roman"/>
                      <w:color w:val="000000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20"/>
                      <w:szCs w:val="20"/>
                      <w:lang w:bidi="ar"/>
                    </w:rPr>
                    <w:t>Atrogin-1</w:t>
                  </w:r>
                </w:p>
              </w:tc>
              <w:tc>
                <w:tcPr>
                  <w:tcW w:w="3544" w:type="dxa"/>
                  <w:tcBorders>
                    <w:tl2br w:val="nil"/>
                    <w:tr2bl w:val="nil"/>
                  </w:tcBorders>
                  <w:shd w:val="clear" w:color="auto" w:fill="FFFFFF"/>
                </w:tcPr>
                <w:p w14:paraId="4D6B5B5A">
                  <w:pPr>
                    <w:jc w:val="center"/>
                    <w:rPr>
                      <w:rFonts w:hint="default" w:ascii="Times New Roman" w:hAnsi="Times New Roman" w:cs="Times New Roman"/>
                      <w:color w:val="00000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</w:rPr>
                    <w:t>CTTCTCGACTGCCATCCTGGAT</w:t>
                  </w:r>
                </w:p>
              </w:tc>
              <w:tc>
                <w:tcPr>
                  <w:tcW w:w="3686" w:type="dxa"/>
                  <w:tcBorders>
                    <w:tl2br w:val="nil"/>
                    <w:tr2bl w:val="nil"/>
                  </w:tcBorders>
                  <w:shd w:val="clear" w:color="auto" w:fill="FFFFFF"/>
                </w:tcPr>
                <w:p w14:paraId="2A9C628A">
                  <w:pPr>
                    <w:jc w:val="center"/>
                    <w:rPr>
                      <w:rFonts w:hint="default" w:ascii="Times New Roman" w:hAnsi="Times New Roman" w:cs="Times New Roman"/>
                      <w:color w:val="00000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</w:rPr>
                    <w:t>TCTTTTGGGCGATGCCACTCAG</w:t>
                  </w:r>
                </w:p>
              </w:tc>
            </w:tr>
            <w:tr w14:paraId="26DA1CA8">
              <w:tblPrEx>
                <w:tblBorders>
                  <w:top w:val="single" w:color="auto" w:sz="12" w:space="0"/>
                  <w:left w:val="none" w:color="auto" w:sz="0" w:space="0"/>
                  <w:bottom w:val="single" w:color="auto" w:sz="12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34" w:type="dxa"/>
                  <w:tcBorders>
                    <w:tl2br w:val="nil"/>
                    <w:tr2bl w:val="nil"/>
                  </w:tcBorders>
                  <w:shd w:val="clear" w:color="auto" w:fill="FFFFFF"/>
                </w:tcPr>
                <w:p w14:paraId="74CCDED0">
                  <w:pPr>
                    <w:widowControl/>
                    <w:jc w:val="left"/>
                    <w:rPr>
                      <w:rFonts w:hint="default" w:ascii="Times New Roman" w:hAnsi="Times New Roman" w:cs="Times New Roman" w:eastAsiaTheme="minorEastAsia"/>
                      <w:color w:val="000000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lang w:val="en-US" w:eastAsia="zh-CN"/>
                    </w:rPr>
                    <w:t>FABP4</w:t>
                  </w:r>
                </w:p>
              </w:tc>
              <w:tc>
                <w:tcPr>
                  <w:tcW w:w="3544" w:type="dxa"/>
                  <w:tcBorders>
                    <w:tl2br w:val="nil"/>
                    <w:tr2bl w:val="nil"/>
                  </w:tcBorders>
                  <w:shd w:val="clear" w:color="auto" w:fill="FFFFFF"/>
                </w:tcPr>
                <w:p w14:paraId="728CB72A">
                  <w:pPr>
                    <w:jc w:val="center"/>
                    <w:rPr>
                      <w:rFonts w:hint="default" w:ascii="Times New Roman" w:hAnsi="Times New Roman" w:cs="Times New Roman"/>
                      <w:color w:val="00000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</w:rPr>
                    <w:t>TGAAATCACCGCAGACGACAGG</w:t>
                  </w:r>
                </w:p>
              </w:tc>
              <w:tc>
                <w:tcPr>
                  <w:tcW w:w="3686" w:type="dxa"/>
                  <w:tcBorders>
                    <w:tl2br w:val="nil"/>
                    <w:tr2bl w:val="nil"/>
                  </w:tcBorders>
                  <w:shd w:val="clear" w:color="auto" w:fill="FFFFFF"/>
                </w:tcPr>
                <w:p w14:paraId="1B5BABCA">
                  <w:pPr>
                    <w:jc w:val="center"/>
                    <w:rPr>
                      <w:rFonts w:hint="default" w:ascii="Times New Roman" w:hAnsi="Times New Roman" w:cs="Times New Roman"/>
                      <w:color w:val="00000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</w:rPr>
                    <w:t>GCTTGTCACCATCTCGTTTTCTC</w:t>
                  </w:r>
                </w:p>
              </w:tc>
            </w:tr>
            <w:tr w14:paraId="49B124EC">
              <w:tblPrEx>
                <w:tblBorders>
                  <w:top w:val="single" w:color="auto" w:sz="12" w:space="0"/>
                  <w:left w:val="none" w:color="auto" w:sz="0" w:space="0"/>
                  <w:bottom w:val="single" w:color="auto" w:sz="12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34" w:type="dxa"/>
                  <w:tcBorders>
                    <w:tl2br w:val="nil"/>
                    <w:tr2bl w:val="nil"/>
                  </w:tcBorders>
                  <w:shd w:val="clear" w:color="auto" w:fill="FFFFFF"/>
                </w:tcPr>
                <w:p w14:paraId="188A1C52">
                  <w:pPr>
                    <w:widowControl/>
                    <w:jc w:val="left"/>
                    <w:rPr>
                      <w:rFonts w:hint="default" w:ascii="Times New Roman" w:hAnsi="Times New Roman" w:cs="Times New Roman" w:eastAsiaTheme="minorEastAsia"/>
                      <w:color w:val="000000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lang w:val="en-US" w:eastAsia="zh-CN"/>
                    </w:rPr>
                    <w:t>CD36</w:t>
                  </w:r>
                </w:p>
              </w:tc>
              <w:tc>
                <w:tcPr>
                  <w:tcW w:w="3544" w:type="dxa"/>
                  <w:tcBorders>
                    <w:tl2br w:val="nil"/>
                    <w:tr2bl w:val="nil"/>
                  </w:tcBorders>
                  <w:shd w:val="clear" w:color="auto" w:fill="FFFFFF"/>
                </w:tcPr>
                <w:p w14:paraId="056D2D9D">
                  <w:pPr>
                    <w:jc w:val="center"/>
                    <w:rPr>
                      <w:rFonts w:hint="default" w:ascii="Times New Roman" w:hAnsi="Times New Roman" w:cs="Times New Roman"/>
                      <w:color w:val="00000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</w:rPr>
                    <w:t>GGACATTGAGATTCTTTTCCTCTG</w:t>
                  </w:r>
                </w:p>
              </w:tc>
              <w:tc>
                <w:tcPr>
                  <w:tcW w:w="3686" w:type="dxa"/>
                  <w:tcBorders>
                    <w:tl2br w:val="nil"/>
                    <w:tr2bl w:val="nil"/>
                  </w:tcBorders>
                  <w:shd w:val="clear" w:color="auto" w:fill="FFFFFF"/>
                </w:tcPr>
                <w:p w14:paraId="487B9FE0">
                  <w:pPr>
                    <w:jc w:val="center"/>
                    <w:rPr>
                      <w:rFonts w:hint="default" w:ascii="Times New Roman" w:hAnsi="Times New Roman" w:cs="Times New Roman"/>
                      <w:color w:val="00000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</w:rPr>
                    <w:t>GCAAAGGCATTGGCTGGAAGAAC</w:t>
                  </w:r>
                </w:p>
              </w:tc>
            </w:tr>
            <w:tr w14:paraId="680AD8D8">
              <w:tblPrEx>
                <w:tblBorders>
                  <w:top w:val="single" w:color="auto" w:sz="12" w:space="0"/>
                  <w:left w:val="none" w:color="auto" w:sz="0" w:space="0"/>
                  <w:bottom w:val="single" w:color="auto" w:sz="12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34" w:type="dxa"/>
                  <w:tcBorders>
                    <w:tl2br w:val="nil"/>
                    <w:tr2bl w:val="nil"/>
                  </w:tcBorders>
                  <w:shd w:val="clear" w:color="auto" w:fill="FFFFFF"/>
                </w:tcPr>
                <w:p w14:paraId="2BE255B1">
                  <w:pPr>
                    <w:widowControl/>
                    <w:jc w:val="left"/>
                    <w:rPr>
                      <w:rFonts w:hint="default" w:ascii="Times New Roman" w:hAnsi="Times New Roman" w:cs="Times New Roman" w:eastAsiaTheme="minorEastAsia"/>
                      <w:color w:val="000000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lang w:val="en-US" w:eastAsia="zh-CN"/>
                    </w:rPr>
                    <w:t>CPT1b</w:t>
                  </w:r>
                </w:p>
              </w:tc>
              <w:tc>
                <w:tcPr>
                  <w:tcW w:w="3544" w:type="dxa"/>
                  <w:tcBorders>
                    <w:tl2br w:val="nil"/>
                    <w:tr2bl w:val="nil"/>
                  </w:tcBorders>
                  <w:shd w:val="clear" w:color="auto" w:fill="FFFFFF"/>
                </w:tcPr>
                <w:p w14:paraId="24FE269E">
                  <w:pPr>
                    <w:jc w:val="center"/>
                    <w:rPr>
                      <w:rFonts w:hint="default" w:ascii="Times New Roman" w:hAnsi="Times New Roman" w:cs="Times New Roman" w:eastAsiaTheme="minorEastAsia"/>
                      <w:color w:val="000000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color w:val="000000"/>
                      <w:lang w:val="en-US" w:eastAsia="zh-CN"/>
                    </w:rPr>
                    <w:t>ATGTATCGCCGCAAACTGGACC</w:t>
                  </w:r>
                </w:p>
              </w:tc>
              <w:tc>
                <w:tcPr>
                  <w:tcW w:w="3686" w:type="dxa"/>
                  <w:tcBorders>
                    <w:tl2br w:val="nil"/>
                    <w:tr2bl w:val="nil"/>
                  </w:tcBorders>
                  <w:shd w:val="clear" w:color="auto" w:fill="FFFFFF"/>
                  <w:vAlign w:val="top"/>
                </w:tcPr>
                <w:p w14:paraId="451C4188">
                  <w:pPr>
                    <w:widowControl/>
                    <w:jc w:val="left"/>
                    <w:rPr>
                      <w:rFonts w:hint="default" w:ascii="Times New Roman" w:hAnsi="Times New Roman" w:cs="Times New Roman" w:eastAsiaTheme="minorEastAsia"/>
                      <w:color w:val="000000"/>
                      <w:kern w:val="2"/>
                      <w:sz w:val="21"/>
                      <w:szCs w:val="24"/>
                      <w:lang w:val="en-US" w:eastAsia="zh-CN" w:bidi="ar-SA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color w:val="000000"/>
                      <w:kern w:val="2"/>
                      <w:sz w:val="21"/>
                      <w:szCs w:val="24"/>
                      <w:lang w:val="en-US" w:eastAsia="zh-CN" w:bidi="ar-SA"/>
                    </w:rPr>
                    <w:t>CTCTGAGAGGTGCTGTAGCAAG</w:t>
                  </w:r>
                </w:p>
              </w:tc>
            </w:tr>
            <w:tr w14:paraId="21D51211">
              <w:tblPrEx>
                <w:tblBorders>
                  <w:top w:val="single" w:color="auto" w:sz="12" w:space="0"/>
                  <w:left w:val="none" w:color="auto" w:sz="0" w:space="0"/>
                  <w:bottom w:val="single" w:color="auto" w:sz="12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34" w:type="dxa"/>
                  <w:tcBorders>
                    <w:tl2br w:val="nil"/>
                    <w:tr2bl w:val="nil"/>
                  </w:tcBorders>
                  <w:shd w:val="clear" w:color="auto" w:fill="FFFFFF"/>
                </w:tcPr>
                <w:p w14:paraId="7DF947DA">
                  <w:pPr>
                    <w:widowControl/>
                    <w:jc w:val="left"/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20"/>
                      <w:szCs w:val="20"/>
                      <w:lang w:val="en-US" w:eastAsia="zh-CN" w:bidi="ar"/>
                    </w:rPr>
                    <w:t>Acaa1b</w:t>
                  </w:r>
                </w:p>
              </w:tc>
              <w:tc>
                <w:tcPr>
                  <w:tcW w:w="3544" w:type="dxa"/>
                  <w:tcBorders>
                    <w:tl2br w:val="nil"/>
                    <w:tr2bl w:val="nil"/>
                  </w:tcBorders>
                  <w:shd w:val="clear" w:color="auto" w:fill="FFFFFF"/>
                </w:tcPr>
                <w:p w14:paraId="792FE6EC">
                  <w:pPr>
                    <w:jc w:val="center"/>
                    <w:rPr>
                      <w:rFonts w:hint="default" w:ascii="Times New Roman" w:hAnsi="Times New Roman" w:cs="Times New Roman"/>
                      <w:color w:val="00000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</w:rPr>
                    <w:t>GGAGAATGTGGCTGAGCGGTTT</w:t>
                  </w:r>
                </w:p>
              </w:tc>
              <w:tc>
                <w:tcPr>
                  <w:tcW w:w="3686" w:type="dxa"/>
                  <w:tcBorders>
                    <w:tl2br w:val="nil"/>
                    <w:tr2bl w:val="nil"/>
                  </w:tcBorders>
                  <w:shd w:val="clear" w:color="auto" w:fill="FFFFFF"/>
                </w:tcPr>
                <w:p w14:paraId="64F1886D">
                  <w:pPr>
                    <w:jc w:val="center"/>
                    <w:rPr>
                      <w:rFonts w:hint="default" w:ascii="Times New Roman" w:hAnsi="Times New Roman" w:cs="Times New Roman"/>
                      <w:color w:val="00000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</w:rPr>
                    <w:t>AGGACAGTGGTTGTCACAGGCA</w:t>
                  </w:r>
                </w:p>
              </w:tc>
            </w:tr>
            <w:tr w14:paraId="7E9CEA05">
              <w:tblPrEx>
                <w:tblBorders>
                  <w:top w:val="single" w:color="auto" w:sz="12" w:space="0"/>
                  <w:left w:val="none" w:color="auto" w:sz="0" w:space="0"/>
                  <w:bottom w:val="single" w:color="auto" w:sz="12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34" w:type="dxa"/>
                  <w:tcBorders>
                    <w:tl2br w:val="nil"/>
                    <w:tr2bl w:val="nil"/>
                  </w:tcBorders>
                  <w:shd w:val="clear" w:color="auto" w:fill="FFFFFF"/>
                </w:tcPr>
                <w:p w14:paraId="435DC0D0">
                  <w:pPr>
                    <w:widowControl/>
                    <w:jc w:val="left"/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20"/>
                      <w:szCs w:val="20"/>
                      <w:lang w:val="en-US" w:eastAsia="zh-CN" w:bidi="ar"/>
                    </w:rPr>
                    <w:t>PPARα</w:t>
                  </w:r>
                </w:p>
              </w:tc>
              <w:tc>
                <w:tcPr>
                  <w:tcW w:w="3544" w:type="dxa"/>
                  <w:tcBorders>
                    <w:tl2br w:val="nil"/>
                    <w:tr2bl w:val="nil"/>
                  </w:tcBorders>
                  <w:shd w:val="clear" w:color="auto" w:fill="FFFFFF"/>
                </w:tcPr>
                <w:p w14:paraId="2D342E88">
                  <w:pPr>
                    <w:jc w:val="center"/>
                    <w:rPr>
                      <w:rFonts w:hint="default" w:ascii="Times New Roman" w:hAnsi="Times New Roman" w:cs="Times New Roman"/>
                      <w:color w:val="00000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</w:rPr>
                    <w:t>ACCACTACGGAGTTCACGCATG</w:t>
                  </w:r>
                </w:p>
              </w:tc>
              <w:tc>
                <w:tcPr>
                  <w:tcW w:w="3686" w:type="dxa"/>
                  <w:tcBorders>
                    <w:tl2br w:val="nil"/>
                    <w:tr2bl w:val="nil"/>
                  </w:tcBorders>
                  <w:shd w:val="clear" w:color="auto" w:fill="FFFFFF"/>
                </w:tcPr>
                <w:p w14:paraId="0BC94EDF">
                  <w:pPr>
                    <w:jc w:val="center"/>
                    <w:rPr>
                      <w:rFonts w:hint="default" w:ascii="Times New Roman" w:hAnsi="Times New Roman" w:cs="Times New Roman"/>
                      <w:color w:val="00000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</w:rPr>
                    <w:t>GAATCTTGCAGCTCCGATCACAC</w:t>
                  </w:r>
                </w:p>
              </w:tc>
            </w:tr>
            <w:tr w14:paraId="125ED32C">
              <w:tblPrEx>
                <w:tblBorders>
                  <w:top w:val="single" w:color="auto" w:sz="12" w:space="0"/>
                  <w:left w:val="none" w:color="auto" w:sz="0" w:space="0"/>
                  <w:bottom w:val="single" w:color="auto" w:sz="12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34" w:type="dxa"/>
                  <w:tcBorders>
                    <w:tl2br w:val="nil"/>
                    <w:tr2bl w:val="nil"/>
                  </w:tcBorders>
                  <w:shd w:val="clear" w:color="auto" w:fill="FFFFFF"/>
                </w:tcPr>
                <w:p w14:paraId="52C98097">
                  <w:pPr>
                    <w:widowControl/>
                    <w:jc w:val="left"/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20"/>
                      <w:szCs w:val="20"/>
                      <w:lang w:val="en-US" w:eastAsia="zh-CN" w:bidi="ar"/>
                    </w:rPr>
                    <w:t>PPARβ</w:t>
                  </w:r>
                </w:p>
              </w:tc>
              <w:tc>
                <w:tcPr>
                  <w:tcW w:w="3544" w:type="dxa"/>
                  <w:tcBorders>
                    <w:tl2br w:val="nil"/>
                    <w:tr2bl w:val="nil"/>
                  </w:tcBorders>
                  <w:shd w:val="clear" w:color="auto" w:fill="FFFFFF"/>
                </w:tcPr>
                <w:p w14:paraId="4EA0BFD1">
                  <w:pPr>
                    <w:jc w:val="center"/>
                    <w:rPr>
                      <w:rFonts w:hint="default" w:ascii="Times New Roman" w:hAnsi="Times New Roman" w:cs="Times New Roman"/>
                      <w:color w:val="00000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</w:rPr>
                    <w:t>GGACCAGAACACACGCTTCCTT</w:t>
                  </w:r>
                </w:p>
              </w:tc>
              <w:tc>
                <w:tcPr>
                  <w:tcW w:w="3686" w:type="dxa"/>
                  <w:tcBorders>
                    <w:tl2br w:val="nil"/>
                    <w:tr2bl w:val="nil"/>
                  </w:tcBorders>
                  <w:shd w:val="clear" w:color="auto" w:fill="FFFFFF"/>
                </w:tcPr>
                <w:p w14:paraId="41F7727B">
                  <w:pPr>
                    <w:jc w:val="center"/>
                    <w:rPr>
                      <w:rFonts w:hint="default" w:ascii="Times New Roman" w:hAnsi="Times New Roman" w:cs="Times New Roman"/>
                      <w:color w:val="00000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</w:rPr>
                    <w:t>CCGACATTCCATGTTGAGGCTG</w:t>
                  </w:r>
                </w:p>
              </w:tc>
            </w:tr>
            <w:tr w14:paraId="7F9E081D">
              <w:tblPrEx>
                <w:tblBorders>
                  <w:top w:val="single" w:color="auto" w:sz="12" w:space="0"/>
                  <w:left w:val="none" w:color="auto" w:sz="0" w:space="0"/>
                  <w:bottom w:val="single" w:color="auto" w:sz="12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34" w:type="dxa"/>
                  <w:tcBorders>
                    <w:tl2br w:val="nil"/>
                    <w:tr2bl w:val="nil"/>
                  </w:tcBorders>
                  <w:shd w:val="clear" w:color="auto" w:fill="FFFFFF"/>
                </w:tcPr>
                <w:p w14:paraId="0258205E">
                  <w:pPr>
                    <w:widowControl/>
                    <w:jc w:val="left"/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20"/>
                      <w:szCs w:val="20"/>
                      <w:lang w:val="en-US" w:eastAsia="zh-CN" w:bidi="ar"/>
                    </w:rPr>
                    <w:t>PPARγ</w:t>
                  </w:r>
                </w:p>
              </w:tc>
              <w:tc>
                <w:tcPr>
                  <w:tcW w:w="3544" w:type="dxa"/>
                  <w:tcBorders>
                    <w:tl2br w:val="nil"/>
                    <w:tr2bl w:val="nil"/>
                  </w:tcBorders>
                  <w:shd w:val="clear" w:color="auto" w:fill="FFFFFF"/>
                </w:tcPr>
                <w:p w14:paraId="74DB1EED">
                  <w:pPr>
                    <w:jc w:val="center"/>
                    <w:rPr>
                      <w:rFonts w:hint="default" w:ascii="Times New Roman" w:hAnsi="Times New Roman" w:cs="Times New Roman"/>
                      <w:color w:val="00000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</w:rPr>
                    <w:t>GTACTGTCGGTTTCAGAAGTGCC</w:t>
                  </w:r>
                </w:p>
              </w:tc>
              <w:tc>
                <w:tcPr>
                  <w:tcW w:w="3686" w:type="dxa"/>
                  <w:tcBorders>
                    <w:tl2br w:val="nil"/>
                    <w:tr2bl w:val="nil"/>
                  </w:tcBorders>
                  <w:shd w:val="clear" w:color="auto" w:fill="FFFFFF"/>
                </w:tcPr>
                <w:p w14:paraId="0CF72157">
                  <w:pPr>
                    <w:jc w:val="center"/>
                    <w:rPr>
                      <w:rFonts w:hint="default" w:ascii="Times New Roman" w:hAnsi="Times New Roman" w:cs="Times New Roman"/>
                      <w:color w:val="00000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</w:rPr>
                    <w:t>ATCTCCGCCAACAGCTTCTCCT</w:t>
                  </w:r>
                </w:p>
              </w:tc>
            </w:tr>
            <w:tr w14:paraId="2FB48182">
              <w:tblPrEx>
                <w:tblBorders>
                  <w:top w:val="single" w:color="auto" w:sz="12" w:space="0"/>
                  <w:left w:val="none" w:color="auto" w:sz="0" w:space="0"/>
                  <w:bottom w:val="single" w:color="auto" w:sz="12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34" w:type="dxa"/>
                  <w:tcBorders>
                    <w:tl2br w:val="nil"/>
                    <w:tr2bl w:val="nil"/>
                  </w:tcBorders>
                  <w:shd w:val="clear" w:color="auto" w:fill="FFFFFF"/>
                </w:tcPr>
                <w:p w14:paraId="2CF04EB1">
                  <w:pPr>
                    <w:widowControl/>
                    <w:jc w:val="left"/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20"/>
                      <w:szCs w:val="20"/>
                      <w:lang w:val="en-US" w:eastAsia="zh-CN" w:bidi="ar"/>
                    </w:rPr>
                    <w:t>Col2</w:t>
                  </w:r>
                </w:p>
              </w:tc>
              <w:tc>
                <w:tcPr>
                  <w:tcW w:w="3544" w:type="dxa"/>
                  <w:tcBorders>
                    <w:tl2br w:val="nil"/>
                    <w:tr2bl w:val="nil"/>
                  </w:tcBorders>
                  <w:shd w:val="clear" w:color="auto" w:fill="FFFFFF"/>
                </w:tcPr>
                <w:p w14:paraId="354A3593">
                  <w:pPr>
                    <w:jc w:val="center"/>
                    <w:rPr>
                      <w:rFonts w:hint="default" w:ascii="Times New Roman" w:hAnsi="Times New Roman" w:cs="Times New Roman"/>
                      <w:color w:val="00000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</w:rPr>
                    <w:t>GCTGGTGAAGAAGGCAAACGAG</w:t>
                  </w:r>
                </w:p>
              </w:tc>
              <w:tc>
                <w:tcPr>
                  <w:tcW w:w="3686" w:type="dxa"/>
                  <w:tcBorders>
                    <w:tl2br w:val="nil"/>
                    <w:tr2bl w:val="nil"/>
                  </w:tcBorders>
                  <w:shd w:val="clear" w:color="auto" w:fill="FFFFFF"/>
                </w:tcPr>
                <w:p w14:paraId="1EF21537">
                  <w:pPr>
                    <w:jc w:val="center"/>
                    <w:rPr>
                      <w:rFonts w:hint="default" w:ascii="Times New Roman" w:hAnsi="Times New Roman" w:cs="Times New Roman"/>
                      <w:color w:val="00000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</w:rPr>
                    <w:t>CCATCTTGACCTGGGAATCCAC</w:t>
                  </w:r>
                </w:p>
              </w:tc>
            </w:tr>
            <w:tr w14:paraId="7AAC1A67">
              <w:tblPrEx>
                <w:tblBorders>
                  <w:top w:val="single" w:color="auto" w:sz="12" w:space="0"/>
                  <w:left w:val="none" w:color="auto" w:sz="0" w:space="0"/>
                  <w:bottom w:val="single" w:color="auto" w:sz="12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34" w:type="dxa"/>
                  <w:tcBorders>
                    <w:bottom w:val="single" w:color="000000" w:sz="12" w:space="0"/>
                    <w:tl2br w:val="nil"/>
                    <w:tr2bl w:val="nil"/>
                  </w:tcBorders>
                  <w:shd w:val="clear" w:color="auto" w:fill="FFFFFF"/>
                </w:tcPr>
                <w:p w14:paraId="530C4B7E">
                  <w:pPr>
                    <w:widowControl/>
                    <w:jc w:val="left"/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20"/>
                      <w:szCs w:val="20"/>
                      <w:lang w:val="en-US" w:eastAsia="zh-CN" w:bidi="ar"/>
                    </w:rPr>
                    <w:t>MMP13</w:t>
                  </w:r>
                </w:p>
              </w:tc>
              <w:tc>
                <w:tcPr>
                  <w:tcW w:w="3544" w:type="dxa"/>
                  <w:tcBorders>
                    <w:bottom w:val="single" w:color="000000" w:sz="12" w:space="0"/>
                    <w:tl2br w:val="nil"/>
                    <w:tr2bl w:val="nil"/>
                  </w:tcBorders>
                  <w:shd w:val="clear" w:color="auto" w:fill="FFFFFF"/>
                </w:tcPr>
                <w:p w14:paraId="23274BF1">
                  <w:pPr>
                    <w:jc w:val="center"/>
                    <w:rPr>
                      <w:rFonts w:hint="default" w:ascii="Times New Roman" w:hAnsi="Times New Roman" w:cs="Times New Roman"/>
                      <w:color w:val="00000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</w:rPr>
                    <w:t>GATGACCTGTCTGAGGAAGACC</w:t>
                  </w:r>
                </w:p>
              </w:tc>
              <w:tc>
                <w:tcPr>
                  <w:tcW w:w="3686" w:type="dxa"/>
                  <w:tcBorders>
                    <w:bottom w:val="single" w:color="000000" w:sz="12" w:space="0"/>
                    <w:tl2br w:val="nil"/>
                    <w:tr2bl w:val="nil"/>
                  </w:tcBorders>
                  <w:shd w:val="clear" w:color="auto" w:fill="FFFFFF"/>
                </w:tcPr>
                <w:p w14:paraId="2DBA2273">
                  <w:pPr>
                    <w:jc w:val="center"/>
                    <w:rPr>
                      <w:rFonts w:hint="default" w:ascii="Times New Roman" w:hAnsi="Times New Roman" w:cs="Times New Roman"/>
                      <w:color w:val="000000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</w:rPr>
                    <w:t>GCATTTCTCGGAGCCTGTCAAC</w:t>
                  </w:r>
                </w:p>
              </w:tc>
            </w:tr>
          </w:tbl>
          <w:p w14:paraId="1FEACF26">
            <w:pPr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</w:tbl>
    <w:p w14:paraId="2A261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sz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177564"/>
    <w:rsid w:val="00460FEB"/>
    <w:rsid w:val="01D0353E"/>
    <w:rsid w:val="022E5EBB"/>
    <w:rsid w:val="04A321BA"/>
    <w:rsid w:val="050B669F"/>
    <w:rsid w:val="07581726"/>
    <w:rsid w:val="09427188"/>
    <w:rsid w:val="0A735F3E"/>
    <w:rsid w:val="0B1A3596"/>
    <w:rsid w:val="0BB934DB"/>
    <w:rsid w:val="0CDD47C2"/>
    <w:rsid w:val="0D7817AE"/>
    <w:rsid w:val="0E1D0DD2"/>
    <w:rsid w:val="0E9F024C"/>
    <w:rsid w:val="0F7055DE"/>
    <w:rsid w:val="0F7A2ADB"/>
    <w:rsid w:val="128F13FE"/>
    <w:rsid w:val="12D93226"/>
    <w:rsid w:val="132359A8"/>
    <w:rsid w:val="132719F0"/>
    <w:rsid w:val="14257BA7"/>
    <w:rsid w:val="191C2E55"/>
    <w:rsid w:val="1A960CBB"/>
    <w:rsid w:val="1B5A1070"/>
    <w:rsid w:val="1B6D7D00"/>
    <w:rsid w:val="1BE04D9B"/>
    <w:rsid w:val="1E3821EF"/>
    <w:rsid w:val="1FEF59B7"/>
    <w:rsid w:val="2135305A"/>
    <w:rsid w:val="224103B3"/>
    <w:rsid w:val="27251FDC"/>
    <w:rsid w:val="291211DE"/>
    <w:rsid w:val="2A182051"/>
    <w:rsid w:val="2B156752"/>
    <w:rsid w:val="2C2C2F57"/>
    <w:rsid w:val="2CF47F19"/>
    <w:rsid w:val="2EEA6D23"/>
    <w:rsid w:val="33CF2B46"/>
    <w:rsid w:val="33E226AC"/>
    <w:rsid w:val="351E65DB"/>
    <w:rsid w:val="36667DB3"/>
    <w:rsid w:val="37CF1F4D"/>
    <w:rsid w:val="3877094B"/>
    <w:rsid w:val="38FE6FFB"/>
    <w:rsid w:val="3C2F01C9"/>
    <w:rsid w:val="3CD218F9"/>
    <w:rsid w:val="3EAF7869"/>
    <w:rsid w:val="3FB11C9A"/>
    <w:rsid w:val="3FD27EDA"/>
    <w:rsid w:val="400C2F54"/>
    <w:rsid w:val="404B22F7"/>
    <w:rsid w:val="40A12BF0"/>
    <w:rsid w:val="419C3CC7"/>
    <w:rsid w:val="41C14544"/>
    <w:rsid w:val="46157C3C"/>
    <w:rsid w:val="463D54DB"/>
    <w:rsid w:val="47A50A1D"/>
    <w:rsid w:val="489E5F62"/>
    <w:rsid w:val="490866AC"/>
    <w:rsid w:val="495B3964"/>
    <w:rsid w:val="49610F13"/>
    <w:rsid w:val="4A4055AE"/>
    <w:rsid w:val="4ADB18E5"/>
    <w:rsid w:val="4B796708"/>
    <w:rsid w:val="4BF10559"/>
    <w:rsid w:val="4D080F53"/>
    <w:rsid w:val="4D5C1C0C"/>
    <w:rsid w:val="502015CC"/>
    <w:rsid w:val="50CA662B"/>
    <w:rsid w:val="52630BD1"/>
    <w:rsid w:val="528D594E"/>
    <w:rsid w:val="54AC316C"/>
    <w:rsid w:val="564E43F3"/>
    <w:rsid w:val="58CF0A97"/>
    <w:rsid w:val="590465B0"/>
    <w:rsid w:val="590E5642"/>
    <w:rsid w:val="5A4F1DDB"/>
    <w:rsid w:val="5E4F48FF"/>
    <w:rsid w:val="5FEA6605"/>
    <w:rsid w:val="62D90A3C"/>
    <w:rsid w:val="63CC1B59"/>
    <w:rsid w:val="640F230E"/>
    <w:rsid w:val="67264EC4"/>
    <w:rsid w:val="689A227D"/>
    <w:rsid w:val="69D503FE"/>
    <w:rsid w:val="6C580910"/>
    <w:rsid w:val="6D366E0E"/>
    <w:rsid w:val="6DE035C6"/>
    <w:rsid w:val="6E8C1058"/>
    <w:rsid w:val="72177564"/>
    <w:rsid w:val="76A5715B"/>
    <w:rsid w:val="76D17F50"/>
    <w:rsid w:val="77347302"/>
    <w:rsid w:val="774B12EB"/>
    <w:rsid w:val="779C2529"/>
    <w:rsid w:val="780008A4"/>
    <w:rsid w:val="79603A76"/>
    <w:rsid w:val="79B778D1"/>
    <w:rsid w:val="7B303CC7"/>
    <w:rsid w:val="7D19514C"/>
    <w:rsid w:val="7F2E0C05"/>
    <w:rsid w:val="7FA5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1264</Words>
  <Characters>7838</Characters>
  <Lines>0</Lines>
  <Paragraphs>0</Paragraphs>
  <TotalTime>0</TotalTime>
  <ScaleCrop>false</ScaleCrop>
  <LinksUpToDate>false</LinksUpToDate>
  <CharactersWithSpaces>8670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2026-05-27T00:40:00Z</dcterms:created>
  <dc:creator>ljy</dc:creator>
  <cp:lastModifiedBy>ljy</cp:lastModifiedBy>
  <dcterms:modified xsi:type="dcterms:W3CDTF">2026-07-31T09:11:01Z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A7F8F73DE8CA4D4B9AF83469427A5647_11</vt:lpwstr>
  </property>
  <property fmtid="{D5CDD505-2E9C-101B-9397-08002B2CF9AE}" pid="4" name="KSOTemplateDocerSaveRecord">
    <vt:lpwstr>eyJoZGlkIjoiODdiNWMyYmRmZjE4NmI5NDFmMWYyMGFhNjE3NWRlOTgiLCJ1c2VySWQiOiI3MDYyMzQzNjgifQ==</vt:lpwstr>
  </property>
</Properties>
</file>