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spacing w:line="360" w:lineRule="auto"/>
      </w:pPr>
      <w:r>
        <w:rPr>
          <w:rFonts w:ascii="Times New Roman" w:hAnsi="Times New Roman" w:cs="Times New Roman" w:eastAsia="Times New Roman"/>
        </w:rPr>
        <w:t>Online Resource 2. GATHER checklist</w:t>
      </w:r>
    </w:p>
    <w:p>
      <w:pPr>
        <w:spacing w:line="360" w:lineRule="auto"/>
        <w:jc w:val="both"/>
      </w:pPr>
      <w:r>
        <w:rPr>
          <w:rFonts w:ascii="Times New Roman" w:hAnsi="Times New Roman" w:cs="Times New Roman" w:eastAsia="Times New Roman"/>
          <w:b/>
        </w:rPr>
        <w:t>Journal:</w:t>
      </w:r>
      <w:r>
        <w:rPr>
          <w:rFonts w:ascii="Times New Roman" w:hAnsi="Times New Roman" w:cs="Times New Roman" w:eastAsia="Times New Roman"/>
        </w:rPr>
        <w:t xml:space="preserve"> Journal of Public Health</w:t>
      </w:r>
    </w:p>
    <w:p>
      <w:pPr>
        <w:spacing w:line="360" w:lineRule="auto"/>
        <w:jc w:val="both"/>
      </w:pPr>
      <w:r>
        <w:rPr>
          <w:rFonts w:ascii="Times New Roman" w:hAnsi="Times New Roman" w:cs="Times New Roman" w:eastAsia="Times New Roman"/>
          <w:b/>
        </w:rPr>
        <w:t>Article title:</w:t>
      </w:r>
      <w:r>
        <w:rPr>
          <w:rFonts w:ascii="Times New Roman" w:hAnsi="Times New Roman" w:cs="Times New Roman" w:eastAsia="Times New Roman"/>
        </w:rPr>
        <w:t xml:space="preserve"> How stable are district anaemia priorities in India under haemoglobin measurement error?</w:t>
      </w:r>
    </w:p>
    <w:p>
      <w:pPr>
        <w:spacing w:line="360" w:lineRule="auto"/>
        <w:jc w:val="both"/>
      </w:pPr>
      <w:r>
        <w:rPr>
          <w:rFonts w:ascii="Times New Roman" w:hAnsi="Times New Roman" w:cs="Times New Roman" w:eastAsia="Times New Roman"/>
          <w:b/>
        </w:rPr>
        <w:t>Authors:</w:t>
      </w:r>
      <w:r>
        <w:rPr>
          <w:rFonts w:ascii="Times New Roman" w:hAnsi="Times New Roman" w:cs="Times New Roman" w:eastAsia="Times New Roman"/>
        </w:rPr>
        <w:t xml:space="preserve"> Siddalingaiah H S; Chandrakala D</w:t>
      </w:r>
    </w:p>
    <w:p>
      <w:pPr>
        <w:spacing w:line="360" w:lineRule="auto"/>
        <w:jc w:val="both"/>
      </w:pPr>
      <w:r>
        <w:rPr>
          <w:rFonts w:ascii="Times New Roman" w:hAnsi="Times New Roman" w:cs="Times New Roman" w:eastAsia="Times New Roman"/>
          <w:b/>
        </w:rPr>
        <w:t>Affiliations:</w:t>
      </w:r>
      <w:r>
        <w:rPr>
          <w:rFonts w:ascii="Times New Roman" w:hAnsi="Times New Roman" w:cs="Times New Roman" w:eastAsia="Times New Roman"/>
        </w:rPr>
        <w:t xml:space="preserve"> Department of Community Medicine, Shridevi Institute of Medical Sciences and Research Hospital, Tumakuru, India; Department of Health and Family Welfare, Government of Karnataka, Bengaluru, India</w:t>
      </w:r>
    </w:p>
    <w:p>
      <w:pPr>
        <w:spacing w:line="360" w:lineRule="auto"/>
        <w:jc w:val="both"/>
      </w:pPr>
      <w:r>
        <w:rPr>
          <w:rFonts w:ascii="Times New Roman" w:hAnsi="Times New Roman" w:cs="Times New Roman" w:eastAsia="Times New Roman"/>
          <w:b/>
        </w:rPr>
        <w:t>Corresponding author:</w:t>
      </w:r>
      <w:r>
        <w:rPr>
          <w:rFonts w:ascii="Times New Roman" w:hAnsi="Times New Roman" w:cs="Times New Roman" w:eastAsia="Times New Roman"/>
        </w:rPr>
        <w:t xml:space="preserve"> Siddalingaiah H S, hssling@yahoo.com</w:t>
      </w:r>
    </w:p>
    <w:p>
      <w:pPr>
        <w:spacing w:line="360" w:lineRule="auto"/>
        <w:jc w:val="both"/>
      </w:pPr>
      <w:r>
        <w:rPr>
          <w:rFonts w:ascii="Times New Roman" w:hAnsi="Times New Roman" w:cs="Times New Roman" w:eastAsia="Times New Roman"/>
        </w:rPr>
        <w:t>This checklist applies the Guidelines for Accurate and Transparent Health Estimates Reporting (GATHER) to the person-level microdata scenario analysis.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  <w:b/>
              </w:rPr>
            </w:r>
            <w:r>
              <w:rPr>
                <w:rFonts w:ascii="Times New Roman" w:hAnsi="Times New Roman" w:cs="Times New Roman" w:eastAsia="Times New Roman"/>
                <w:b/>
              </w:rPr>
              <w:t>Item</w:t>
            </w:r>
          </w:p>
        </w:tc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  <w:b/>
              </w:rPr>
            </w:r>
            <w:r>
              <w:rPr>
                <w:rFonts w:ascii="Times New Roman" w:hAnsi="Times New Roman" w:cs="Times New Roman" w:eastAsia="Times New Roman"/>
                <w:b/>
              </w:rPr>
              <w:t>GATHER requirement</w:t>
            </w:r>
          </w:p>
        </w:tc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  <w:b/>
              </w:rPr>
            </w:r>
            <w:r>
              <w:rPr>
                <w:rFonts w:ascii="Times New Roman" w:hAnsi="Times New Roman" w:cs="Times New Roman" w:eastAsia="Times New Roman"/>
                <w:b/>
              </w:rPr>
              <w:t>Location in submission package</w:t>
            </w:r>
          </w:p>
        </w:tc>
      </w:tr>
      <w:tr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1</w:t>
            </w:r>
          </w:p>
        </w:tc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Define indicator, populations, geographic entities, and time period</w:t>
            </w:r>
          </w:p>
        </w:tc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Main manuscript, Methods: Data and estimand; five groups, 707 districts, 36 states/union territories, NFHS-5 2019–21</w:t>
            </w:r>
          </w:p>
        </w:tc>
      </w:tr>
      <w:tr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2</w:t>
            </w:r>
          </w:p>
        </w:tc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List funding sources</w:t>
            </w:r>
          </w:p>
        </w:tc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Title page, Declarations: Funding</w:t>
            </w:r>
          </w:p>
        </w:tc>
      </w:tr>
      <w:tr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3</w:t>
            </w:r>
          </w:p>
        </w:tc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Describe how data were identified and accessed</w:t>
            </w:r>
          </w:p>
        </w:tc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Main manuscript, Methods; Online Resource 1, section 2</w:t>
            </w:r>
          </w:p>
        </w:tc>
      </w:tr>
      <w:tr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4</w:t>
            </w:r>
          </w:p>
        </w:tc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Specify inclusion/exclusion criteria and ad hoc exclusions</w:t>
            </w:r>
          </w:p>
        </w:tc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Main manuscript, Methods: pregnant-women usability rule; Online Resource 1</w:t>
            </w:r>
          </w:p>
        </w:tc>
      </w:tr>
      <w:tr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5</w:t>
            </w:r>
          </w:p>
        </w:tc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Describe included data-source characteristics</w:t>
            </w:r>
          </w:p>
        </w:tc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Online Resource 1, section 2 table</w:t>
            </w:r>
          </w:p>
        </w:tc>
      </w:tr>
      <w:tr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6</w:t>
            </w:r>
          </w:p>
        </w:tc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Identify potentially important input-data biases</w:t>
            </w:r>
          </w:p>
        </w:tc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Main manuscript, Methods and Discussion; Online Resource 1, sections 2–3</w:t>
            </w:r>
          </w:p>
        </w:tc>
      </w:tr>
      <w:tr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7</w:t>
            </w:r>
          </w:p>
        </w:tc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Describe other contributing inputs</w:t>
            </w:r>
          </w:p>
        </w:tc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Main manuscript, Methods: NFHS microdata, survey weights, primary sampling units, thresholds</w:t>
            </w:r>
          </w:p>
        </w:tc>
      </w:tr>
      <w:tr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8</w:t>
            </w:r>
          </w:p>
        </w:tc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Provide inputs in an extractable format</w:t>
            </w:r>
          </w:p>
        </w:tc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Derived district results, parameter register, sensitivity grid, and simulation records supplied separately; restricted NFHS microdata are not redistributed</w:t>
            </w:r>
          </w:p>
        </w:tc>
      </w:tr>
      <w:tr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9</w:t>
            </w:r>
          </w:p>
        </w:tc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Give a conceptual overview of analysis</w:t>
            </w:r>
          </w:p>
        </w:tc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Main manuscript, Methods: Bias parameters and propagation</w:t>
            </w:r>
          </w:p>
        </w:tc>
      </w:tr>
      <w:tr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10</w:t>
            </w:r>
          </w:p>
        </w:tc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Describe analytic steps and formulae</w:t>
            </w:r>
          </w:p>
        </w:tc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Online Resource 1, section 3</w:t>
            </w:r>
          </w:p>
        </w:tc>
      </w:tr>
      <w:tr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11</w:t>
            </w:r>
          </w:p>
        </w:tc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Explain model choice and sensitivity analyses</w:t>
            </w:r>
          </w:p>
        </w:tc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Main manuscript, Methods; Online Resource 1, sections 2 and 4–5</w:t>
            </w:r>
          </w:p>
        </w:tc>
      </w:tr>
      <w:tr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12</w:t>
            </w:r>
          </w:p>
        </w:tc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Report model evaluation and sensitivity results</w:t>
            </w:r>
          </w:p>
        </w:tc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Main manuscript, Results; Online Resource 1, sections 4–5</w:t>
            </w:r>
          </w:p>
        </w:tc>
      </w:tr>
      <w:tr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13</w:t>
            </w:r>
          </w:p>
        </w:tc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Characterise uncertainty and omissions</w:t>
            </w:r>
          </w:p>
        </w:tc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Main manuscript, Methods and Discussion; Online Resource 1, section 3</w:t>
            </w:r>
          </w:p>
        </w:tc>
      </w:tr>
      <w:tr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14</w:t>
            </w:r>
          </w:p>
        </w:tc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State source-code access</w:t>
            </w:r>
          </w:p>
        </w:tc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Title page, Code availability; Online Resource 1, section 7</w:t>
            </w:r>
          </w:p>
        </w:tc>
      </w:tr>
      <w:tr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15</w:t>
            </w:r>
          </w:p>
        </w:tc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Provide estimates in an extractable format</w:t>
            </w:r>
          </w:p>
        </w:tc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Main manuscript Tables 1–2; derived district CSV supplied separately</w:t>
            </w:r>
          </w:p>
        </w:tc>
      </w:tr>
      <w:tr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16</w:t>
            </w:r>
          </w:p>
        </w:tc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Report quantitative uncertainty</w:t>
            </w:r>
          </w:p>
        </w:tc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Main manuscript Tables 1–2 and Fig. 1; Online Resource 1</w:t>
            </w:r>
          </w:p>
        </w:tc>
      </w:tr>
      <w:tr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17</w:t>
            </w:r>
          </w:p>
        </w:tc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Interpret against existing evidence</w:t>
            </w:r>
          </w:p>
        </w:tc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Main manuscript, Introduction and Discussion</w:t>
            </w:r>
          </w:p>
        </w:tc>
      </w:tr>
      <w:tr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18</w:t>
            </w:r>
          </w:p>
        </w:tc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Discuss limitations</w:t>
            </w:r>
          </w:p>
        </w:tc>
        <w:tc>
          <w:tcPr>
            <w:tcW w:type="dxa" w:w="2880"/>
          </w:tcPr>
          <w:p>
            <w:pPr>
              <w:spacing w:line="240" w:lineRule="auto"/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  <w:t>Main manuscript, Discussion; Online Resource 1, sections 2–3</w:t>
            </w:r>
          </w:p>
        </w:tc>
      </w:tr>
    </w:tbl>
    <w:p>
      <w:pPr>
        <w:spacing w:line="360" w:lineRule="auto"/>
      </w:pPr>
    </w:p>
    <w:p>
      <w:pPr>
        <w:spacing w:line="360" w:lineRule="auto"/>
        <w:jc w:val="both"/>
      </w:pPr>
      <w:r>
        <w:rPr>
          <w:rFonts w:ascii="Times New Roman" w:hAnsi="Times New Roman" w:cs="Times New Roman" w:eastAsia="Times New Roman"/>
          <w:b/>
        </w:rPr>
        <w:t>Transparency note:</w:t>
      </w:r>
      <w:r>
        <w:rPr>
          <w:rFonts w:ascii="Times New Roman" w:hAnsi="Times New Roman" w:cs="Times New Roman" w:eastAsia="Times New Roman"/>
        </w:rPr>
        <w:t xml:space="preserve"> The bias parameters are a focused parameter search rather than a systematic review. The limited study set, reconstructed standard errors for two sources, nonlinear correction relationship in one source, and unobserved within-NFHS measurement variation are reported in Online Resource 1 and are not concealed by the GATHER mapping.</w:t>
      </w:r>
    </w:p>
    <w:sectPr w:rsidR="00FC693F" w:rsidRPr="0006063C" w:rsidSect="00034616">
      <w:footerReference w:type="default" r:id="rId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t xml:space="preserve">Page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/>
    </w:pPr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 w:line="360" w:lineRule="auto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365F91" w:themeColor="accent1" w:themeShade="BF"/>
      <w:sz w:val="2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 w:line="360" w:lineRule="auto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4F81BD" w:themeColor="accent1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 w:line="360" w:lineRule="auto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4F81BD" w:themeColor="accent1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Times New Roman" w:hAnsi="Times New Roman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Times New Roman" w:hAnsi="Times New Roman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Times New Roman" w:hAnsi="Times New Roman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Online Resource 2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