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line="360" w:lineRule="auto"/>
      </w:pPr>
      <w:r>
        <w:rPr>
          <w:rFonts w:ascii="Times New Roman" w:hAnsi="Times New Roman" w:cs="Times New Roman" w:eastAsia="Times New Roman"/>
        </w:rPr>
        <w:t>Online Resource 1. Methods, parameter provenance, sensitivity analyses, and derived results</w:t>
      </w:r>
    </w:p>
    <w:p>
      <w:pPr>
        <w:spacing w:line="360" w:lineRule="auto"/>
        <w:jc w:val="both"/>
      </w:pPr>
      <w:r>
        <w:rPr>
          <w:rFonts w:ascii="Times New Roman" w:hAnsi="Times New Roman" w:cs="Times New Roman" w:eastAsia="Times New Roman"/>
          <w:b/>
        </w:rPr>
        <w:t>Journal:</w:t>
      </w:r>
      <w:r>
        <w:rPr>
          <w:rFonts w:ascii="Times New Roman" w:hAnsi="Times New Roman" w:cs="Times New Roman" w:eastAsia="Times New Roman"/>
        </w:rPr>
        <w:t xml:space="preserve"> Journal of Public Health</w:t>
      </w:r>
    </w:p>
    <w:p>
      <w:pPr>
        <w:spacing w:line="360" w:lineRule="auto"/>
        <w:jc w:val="both"/>
      </w:pPr>
      <w:r>
        <w:rPr>
          <w:rFonts w:ascii="Times New Roman" w:hAnsi="Times New Roman" w:cs="Times New Roman" w:eastAsia="Times New Roman"/>
          <w:b/>
        </w:rPr>
        <w:t>Article title:</w:t>
      </w:r>
      <w:r>
        <w:rPr>
          <w:rFonts w:ascii="Times New Roman" w:hAnsi="Times New Roman" w:cs="Times New Roman" w:eastAsia="Times New Roman"/>
        </w:rPr>
        <w:t xml:space="preserve"> How stable are district anaemia priorities in India under haemoglobin measurement error?</w:t>
      </w:r>
    </w:p>
    <w:p>
      <w:pPr>
        <w:spacing w:line="360" w:lineRule="auto"/>
        <w:jc w:val="both"/>
      </w:pPr>
      <w:r>
        <w:rPr>
          <w:rFonts w:ascii="Times New Roman" w:hAnsi="Times New Roman" w:cs="Times New Roman" w:eastAsia="Times New Roman"/>
          <w:b/>
        </w:rPr>
        <w:t>Authors:</w:t>
      </w:r>
      <w:r>
        <w:rPr>
          <w:rFonts w:ascii="Times New Roman" w:hAnsi="Times New Roman" w:cs="Times New Roman" w:eastAsia="Times New Roman"/>
        </w:rPr>
        <w:t xml:space="preserve"> Siddalingaiah H S; Chandrakala D</w:t>
      </w:r>
    </w:p>
    <w:p>
      <w:pPr>
        <w:spacing w:line="360" w:lineRule="auto"/>
        <w:jc w:val="both"/>
      </w:pPr>
      <w:r>
        <w:rPr>
          <w:rFonts w:ascii="Times New Roman" w:hAnsi="Times New Roman" w:cs="Times New Roman" w:eastAsia="Times New Roman"/>
          <w:b/>
        </w:rPr>
        <w:t>Affiliations:</w:t>
      </w:r>
      <w:r>
        <w:rPr>
          <w:rFonts w:ascii="Times New Roman" w:hAnsi="Times New Roman" w:cs="Times New Roman" w:eastAsia="Times New Roman"/>
        </w:rPr>
        <w:t xml:space="preserve"> Department of Community Medicine, Shridevi Institute of Medical Sciences and Research Hospital, Tumakuru, India; Department of Health and Family Welfare, Government of Karnataka, Bengaluru, India</w:t>
      </w:r>
    </w:p>
    <w:p>
      <w:pPr>
        <w:spacing w:line="360" w:lineRule="auto"/>
        <w:jc w:val="both"/>
      </w:pPr>
      <w:r>
        <w:rPr>
          <w:rFonts w:ascii="Times New Roman" w:hAnsi="Times New Roman" w:cs="Times New Roman" w:eastAsia="Times New Roman"/>
          <w:b/>
        </w:rPr>
        <w:t>Corresponding author:</w:t>
      </w:r>
      <w:r>
        <w:rPr>
          <w:rFonts w:ascii="Times New Roman" w:hAnsi="Times New Roman" w:cs="Times New Roman" w:eastAsia="Times New Roman"/>
        </w:rPr>
        <w:t xml:space="preserve"> Siddalingaiah H S, hssling@yahoo.com</w:t>
      </w:r>
    </w:p>
    <w:p>
      <w:pPr>
        <w:pStyle w:val="Heading2"/>
        <w:spacing w:line="360" w:lineRule="auto"/>
      </w:pPr>
      <w:r>
        <w:rPr>
          <w:rFonts w:ascii="Times New Roman" w:hAnsi="Times New Roman" w:cs="Times New Roman" w:eastAsia="Times New Roman"/>
        </w:rPr>
        <w:t>Contents</w:t>
      </w:r>
    </w:p>
    <w:p>
      <w:pPr>
        <w:pStyle w:val="ListNumber"/>
        <w:spacing w:line="360" w:lineRule="auto"/>
      </w:pPr>
      <w:r>
        <w:rPr>
          <w:rFonts w:ascii="Times New Roman" w:hAnsi="Times New Roman" w:cs="Times New Roman" w:eastAsia="Times New Roman"/>
        </w:rPr>
        <w:t>Completed GATHER checklist (submitted separately as Online Resource 2)</w:t>
      </w:r>
    </w:p>
    <w:p>
      <w:pPr>
        <w:pStyle w:val="ListNumber"/>
        <w:spacing w:line="360" w:lineRule="auto"/>
      </w:pPr>
      <w:r>
        <w:rPr>
          <w:rFonts w:ascii="Times New Roman" w:hAnsi="Times New Roman" w:cs="Times New Roman" w:eastAsia="Times New Roman"/>
        </w:rPr>
        <w:t>Bias-parameter provenance and limitations</w:t>
      </w:r>
    </w:p>
    <w:p>
      <w:pPr>
        <w:pStyle w:val="ListNumber"/>
        <w:spacing w:line="360" w:lineRule="auto"/>
      </w:pPr>
      <w:r>
        <w:rPr>
          <w:rFonts w:ascii="Times New Roman" w:hAnsi="Times New Roman" w:cs="Times New Roman" w:eastAsia="Times New Roman"/>
        </w:rPr>
        <w:t>Simulation specification and uncertainty interpretation</w:t>
      </w:r>
    </w:p>
    <w:p>
      <w:pPr>
        <w:pStyle w:val="ListNumber"/>
        <w:spacing w:line="360" w:lineRule="auto"/>
      </w:pPr>
      <w:r>
        <w:rPr>
          <w:rFonts w:ascii="Times New Roman" w:hAnsi="Times New Roman" w:cs="Times New Roman" w:eastAsia="Times New Roman"/>
        </w:rPr>
        <w:t>Full district-stability sensitivity analysis</w:t>
      </w:r>
    </w:p>
    <w:p>
      <w:pPr>
        <w:pStyle w:val="ListNumber"/>
        <w:spacing w:line="360" w:lineRule="auto"/>
      </w:pPr>
      <w:r>
        <w:rPr>
          <w:rFonts w:ascii="Times New Roman" w:hAnsi="Times New Roman" w:cs="Times New Roman" w:eastAsia="Times New Roman"/>
        </w:rPr>
        <w:t>Tipping analysis</w:t>
      </w:r>
    </w:p>
    <w:p>
      <w:pPr>
        <w:pStyle w:val="ListNumber"/>
        <w:spacing w:line="360" w:lineRule="auto"/>
      </w:pPr>
      <w:r>
        <w:rPr>
          <w:rFonts w:ascii="Times New Roman" w:hAnsi="Times New Roman" w:cs="Times New Roman" w:eastAsia="Times New Roman"/>
        </w:rPr>
        <w:t>Screening consequences as conditional rates and hypothetical scale-ups</w:t>
      </w:r>
    </w:p>
    <w:p>
      <w:pPr>
        <w:pStyle w:val="ListNumber"/>
        <w:spacing w:line="360" w:lineRule="auto"/>
      </w:pPr>
      <w:r>
        <w:rPr>
          <w:rFonts w:ascii="Times New Roman" w:hAnsi="Times New Roman" w:cs="Times New Roman" w:eastAsia="Times New Roman"/>
        </w:rPr>
        <w:t>Reproducibility inventory</w:t>
      </w:r>
    </w:p>
    <w:p>
      <w:pPr>
        <w:pStyle w:val="Heading2"/>
        <w:spacing w:line="360" w:lineRule="auto"/>
      </w:pPr>
      <w:r>
        <w:rPr>
          <w:rFonts w:ascii="Times New Roman" w:hAnsi="Times New Roman" w:cs="Times New Roman" w:eastAsia="Times New Roman"/>
        </w:rPr>
        <w:t>1. Completed GATHER checklist</w:t>
      </w:r>
    </w:p>
    <w:tbl>
      <w:tblPr>
        <w:tblStyle w:val="TableGrid"/>
        <w:tblW w:type="auto" w:w="0"/>
        <w:tblLook w:firstColumn="1" w:firstRow="1" w:lastColumn="0" w:lastRow="0" w:noHBand="0" w:noVBand="1" w:val="04A0"/>
      </w:tblPr>
      <w:tblGrid>
        <w:gridCol w:w="4320"/>
        <w:gridCol w:w="4320"/>
      </w:tblGrid>
      <w:tr>
        <w:tc>
          <w:tcPr>
            <w:tcW w:type="dxa" w:w="4320"/>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GATHER item</w:t>
            </w:r>
          </w:p>
        </w:tc>
        <w:tc>
          <w:tcPr>
            <w:tcW w:type="dxa" w:w="4320"/>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Where addressed</w:t>
            </w:r>
          </w:p>
        </w:tc>
      </w:tr>
      <w:tr>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Define indicator, populations, geography, and period</w:t>
            </w:r>
          </w:p>
        </w:tc>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Methods: Data and estimand</w:t>
            </w:r>
          </w:p>
        </w:tc>
      </w:tr>
      <w:tr>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List funding sources</w:t>
            </w:r>
          </w:p>
        </w:tc>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Declarations: Funding</w:t>
            </w:r>
          </w:p>
        </w:tc>
      </w:tr>
      <w:tr>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Identify and describe data inputs</w:t>
            </w:r>
          </w:p>
        </w:tc>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Methods and section 2 below</w:t>
            </w:r>
          </w:p>
        </w:tc>
      </w:tr>
      <w:tr>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State inclusion and exclusion criteria</w:t>
            </w:r>
          </w:p>
        </w:tc>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Methods: Data and estimand</w:t>
            </w:r>
          </w:p>
        </w:tc>
      </w:tr>
      <w:tr>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Describe analytical steps</w:t>
            </w:r>
          </w:p>
        </w:tc>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Methods and section 3 below</w:t>
            </w:r>
          </w:p>
        </w:tc>
      </w:tr>
      <w:tr>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Characterise uncertainty</w:t>
            </w:r>
          </w:p>
        </w:tc>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Methods, Results, sections 3–5</w:t>
            </w:r>
          </w:p>
        </w:tc>
      </w:tr>
      <w:tr>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Provide results in extractable form</w:t>
            </w:r>
          </w:p>
        </w:tc>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Derived district-level CSV supplied separately; source microdata are not redistributed</w:t>
            </w:r>
          </w:p>
        </w:tc>
      </w:tr>
      <w:tr>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Discuss limitations</w:t>
            </w:r>
          </w:p>
        </w:tc>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Discussion and sections 2–3</w:t>
            </w:r>
          </w:p>
        </w:tc>
      </w:tr>
      <w:tr>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Make code accessible</w:t>
            </w:r>
          </w:p>
        </w:tc>
        <w:tc>
          <w:tcPr>
            <w:tcW w:type="dxa" w:w="4320"/>
          </w:tcPr>
          <w:p>
            <w:pPr>
              <w:spacing w:line="240" w:lineRule="auto"/>
            </w:pPr>
            <w:r>
              <w:rPr>
                <w:rFonts w:ascii="Times New Roman" w:hAnsi="Times New Roman" w:cs="Times New Roman" w:eastAsia="Times New Roman"/>
              </w:rPr>
            </w:r>
            <w:r>
              <w:rPr>
                <w:rFonts w:ascii="Times New Roman" w:hAnsi="Times New Roman" w:cs="Times New Roman" w:eastAsia="Times New Roman"/>
              </w:rPr>
              <w:t>Section 7; deposit on acceptance</w:t>
            </w:r>
          </w:p>
        </w:tc>
      </w:tr>
    </w:tbl>
    <w:p>
      <w:pPr>
        <w:spacing w:line="360" w:lineRule="auto"/>
      </w:pPr>
    </w:p>
    <w:p>
      <w:pPr>
        <w:pStyle w:val="Heading2"/>
        <w:spacing w:line="360" w:lineRule="auto"/>
      </w:pPr>
      <w:r>
        <w:rPr>
          <w:rFonts w:ascii="Times New Roman" w:hAnsi="Times New Roman" w:cs="Times New Roman" w:eastAsia="Times New Roman"/>
        </w:rPr>
        <w:t>2. Bias-parameter provenance and limitations</w:t>
      </w:r>
    </w:p>
    <w:p>
      <w:pPr>
        <w:spacing w:line="360" w:lineRule="auto"/>
        <w:jc w:val="both"/>
      </w:pPr>
      <w:r>
        <w:rPr>
          <w:rFonts w:ascii="Times New Roman" w:hAnsi="Times New Roman" w:cs="Times New Roman" w:eastAsia="Times New Roman"/>
        </w:rPr>
        <w:t>Effect direction is venous automated-analyser haemoglobin minus capillary point-of-care haemoglobin. Positive values therefore indicate lower capillary readings. The target was a focused parameter search, not a systematic review. It used PubMed through the NCBI E-utilities interface on 29 July 2026 with no language or date restriction:</w:t>
      </w:r>
    </w:p>
    <w:p>
      <w:pPr>
        <w:spacing w:line="360" w:lineRule="auto"/>
        <w:ind w:left="480"/>
      </w:pPr>
      <w:r>
        <w:rPr>
          <w:rFonts w:ascii="Times New Roman" w:hAnsi="Times New Roman" w:cs="Times New Roman" w:eastAsia="Times New Roman"/>
          <w:i/>
        </w:rPr>
        <w:t>(capillary[tiab] AND venous[tiab]) AND (haemoglobin[tiab] OR hemoglobin[tiab]) AND (India[tiab] OR Indian[tiab])</w:t>
      </w:r>
    </w:p>
    <w:p>
      <w:pPr>
        <w:spacing w:line="360" w:lineRule="auto"/>
        <w:jc w:val="both"/>
      </w:pPr>
      <w:r>
        <w:rPr>
          <w:rFonts w:ascii="Times New Roman" w:hAnsi="Times New Roman" w:cs="Times New Roman" w:eastAsia="Times New Roman"/>
        </w:rPr>
        <w:t>Twenty records were screened. Four Indian studies supplied paired capillary–venous mean differences. Two additional studies supplied screening accuracy or international between-setting evidence. The search was not supplemented by hand-searching, grey literature, or another database; the parameter set may therefore be incomplete.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Study</w:t>
            </w:r>
          </w:p>
        </w:tc>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n</w:t>
            </w:r>
          </w:p>
        </w:tc>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Population</w:t>
            </w:r>
          </w:p>
        </w:tc>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Capillary device</w:t>
            </w:r>
          </w:p>
        </w:tc>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Venous reference</w:t>
            </w:r>
          </w:p>
        </w:tc>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Mean difference (g/dL)</w:t>
            </w:r>
          </w:p>
        </w:tc>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Standard-error basis</w:t>
            </w:r>
          </w:p>
        </w:tc>
      </w:tr>
      <w:tr>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Reddy et al. 2026</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837</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Ages &gt;=2 years</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HemoCue 301</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Automated analyser</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+0.46</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Difference SD assumed as 1.0 g/dL / sqrt(n) because a paired-difference SD was not reported</w:t>
            </w:r>
          </w:p>
        </w:tc>
      </w:tr>
      <w:tr>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Locks et al. 2024</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200</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Pregnant women, first trimester</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HemoCue Hb 201+</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Venous cyanmethaemoglobin</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+0.40</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Difference SD assumed as 1.0 g/dL / sqrt(n) because a paired-difference SD was not reported</w:t>
            </w:r>
          </w:p>
        </w:tc>
      </w:tr>
      <w:tr>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Ramaswamy et al. 2022</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1,145</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Pregnant women, children, and adolescents</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Digital haemoglobinometer</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Automated analyser</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+0.20</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Root mean squared error / sqrt(n); the published relationship is nonlinear</w:t>
            </w:r>
          </w:p>
        </w:tc>
      </w:tr>
      <w:tr>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Yadav et al. 2020</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110</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Pregnant women in antenatal clinics</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HemoCue 301</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Automated analyser</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+0.09</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Reported difference SD / sqrt(n)</w:t>
            </w:r>
          </w:p>
        </w:tc>
      </w:tr>
    </w:tbl>
    <w:p>
      <w:pPr>
        <w:spacing w:line="360" w:lineRule="auto"/>
      </w:pPr>
    </w:p>
    <w:p>
      <w:pPr>
        <w:spacing w:line="360" w:lineRule="auto"/>
        <w:jc w:val="both"/>
      </w:pPr>
      <w:r>
        <w:rPr>
          <w:rFonts w:ascii="Times New Roman" w:hAnsi="Times New Roman" w:cs="Times New Roman" w:eastAsia="Times New Roman"/>
        </w:rPr>
        <w:t>The DerSimonian–Laird synthesis gave a mean of 0.294 g/dL, standard error 0.087, tau 0.163 g/dL, and I² 92.8%. Because two standard errors required an assumed paired-difference SD and one source reports a nonlinear correction equation, the pooled distribution should be interpreted as a transparent scenario generator, not a validated calibration equation. The primary manuscript therefore does not claim a true corrected prevalence.</w:t>
      </w:r>
    </w:p>
    <w:p>
      <w:pPr>
        <w:spacing w:line="360" w:lineRule="auto"/>
        <w:jc w:val="both"/>
      </w:pPr>
      <w:r>
        <w:rPr>
          <w:rFonts w:ascii="Times New Roman" w:hAnsi="Times New Roman" w:cs="Times New Roman" w:eastAsia="Times New Roman"/>
        </w:rPr>
        <w:t>The 0.380 g/dL district-specific standard deviation is a scenario derived from the range of mean differences across seven-country settings; it is not observed within NFHS-5. The 0.163 g/dL scenario is the estimated tau across the four Indian studies, but is likewise not an estimate of district-level field variation. The tipping analysis is designed to show results across these inputs rather than conceal this extrapolation.</w:t>
      </w:r>
    </w:p>
    <w:p>
      <w:pPr>
        <w:pStyle w:val="Heading2"/>
        <w:spacing w:line="360" w:lineRule="auto"/>
      </w:pPr>
      <w:r>
        <w:rPr>
          <w:rFonts w:ascii="Times New Roman" w:hAnsi="Times New Roman" w:cs="Times New Roman" w:eastAsia="Times New Roman"/>
        </w:rPr>
        <w:t>3. Simulation specification and uncertainty interpretation</w:t>
      </w:r>
    </w:p>
    <w:p>
      <w:pPr>
        <w:spacing w:line="360" w:lineRule="auto"/>
        <w:jc w:val="both"/>
      </w:pPr>
      <w:r>
        <w:rPr>
          <w:rFonts w:ascii="Times New Roman" w:hAnsi="Times New Roman" w:cs="Times New Roman" w:eastAsia="Times New Roman"/>
        </w:rPr>
        <w:t xml:space="preserve">For district </w:t>
      </w:r>
      <w:r>
        <w:rPr>
          <w:rFonts w:ascii="Times New Roman" w:hAnsi="Times New Roman" w:cs="Times New Roman" w:eastAsia="Times New Roman"/>
          <w:i/>
        </w:rPr>
        <w:t>d</w:t>
      </w:r>
      <w:r>
        <w:rPr>
          <w:rFonts w:ascii="Times New Roman" w:hAnsi="Times New Roman" w:cs="Times New Roman" w:eastAsia="Times New Roman"/>
        </w:rPr>
        <w:t xml:space="preserve"> and group </w:t>
      </w:r>
      <w:r>
        <w:rPr>
          <w:rFonts w:ascii="Times New Roman" w:hAnsi="Times New Roman" w:cs="Times New Roman" w:eastAsia="Times New Roman"/>
          <w:i/>
        </w:rPr>
        <w:t>g</w:t>
      </w:r>
      <w:r>
        <w:rPr>
          <w:rFonts w:ascii="Times New Roman" w:hAnsi="Times New Roman" w:cs="Times New Roman" w:eastAsia="Times New Roman"/>
        </w:rPr>
        <w:t xml:space="preserve">, let each observed haemoglobin value be </w:t>
      </w:r>
      <w:r>
        <w:rPr>
          <w:rFonts w:ascii="Times New Roman" w:hAnsi="Times New Roman" w:cs="Times New Roman" w:eastAsia="Times New Roman"/>
          <w:i/>
        </w:rPr>
        <w:t>h_i</w:t>
      </w:r>
      <w:r>
        <w:rPr>
          <w:rFonts w:ascii="Times New Roman" w:hAnsi="Times New Roman" w:cs="Times New Roman" w:eastAsia="Times New Roman"/>
        </w:rPr>
        <w:t xml:space="preserve">, its survey weight be </w:t>
      </w:r>
      <w:r>
        <w:rPr>
          <w:rFonts w:ascii="Times New Roman" w:hAnsi="Times New Roman" w:cs="Times New Roman" w:eastAsia="Times New Roman"/>
          <w:i/>
        </w:rPr>
        <w:t>w_i</w:t>
      </w:r>
      <w:r>
        <w:rPr>
          <w:rFonts w:ascii="Times New Roman" w:hAnsi="Times New Roman" w:cs="Times New Roman" w:eastAsia="Times New Roman"/>
        </w:rPr>
        <w:t xml:space="preserve">, and the group-specific anaemia threshold be </w:t>
      </w:r>
      <w:r>
        <w:rPr>
          <w:rFonts w:ascii="Times New Roman" w:hAnsi="Times New Roman" w:cs="Times New Roman" w:eastAsia="Times New Roman"/>
          <w:i/>
        </w:rPr>
        <w:t>T_g</w:t>
      </w:r>
      <w:r>
        <w:rPr>
          <w:rFonts w:ascii="Times New Roman" w:hAnsi="Times New Roman" w:cs="Times New Roman" w:eastAsia="Times New Roman"/>
        </w:rPr>
        <w:t xml:space="preserve">. At an additive shift </w:t>
      </w:r>
      <w:r>
        <w:rPr>
          <w:rFonts w:ascii="Times New Roman" w:hAnsi="Times New Roman" w:cs="Times New Roman" w:eastAsia="Times New Roman"/>
          <w:i/>
        </w:rPr>
        <w:t>s</w:t>
      </w:r>
      <w:r>
        <w:rPr>
          <w:rFonts w:ascii="Times New Roman" w:hAnsi="Times New Roman" w:cs="Times New Roman" w:eastAsia="Times New Roman"/>
        </w:rPr>
        <w:t>, prevalence is:</w:t>
      </w:r>
    </w:p>
    <w:p>
      <w:pPr>
        <w:spacing w:line="360" w:lineRule="auto"/>
        <w:ind w:left="480"/>
      </w:pPr>
      <w:r>
        <w:rPr>
          <w:rFonts w:ascii="Times New Roman" w:hAnsi="Times New Roman" w:cs="Times New Roman" w:eastAsia="Times New Roman"/>
          <w:i/>
        </w:rPr>
        <w:t>P_dg(s) = sum(w_i × I[h_i + s &lt; T_g]) / sum(w_i)</w:t>
      </w:r>
    </w:p>
    <w:p>
      <w:pPr>
        <w:spacing w:line="360" w:lineRule="auto"/>
        <w:jc w:val="both"/>
      </w:pPr>
      <w:r>
        <w:rPr>
          <w:rFonts w:ascii="Times New Roman" w:hAnsi="Times New Roman" w:cs="Times New Roman" w:eastAsia="Times New Roman"/>
        </w:rPr>
        <w:t>The empirical curve P_dg(s) was computed on shifts from −2.0 to +2.0 g/dL in 0.01-g/dL increments. In each primary simulation draw, we:</w:t>
      </w:r>
    </w:p>
    <w:p>
      <w:pPr>
        <w:pStyle w:val="ListNumber"/>
        <w:spacing w:line="360" w:lineRule="auto"/>
      </w:pPr>
      <w:r>
        <w:rPr>
          <w:rFonts w:ascii="Times New Roman" w:hAnsi="Times New Roman" w:cs="Times New Roman" w:eastAsia="Times New Roman"/>
        </w:rPr>
        <w:t>drew a national shift from a normal predictive distribution with mean 0.294 and standard deviation 0.184 g/dL;</w:t>
      </w:r>
    </w:p>
    <w:p>
      <w:pPr>
        <w:pStyle w:val="ListNumber"/>
        <w:spacing w:line="360" w:lineRule="auto"/>
      </w:pPr>
      <w:r>
        <w:rPr>
          <w:rFonts w:ascii="Times New Roman" w:hAnsi="Times New Roman" w:cs="Times New Roman" w:eastAsia="Times New Roman"/>
        </w:rPr>
        <w:t>drew an independent district term from Normal(0, sigma), where sigma = 0.380 g/dL in the primary scenario;</w:t>
      </w:r>
    </w:p>
    <w:p>
      <w:pPr>
        <w:pStyle w:val="ListNumber"/>
        <w:spacing w:line="360" w:lineRule="auto"/>
      </w:pPr>
      <w:r>
        <w:rPr>
          <w:rFonts w:ascii="Times New Roman" w:hAnsi="Times New Roman" w:cs="Times New Roman" w:eastAsia="Times New Roman"/>
        </w:rPr>
        <w:t>retrieved P_dg at the total shift; and</w:t>
      </w:r>
    </w:p>
    <w:p>
      <w:pPr>
        <w:pStyle w:val="ListNumber"/>
        <w:spacing w:line="360" w:lineRule="auto"/>
      </w:pPr>
      <w:r>
        <w:rPr>
          <w:rFonts w:ascii="Times New Roman" w:hAnsi="Times New Roman" w:cs="Times New Roman" w:eastAsia="Times New Roman"/>
        </w:rPr>
        <w:t>added Normal(0, SE_dg), where SE_dg is the district Taylor-linearised standard error of the weighted measured prevalence.</w:t>
      </w:r>
    </w:p>
    <w:p>
      <w:pPr>
        <w:spacing w:line="360" w:lineRule="auto"/>
        <w:jc w:val="both"/>
      </w:pPr>
      <w:r>
        <w:rPr>
          <w:rFonts w:ascii="Times New Roman" w:hAnsi="Times New Roman" w:cs="Times New Roman" w:eastAsia="Times New Roman"/>
        </w:rPr>
        <w:t>Prevalences were clipped to 0.0001–0.9999. Districts were ranked separately within each draw and allocated to five equally sized quintiles. The 95% intervals are model-based uncertainty intervals under these assumptions, not design-based confidence intervals for a directly observed venous prevalence. They do not include survey coverage, non-response, device calibration, field-team performance, digit preference, or uncertainty from imperfectly reported paired-study variances.</w:t>
      </w:r>
    </w:p>
    <w:p>
      <w:pPr>
        <w:spacing w:line="360" w:lineRule="auto"/>
        <w:jc w:val="both"/>
      </w:pPr>
      <w:r>
        <w:rPr>
          <w:rFonts w:ascii="Times New Roman" w:hAnsi="Times New Roman" w:cs="Times New Roman" w:eastAsia="Times New Roman"/>
        </w:rPr>
        <w:t>The additive-shift model cannot capture bias that changes by true haemoglobin concentration. It also treats district terms as independent, whereas field-team, device, or geography could induce correlation. Sampling error was added on the prevalence scale for computational transparency; a replicate-weight or resampling design would be preferable if it became feasible with the permitted microdata access.</w:t>
      </w:r>
    </w:p>
    <w:p>
      <w:pPr>
        <w:pStyle w:val="Heading2"/>
        <w:spacing w:line="360" w:lineRule="auto"/>
      </w:pPr>
      <w:r>
        <w:rPr>
          <w:rFonts w:ascii="Times New Roman" w:hAnsi="Times New Roman" w:cs="Times New Roman" w:eastAsia="Times New Roman"/>
        </w:rPr>
        <w:t>4. Full district-stability sensitivity analysis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Analysis</w:t>
            </w:r>
          </w:p>
        </w:tc>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Median district prevalence (%)</w:t>
            </w:r>
          </w:p>
        </w:tc>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Median change (percentage points)</w:t>
            </w:r>
          </w:p>
        </w:tc>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Mean interval width (percentage points)</w:t>
            </w:r>
          </w:p>
        </w:tc>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Spearman rho</w:t>
            </w:r>
          </w:p>
        </w:tc>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Districts changing modal quintile (%)</w:t>
            </w:r>
          </w:p>
        </w:tc>
        <w:tc>
          <w:tcPr>
            <w:tcW w:type="dxa" w:w="1234"/>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Measured worst quintile retained at &gt;=80% probability (%)</w:t>
            </w:r>
          </w:p>
        </w:tc>
      </w:tr>
      <w:tr>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Primary scenario</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61.7</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−6.4</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46.1</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0.693</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18.0</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16.3</w:t>
            </w:r>
          </w:p>
        </w:tc>
      </w:tr>
      <w:tr>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International two-sided bias prior</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71.6</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+3.4</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50.9</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0.681</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19.2</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12.1</w:t>
            </w:r>
          </w:p>
        </w:tc>
      </w:tr>
      <w:tr>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Mean rather than predictive distribution</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61.6</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−6.4</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43.2</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0.697</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19.5</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16.3</w:t>
            </w:r>
          </w:p>
        </w:tc>
      </w:tr>
      <w:tr>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No between-district variation</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62.3</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−6.0</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22.4</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0.927</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17.0</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51.1</w:t>
            </w:r>
          </w:p>
        </w:tc>
      </w:tr>
      <w:tr>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District variation set to Indian tau</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62.4</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−5.9</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29.7</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0.867</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15.0</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35.5</w:t>
            </w:r>
          </w:p>
        </w:tc>
      </w:tr>
      <w:tr>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Sampling error excluded</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61.6</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−6.4</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43.7</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0.714</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18.8</w:t>
            </w:r>
          </w:p>
        </w:tc>
        <w:tc>
          <w:tcPr>
            <w:tcW w:type="dxa" w:w="1234"/>
          </w:tcPr>
          <w:p>
            <w:pPr>
              <w:spacing w:line="240" w:lineRule="auto"/>
            </w:pPr>
            <w:r>
              <w:rPr>
                <w:rFonts w:ascii="Times New Roman" w:hAnsi="Times New Roman" w:cs="Times New Roman" w:eastAsia="Times New Roman"/>
              </w:rPr>
            </w:r>
            <w:r>
              <w:rPr>
                <w:rFonts w:ascii="Times New Roman" w:hAnsi="Times New Roman" w:cs="Times New Roman" w:eastAsia="Times New Roman"/>
              </w:rPr>
              <w:t>17.7</w:t>
            </w:r>
          </w:p>
        </w:tc>
      </w:tr>
    </w:tbl>
    <w:p>
      <w:pPr>
        <w:spacing w:line="360" w:lineRule="auto"/>
      </w:pPr>
    </w:p>
    <w:p>
      <w:pPr>
        <w:spacing w:line="360" w:lineRule="auto"/>
        <w:jc w:val="both"/>
      </w:pPr>
      <w:r>
        <w:rPr>
          <w:rFonts w:ascii="Times New Roman" w:hAnsi="Times New Roman" w:cs="Times New Roman" w:eastAsia="Times New Roman"/>
        </w:rPr>
        <w:t>The primary scenario used 10,000 simulations. Each sensitivity analysis used 2,000 simulations. The different national and median-district values are not inconsistent: national values weight people, while the latter gives equal weight to districts.</w:t>
      </w:r>
    </w:p>
    <w:p>
      <w:pPr>
        <w:pStyle w:val="Heading2"/>
        <w:spacing w:line="360" w:lineRule="auto"/>
      </w:pPr>
      <w:r>
        <w:rPr>
          <w:rFonts w:ascii="Times New Roman" w:hAnsi="Times New Roman" w:cs="Times New Roman" w:eastAsia="Times New Roman"/>
        </w:rPr>
        <w:t>5. Tipping analysis</w:t>
      </w:r>
    </w:p>
    <w:p>
      <w:pPr>
        <w:spacing w:line="360" w:lineRule="auto"/>
        <w:jc w:val="both"/>
      </w:pPr>
      <w:r>
        <w:rPr>
          <w:rFonts w:ascii="Times New Roman" w:hAnsi="Times New Roman" w:cs="Times New Roman" w:eastAsia="Times New Roman"/>
        </w:rPr>
        <w:t>Percentage of districts in the measured highest-prevalence quintile that remained in that quintile with at least 80% probability: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District-bias SD (g/dL)</w:t>
            </w:r>
          </w:p>
        </w:tc>
        <w:tc>
          <w:tcPr>
            <w:tcW w:type="dxa" w:w="2160"/>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Children 6–59 months</w:t>
            </w:r>
          </w:p>
        </w:tc>
        <w:tc>
          <w:tcPr>
            <w:tcW w:type="dxa" w:w="2160"/>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Non-pregnant women 15–49 years</w:t>
            </w:r>
          </w:p>
        </w:tc>
        <w:tc>
          <w:tcPr>
            <w:tcW w:type="dxa" w:w="2160"/>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Adolescent girls 15–19 years</w:t>
            </w:r>
          </w:p>
        </w:tc>
      </w:tr>
      <w:tr>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0.000</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50.4</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74.5</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52.5</w:t>
            </w:r>
          </w:p>
        </w:tc>
      </w:tr>
      <w:tr>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0.050</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47.5</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67.4</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50.4</w:t>
            </w:r>
          </w:p>
        </w:tc>
      </w:tr>
      <w:tr>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0.100</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40.4</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58.9</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43.3</w:t>
            </w:r>
          </w:p>
        </w:tc>
      </w:tr>
      <w:tr>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0.163</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33.3</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50.4</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33.3</w:t>
            </w:r>
          </w:p>
        </w:tc>
      </w:tr>
      <w:tr>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0.200</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29.1</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39.0</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27.0</w:t>
            </w:r>
          </w:p>
        </w:tc>
      </w:tr>
      <w:tr>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0.300</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22.0</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18.4</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17.7</w:t>
            </w:r>
          </w:p>
        </w:tc>
      </w:tr>
      <w:tr>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0.380</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16.3</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9.2</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11.3</w:t>
            </w:r>
          </w:p>
        </w:tc>
      </w:tr>
      <w:tr>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0.500</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7.8</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3.5</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5.7</w:t>
            </w:r>
          </w:p>
        </w:tc>
      </w:tr>
      <w:tr>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0.700</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1.4</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2.1</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2.8</w:t>
            </w:r>
          </w:p>
        </w:tc>
      </w:tr>
      <w:tr>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1.000</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0.7</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1.4</w:t>
            </w:r>
          </w:p>
        </w:tc>
        <w:tc>
          <w:tcPr>
            <w:tcW w:type="dxa" w:w="2160"/>
          </w:tcPr>
          <w:p>
            <w:pPr>
              <w:spacing w:line="240" w:lineRule="auto"/>
            </w:pPr>
            <w:r>
              <w:rPr>
                <w:rFonts w:ascii="Times New Roman" w:hAnsi="Times New Roman" w:cs="Times New Roman" w:eastAsia="Times New Roman"/>
              </w:rPr>
            </w:r>
            <w:r>
              <w:rPr>
                <w:rFonts w:ascii="Times New Roman" w:hAnsi="Times New Roman" w:cs="Times New Roman" w:eastAsia="Times New Roman"/>
              </w:rPr>
              <w:t>1.4</w:t>
            </w:r>
          </w:p>
        </w:tc>
      </w:tr>
    </w:tbl>
    <w:p>
      <w:pPr>
        <w:spacing w:line="360" w:lineRule="auto"/>
      </w:pPr>
    </w:p>
    <w:p>
      <w:pPr>
        <w:spacing w:line="360" w:lineRule="auto"/>
        <w:jc w:val="both"/>
      </w:pPr>
      <w:r>
        <w:rPr>
          <w:rFonts w:ascii="Times New Roman" w:hAnsi="Times New Roman" w:cs="Times New Roman" w:eastAsia="Times New Roman"/>
        </w:rPr>
        <w:t>The sigma = 0 entry in this independently seeded tipping sweep (50.4%) differs slightly from the zero-variation sensitivity run in section 4 (51.1%) because both use finite Monte Carlo samples. The manuscript therefore describes this value as “roughly half” and does not use the rounding difference substantively.</w:t>
      </w:r>
    </w:p>
    <w:p>
      <w:pPr>
        <w:pStyle w:val="Heading2"/>
        <w:spacing w:line="360" w:lineRule="auto"/>
      </w:pPr>
      <w:r>
        <w:rPr>
          <w:rFonts w:ascii="Times New Roman" w:hAnsi="Times New Roman" w:cs="Times New Roman" w:eastAsia="Times New Roman"/>
        </w:rPr>
        <w:t>6. Screening consequences</w:t>
      </w:r>
    </w:p>
    <w:p>
      <w:pPr>
        <w:spacing w:line="360" w:lineRule="auto"/>
        <w:jc w:val="both"/>
      </w:pPr>
      <w:r>
        <w:rPr>
          <w:rFonts w:ascii="Times New Roman" w:hAnsi="Times New Roman" w:cs="Times New Roman" w:eastAsia="Times New Roman"/>
        </w:rPr>
        <w:t>At national child prevalence 63.1%, the following rates are conditional on the stated accuracy estimates and a venous automated-analyser reference: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Scenario</w:t>
            </w:r>
          </w:p>
        </w:tc>
        <w:tc>
          <w:tcPr>
            <w:tcW w:type="dxa" w:w="1728"/>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Sensitivity (%)</w:t>
            </w:r>
          </w:p>
        </w:tc>
        <w:tc>
          <w:tcPr>
            <w:tcW w:type="dxa" w:w="1728"/>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Specificity (%)</w:t>
            </w:r>
          </w:p>
        </w:tc>
        <w:tc>
          <w:tcPr>
            <w:tcW w:type="dxa" w:w="1728"/>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False negatives per million screened</w:t>
            </w:r>
          </w:p>
        </w:tc>
        <w:tc>
          <w:tcPr>
            <w:tcW w:type="dxa" w:w="1728"/>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False-positive treatment starts per million screened</w:t>
            </w:r>
          </w:p>
        </w:tc>
      </w:tr>
      <w:tr>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Fothergill et al. 2022</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74.8</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91.2</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158,996</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32,477</w:t>
            </w:r>
          </w:p>
        </w:tc>
      </w:tr>
      <w:tr>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Yadav et al. 2020</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86.0</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83.0</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88,331</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62,740</w:t>
            </w:r>
          </w:p>
        </w:tc>
      </w:tr>
    </w:tbl>
    <w:p>
      <w:pPr>
        <w:spacing w:line="360" w:lineRule="auto"/>
      </w:pPr>
    </w:p>
    <w:p>
      <w:pPr>
        <w:spacing w:line="360" w:lineRule="auto"/>
        <w:jc w:val="both"/>
      </w:pPr>
      <w:r>
        <w:rPr>
          <w:rFonts w:ascii="Times New Roman" w:hAnsi="Times New Roman" w:cs="Times New Roman" w:eastAsia="Times New Roman"/>
        </w:rPr>
        <w:t>The following are hypothetical arithmetic scale-ups only; they are not estimates of children screened, missed, or treated in the programme. The denominators describe different age ranges and activities, and the 111.8-million target population was derived as 37.0 million divided by 0.331 reported coverage. They are retained for transparency because they appeared in the prior analysis, but they are not used in the principal paper's conclusions.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Illustrative denominator</w:t>
            </w:r>
          </w:p>
        </w:tc>
        <w:tc>
          <w:tcPr>
            <w:tcW w:type="dxa" w:w="1728"/>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Number</w:t>
            </w:r>
          </w:p>
        </w:tc>
        <w:tc>
          <w:tcPr>
            <w:tcW w:type="dxa" w:w="1728"/>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Scenario</w:t>
            </w:r>
          </w:p>
        </w:tc>
        <w:tc>
          <w:tcPr>
            <w:tcW w:type="dxa" w:w="1728"/>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Hypothetical false negatives</w:t>
            </w:r>
          </w:p>
        </w:tc>
        <w:tc>
          <w:tcPr>
            <w:tcW w:type="dxa" w:w="1728"/>
          </w:tcPr>
          <w:p>
            <w:pPr>
              <w:spacing w:line="240" w:lineRule="auto"/>
            </w:pPr>
            <w:r>
              <w:rPr>
                <w:rFonts w:ascii="Times New Roman" w:hAnsi="Times New Roman" w:cs="Times New Roman" w:eastAsia="Times New Roman"/>
                <w:b/>
              </w:rPr>
            </w:r>
            <w:r>
              <w:rPr>
                <w:rFonts w:ascii="Times New Roman" w:hAnsi="Times New Roman" w:cs="Times New Roman" w:eastAsia="Times New Roman"/>
                <w:b/>
              </w:rPr>
              <w:t>Hypothetical false-positive treatment starts</w:t>
            </w:r>
          </w:p>
        </w:tc>
      </w:tr>
      <w:tr>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Poshan Tracker children aged 0–5 years, May 2026</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63,000,000</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Higher specificity</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10,016,764</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2,046,082</w:t>
            </w:r>
          </w:p>
        </w:tc>
      </w:tr>
      <w:tr>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Derived AMB target, children 6–59 months</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111,800,000</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Higher specificity</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17,775,781</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3,630,984</w:t>
            </w:r>
          </w:p>
        </w:tc>
      </w:tr>
      <w:tr>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IFA syrup reached, children 6–59 months</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37,000,000</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Higher specificity</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5,882,861</w:t>
            </w:r>
          </w:p>
        </w:tc>
        <w:tc>
          <w:tcPr>
            <w:tcW w:type="dxa" w:w="1728"/>
          </w:tcPr>
          <w:p>
            <w:pPr>
              <w:spacing w:line="240" w:lineRule="auto"/>
            </w:pPr>
            <w:r>
              <w:rPr>
                <w:rFonts w:ascii="Times New Roman" w:hAnsi="Times New Roman" w:cs="Times New Roman" w:eastAsia="Times New Roman"/>
              </w:rPr>
            </w:r>
            <w:r>
              <w:rPr>
                <w:rFonts w:ascii="Times New Roman" w:hAnsi="Times New Roman" w:cs="Times New Roman" w:eastAsia="Times New Roman"/>
              </w:rPr>
              <w:t>1,201,667</w:t>
            </w:r>
          </w:p>
        </w:tc>
      </w:tr>
    </w:tbl>
    <w:p>
      <w:pPr>
        <w:spacing w:line="360" w:lineRule="auto"/>
      </w:pPr>
    </w:p>
    <w:p>
      <w:pPr>
        <w:pStyle w:val="Heading2"/>
        <w:spacing w:line="360" w:lineRule="auto"/>
      </w:pPr>
      <w:r>
        <w:rPr>
          <w:rFonts w:ascii="Times New Roman" w:hAnsi="Times New Roman" w:cs="Times New Roman" w:eastAsia="Times New Roman"/>
        </w:rPr>
        <w:t>7. Reproducibility inventory</w:t>
      </w:r>
    </w:p>
    <w:p>
      <w:pPr>
        <w:spacing w:line="360" w:lineRule="auto"/>
        <w:jc w:val="both"/>
      </w:pPr>
      <w:r>
        <w:rPr>
          <w:rFonts w:ascii="Times New Roman" w:hAnsi="Times New Roman" w:cs="Times New Roman" w:eastAsia="Times New Roman"/>
        </w:rPr>
        <w:t>The following files should be deposited on acceptance, subject to the microdata access terms:</w:t>
      </w:r>
    </w:p>
    <w:p>
      <w:pPr>
        <w:pStyle w:val="ListBullet"/>
        <w:spacing w:line="360" w:lineRule="auto"/>
      </w:pPr>
      <w:r>
        <w:rPr>
          <w:rFonts w:ascii="Times New Roman" w:hAnsi="Times New Roman" w:cs="Times New Roman" w:eastAsia="Times New Roman"/>
        </w:rPr>
        <w:t>analysis scripts and locked environment record;</w:t>
      </w:r>
    </w:p>
    <w:p>
      <w:pPr>
        <w:pStyle w:val="ListBullet"/>
        <w:spacing w:line="360" w:lineRule="auto"/>
      </w:pPr>
      <w:r>
        <w:rPr>
          <w:rFonts w:ascii="Times New Roman" w:hAnsi="Times New Roman" w:cs="Times New Roman" w:eastAsia="Times New Roman"/>
        </w:rPr>
        <w:t>a source-data dictionary and the bias-parameter extraction table;</w:t>
      </w:r>
    </w:p>
    <w:p>
      <w:pPr>
        <w:pStyle w:val="ListBullet"/>
        <w:spacing w:line="360" w:lineRule="auto"/>
      </w:pPr>
      <w:r>
        <w:rPr>
          <w:rFonts w:ascii="Times New Roman" w:hAnsi="Times New Roman" w:cs="Times New Roman" w:eastAsia="Times New Roman"/>
        </w:rPr>
        <w:t>derived district-level results without person-level NFHS microdata;</w:t>
      </w:r>
    </w:p>
    <w:p>
      <w:pPr>
        <w:pStyle w:val="ListBullet"/>
        <w:spacing w:line="360" w:lineRule="auto"/>
      </w:pPr>
      <w:r>
        <w:rPr>
          <w:rFonts w:ascii="Times New Roman" w:hAnsi="Times New Roman" w:cs="Times New Roman" w:eastAsia="Times New Roman"/>
        </w:rPr>
        <w:t>the figures and tables regenerated from a fixed seed;</w:t>
      </w:r>
    </w:p>
    <w:p>
      <w:pPr>
        <w:pStyle w:val="ListBullet"/>
        <w:spacing w:line="360" w:lineRule="auto"/>
      </w:pPr>
      <w:r>
        <w:rPr>
          <w:rFonts w:ascii="Times New Roman" w:hAnsi="Times New Roman" w:cs="Times New Roman" w:eastAsia="Times New Roman"/>
        </w:rPr>
        <w:t>a README specifying the pathway for an authorised user to obtain NFHS microdata and run the analysis.</w:t>
      </w:r>
    </w:p>
    <w:p>
      <w:pPr>
        <w:spacing w:line="360" w:lineRule="auto"/>
        <w:jc w:val="both"/>
      </w:pPr>
      <w:r>
        <w:rPr>
          <w:rFonts w:ascii="Times New Roman" w:hAnsi="Times New Roman" w:cs="Times New Roman" w:eastAsia="Times New Roman"/>
        </w:rPr>
        <w:t>The direct output files included with this submission are derived district-level data, the bias-parameter register, sensitivity grid, and simulation parameter record. They do not contain the restricted person-level NFHS data.</w:t>
      </w:r>
    </w:p>
    <w:sectPr w:rsidR="00FC693F" w:rsidRPr="0006063C" w:rsidSect="00034616">
      <w:footerReference w:type="default" r:id="rI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pPr>
    <w:rPr>
      <w:rFonts w:ascii="Times New Roman" w:hAnsi="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line="360" w:lineRule="auto"/>
      <w:outlineLvl w:val="0"/>
    </w:pPr>
    <w:rPr>
      <w:rFonts w:asciiTheme="majorHAnsi" w:eastAsiaTheme="majorEastAsia" w:hAnsiTheme="majorHAnsi" w:cstheme="majorBidi" w:ascii="Times New Roman" w:hAnsi="Times New Roman"/>
      <w:b/>
      <w:bCs/>
      <w:color w:val="365F91" w:themeColor="accent1" w:themeShade="BF"/>
      <w:sz w:val="20"/>
      <w:szCs w:val="28"/>
    </w:rPr>
  </w:style>
  <w:style w:type="paragraph" w:styleId="Heading2">
    <w:name w:val="heading 2"/>
    <w:basedOn w:val="Normal"/>
    <w:next w:val="Normal"/>
    <w:link w:val="Heading2Char"/>
    <w:uiPriority w:val="9"/>
    <w:unhideWhenUsed/>
    <w:qFormat/>
    <w:rsid w:val="00FC693F"/>
    <w:pPr>
      <w:keepNext/>
      <w:keepLines/>
      <w:spacing w:before="200" w:after="0" w:line="360" w:lineRule="auto"/>
      <w:outlineLvl w:val="1"/>
    </w:pPr>
    <w:rPr>
      <w:rFonts w:asciiTheme="majorHAnsi" w:eastAsiaTheme="majorEastAsia" w:hAnsiTheme="majorHAnsi" w:cstheme="majorBidi" w:ascii="Times New Roman" w:hAnsi="Times New Roman"/>
      <w:b/>
      <w:bCs/>
      <w:color w:val="4F81BD" w:themeColor="accent1"/>
      <w:sz w:val="20"/>
      <w:szCs w:val="26"/>
    </w:rPr>
  </w:style>
  <w:style w:type="paragraph" w:styleId="Heading3">
    <w:name w:val="heading 3"/>
    <w:basedOn w:val="Normal"/>
    <w:next w:val="Normal"/>
    <w:link w:val="Heading3Char"/>
    <w:uiPriority w:val="9"/>
    <w:unhideWhenUsed/>
    <w:qFormat/>
    <w:rsid w:val="00FC693F"/>
    <w:pPr>
      <w:keepNext/>
      <w:keepLines/>
      <w:spacing w:before="200" w:after="0" w:line="360" w:lineRule="auto"/>
      <w:outlineLvl w:val="2"/>
    </w:pPr>
    <w:rPr>
      <w:rFonts w:asciiTheme="majorHAnsi" w:eastAsiaTheme="majorEastAsia" w:hAnsiTheme="majorHAnsi" w:cstheme="majorBidi" w:ascii="Times New Roman" w:hAnsi="Times New Roman"/>
      <w:b/>
      <w:bCs/>
      <w:color w:val="4F81BD" w:themeColor="accent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Times New Roman" w:hAnsi="Times New Roman"/>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Times New Roman" w:hAnsi="Times New Roman"/>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Times New Roman" w:hAnsi="Times New Roman"/>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Resource 1</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